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4160" w:type="dxa"/>
            <w:vAlign w:val="bottom"/>
          </w:tcPr>
          <w:p>
            <w:pPr>
              <w:jc w:val="center"/>
              <w:ind w:right="2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160" w:type="dxa"/>
            <w:vAlign w:val="bottom"/>
          </w:tcPr>
          <w:p>
            <w:pPr>
              <w:jc w:val="center"/>
              <w:ind w:right="21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60" w:type="dxa"/>
            <w:vAlign w:val="bottom"/>
          </w:tcPr>
          <w:p>
            <w:pPr>
              <w:jc w:val="center"/>
              <w:ind w:right="21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6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16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90"/>
        </w:trPr>
        <w:tc>
          <w:tcPr>
            <w:tcW w:w="416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 Center Plaza, Suite 610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LRMR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8-K/A (this “Amendment”) is being filed by Larimar Therapeutics, Inc. (f/k/a Zafgen, Inc.), a Delaware corporation (the “Company”), to amend its Current Report on Form 8-K (the “Original 8-K”) filed with the Securities and Exchange Commission (the “SEC”) on June 2, 2020, in connection with the consummation on May 28, 2020 of the transactions contemplated by that certain Agreement and Plan of Merger and Reorganization, dated December 17, 2019 (the “Merger Agreement”), by and among the Company, Zordich Merger Sub, Inc. (“Zordich”), Chondrial Therapeutics, Inc. (“Chondrial”) and Chondrial Therapeutics Holdings, LLC (“Holdings”), pursuant to which Zordich merged with and into Chondrial, with Chondrial surviving as a wholly-owned subsidiary of the Company (the “Merger”). On June 26, 2020, the Company filed an Amendment No. 1 to the Original 8-K (“Amendment No. 1”) with the Commission to provide, among other things, (i) the historical audited financial statements of Chondrial as of and for the years ended December 31, 2019 and 2018, and the unaudited condensed consolidated financial statements as of March 31, 2020 and for the three month periods ended March 31, 2020 and 2019; and (ii) the unaudited pro forma condensed combined financial statements as of and for the three month period ended March 31, 2020 and for the year ended December 31, 2019. On August 14, 2020, the Company filed an Amendment No. 2 to the Original 8-K (“Amendment No. 2”) with the Commission to amend and supplement Item 9.01 of Amendment No. 1 to provide unaudited pro forma condensed combined financial statements for the six month period ended June 30, 2020. On November 12, 2020, the Company filed an Amendment No. 3 to the Original 8-K (“Amendment No. 3”) with the Commission to amend and supplement Item 9.01 of Amendment No. 2 to provide unaudited pro forma condensed combined financial statements for the nine month period ended September 30, 2020. The Company is filing this Amendment No. 4 to amend and supplement Item 9.01 of Amendment No. 3 to provide unaudited pro forma condensed combined financial statements for the year ended December 31, 2020. All other items in Amendment No. 3 remain the same and are hereby incorporated by reference into this Current Report on Form 8-K/A.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 Forma Financial Information.</w:t>
      </w:r>
    </w:p>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of the Company and Chondrial for the years ended December 31, 2020 and December 31, 2019, filed herewith and attached hereto as Exhibit 99.1, are incorporated herein by reference.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540" w:type="dxa"/>
            <w:vAlign w:val="bottom"/>
            <w:gridSpan w:val="3"/>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73"/>
        </w:trPr>
        <w:tc>
          <w:tcPr>
            <w:tcW w:w="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5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0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pro forma condensed combined financial statements of the Company and Chondrial for the years ended December 31, 2020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December 31, 2019.</w:t>
              </w:r>
            </w:hyperlink>
          </w:p>
        </w:tc>
        <w:tc>
          <w:tcPr>
            <w:tcW w:w="8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89"/>
        </w:trPr>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Name:</w:t>
            </w:r>
          </w:p>
        </w:tc>
        <w:tc>
          <w:tcPr>
            <w:tcW w:w="38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Carole S. Ben-Maimon, M.D.</w:t>
            </w: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2021</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w:t>
      </w:r>
    </w:p>
    <w:p>
      <w:pPr>
        <w:spacing w:after="0" w:line="229" w:lineRule="exact"/>
        <w:rPr>
          <w:sz w:val="20"/>
          <w:szCs w:val="20"/>
          <w:color w:val="auto"/>
        </w:rPr>
      </w:pPr>
    </w:p>
    <w:p>
      <w:pPr>
        <w:ind w:left="4" w:right="420" w:firstLine="440"/>
        <w:spacing w:after="0" w:line="276" w:lineRule="auto"/>
        <w:rPr>
          <w:sz w:val="20"/>
          <w:szCs w:val="20"/>
          <w:color w:val="auto"/>
        </w:rPr>
      </w:pPr>
      <w:r>
        <w:rPr>
          <w:rFonts w:ascii="Times New Roman" w:cs="Times New Roman" w:eastAsia="Times New Roman" w:hAnsi="Times New Roman"/>
          <w:sz w:val="17"/>
          <w:szCs w:val="17"/>
          <w:color w:val="auto"/>
        </w:rPr>
        <w:t>On December 17, 2019, Zafgen, Inc. (“Zafgen”), Chondrial Therapeutics Inc. (“Chondrial”), Zordich Merger Sub, Inc. (“Merger Sub”) and Chondrial Holdings, LLC (“Holdings”), the sole stockholder of Chondrial, entered into an Agreement and Plan of Merger, as amended on March 9,</w:t>
      </w:r>
    </w:p>
    <w:p>
      <w:pPr>
        <w:spacing w:after="0" w:line="1"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8"/>
          <w:szCs w:val="18"/>
          <w:color w:val="auto"/>
        </w:rPr>
        <w:t>2020 (the “Merger Agreement”), pursuant to which Merger Sub merged with and into Chondrial, with Chondrial surviving as a wholly owned subsidiary of the Company and the surviving corporation of the merger (the “Merger”). The Merger was completed on May 28, 2020 pursuant to the terms of the Merger Agreement. In addition, immediately prior to the closing of the Merger, Zafgen effected a 1-for-12 reverse stock split (the “Reverse Stock Split”) of Zafgen’s common stock, par value $0.001 per share (the “Zafgen Common Stock”). At the effective time of the Merger (the “Effective Time”), each share of Chondrial’s common stock, par value $0.001 per share (“Chondrial Common Stock”), outstanding immediately prior to the Effective Time was converted into the right to receive shares of Zafgen based on an exchange ratio set forth in the Merger Agreement. At the Effective Time following the Reverse Stock Split, the exchange ratio was determined to be 60,912.5005 shares of Zafgen Common Stock for each share of Chondrial Common Stock (the “Exchange Ratio”). At the closing of the Merger on May 28, 2020, Zafgen issued an aggregate of 6,091,250 shares of its common stock to Holdings (the “Merger Shares”), based on the Exchange Ratio after giving effect to the Reverse Stock Split described below. Holdings subsequently distributed the Merger Shares to its members. In connection with the Merger, Zafgen changed its name to Larimar Therapeutics, Inc.</w:t>
      </w:r>
    </w:p>
    <w:p>
      <w:pPr>
        <w:spacing w:after="0" w:line="193"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gives effect to the Merger. Except as otherwise noted, the unaudited pro forma combined financial information also gives effect to the Reverse Stock Split. Amounts in the historical Zafgen and historical Chondrial columns of the unaudited pro forma combined financial statements do not give effect to the Reverse Stock Split.</w:t>
      </w:r>
    </w:p>
    <w:p>
      <w:pPr>
        <w:spacing w:after="0" w:line="176"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Merger has been accounted for as a business combination using the acquisition method of accounting under the provisions of Financial Accounting Standards Board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merger was accounted for as a reverse acquisition with Chondrial being deemed the acquiring company for accounting purposes. Under ASC 805, Chondrial, as the accounting acquirer, recorded the assets acquired and liabilities assumed of Zafgen in the merger at their fair values as of the acquisition date, which was then adjusted for the difference between the purchase price and the fair value of the assets acquired.</w:t>
      </w:r>
    </w:p>
    <w:p>
      <w:pPr>
        <w:spacing w:after="0" w:line="183" w:lineRule="exact"/>
        <w:rPr>
          <w:sz w:val="20"/>
          <w:szCs w:val="20"/>
          <w:color w:val="auto"/>
        </w:rPr>
      </w:pPr>
    </w:p>
    <w:p>
      <w:pPr>
        <w:ind w:left="4" w:right="160" w:firstLine="440"/>
        <w:spacing w:after="0" w:line="272" w:lineRule="auto"/>
        <w:rPr>
          <w:sz w:val="20"/>
          <w:szCs w:val="20"/>
          <w:color w:val="auto"/>
        </w:rPr>
      </w:pPr>
      <w:r>
        <w:rPr>
          <w:rFonts w:ascii="Times New Roman" w:cs="Times New Roman" w:eastAsia="Times New Roman" w:hAnsi="Times New Roman"/>
          <w:sz w:val="17"/>
          <w:szCs w:val="17"/>
          <w:color w:val="auto"/>
        </w:rPr>
        <w:t>Chondrial was determined to be the accounting acquirer based on an analysis of the criteria outlined in ASC 805 and the facts and circumstances specific to the merger, including: (1) shareholders of Chondrial own a substantial majority of the voting rights of the combined company; (2) the majority of the board of directors of the combined company is composed of directors designated by Chondrial under the terms of the merger; and</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existing members of Chondrial management became the management of the combined company.</w:t>
      </w:r>
    </w:p>
    <w:p>
      <w:pPr>
        <w:spacing w:after="0" w:line="207"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Because Chondrial has been determined to be the accounting acquirer in the Merger, but not the legal acquirer, the Merger is deemed a reverse acquisition under the guidance of ASC 805. As a result, upon consummation of the Merger, the historical financial statements of Chondrial became the historical financial statements of the combined company.</w:t>
      </w:r>
    </w:p>
    <w:p>
      <w:pPr>
        <w:spacing w:after="0" w:line="176" w:lineRule="exact"/>
        <w:rPr>
          <w:sz w:val="20"/>
          <w:szCs w:val="20"/>
          <w:color w:val="auto"/>
        </w:rPr>
      </w:pPr>
    </w:p>
    <w:p>
      <w:pPr>
        <w:jc w:val="both"/>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The unaudited pro forma combined statement of operations for the fiscal years ended December 31, 2020 and 2019 gives effect to the merger as if it took place on January 1, 2019 and combines the historical results of Zafgen and Larimar for the fiscal year ended December 31, 2020 and Zafgen and Chondrial for the fiscal year ended December 31, 2019. The historical financial statements have been adjusted to give pro forma effect to events that are</w:t>
      </w:r>
    </w:p>
    <w:p>
      <w:pPr>
        <w:spacing w:after="0" w:line="2" w:lineRule="exact"/>
        <w:rPr>
          <w:sz w:val="20"/>
          <w:szCs w:val="20"/>
          <w:color w:val="auto"/>
        </w:rPr>
      </w:pPr>
    </w:p>
    <w:p>
      <w:pPr>
        <w:ind w:left="4" w:right="160" w:hanging="4"/>
        <w:spacing w:after="0" w:line="260"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attributable to the merger, (2) factually supportable, and (3) are expected to have a continuing impact on the combined results of operations of the combined company.</w:t>
      </w:r>
    </w:p>
    <w:p>
      <w:pPr>
        <w:spacing w:after="0" w:line="181"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These pro forma results exclude the presentation of a pro forma consolidated combined balance sheet. The Company has presented a December 31, 2020 audited consolidated balance sheet in its Financial Information filed with its Form 10-K for the period ended December 31, 2020, which reflect the actual balance sheet impacts of the merger.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unaudited pro forma combined financial information is based on assumptions and adjustments that are described in the accompanying notes. The unaudited pro forma combined financial information does not give effect to the potential impact of operating efficiencies or other savings or expenses that may be associated with the integration of the two companies. The unaudited pro forma combined financial information has been prepared for illustrative purposes only and is not necessarily indicative of the financial position or results of operations in future periods or the results that would have been realized had Zafgen and Chondrial been a combined company during the specified periods.</w:t>
      </w:r>
    </w:p>
    <w:p>
      <w:pPr>
        <w:spacing w:after="0" w:line="18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Merger, the Company entered into a Securities Purchase Agreement (“Purchase Agreement”) with certain accredited investors (“Purchasers”) for the sale by the Company in a private placement (the “Private Placement”) of 6,105,359 shares (“Shares”) of the Company’s common stock, par value $0.001 per share (“Common Stock”) and pre-funded warrants to purchase an aggregate of 628,403 shares of the Company’s Common Stock ( “Pre-Funded Warrants”), for a price of $11.88 per share of Common Stock and $11.87 per Pre-Funded Warrant. The following unaudited pro forma combined financial information also gives effect to the Private Placement. The Pre-Funded Warrants were immediately exercisable at an exercise price of $0.01 and are exercisable indefinitely.</w:t>
      </w:r>
    </w:p>
    <w:p>
      <w:pPr>
        <w:spacing w:after="0" w:line="18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Private Placement closed on June 1, 2020. The aggregate gross proceeds for the issuance and sale of the Shares and Pre-Funded Warrants were $80.0 million and, after deducting certain of the Company’s expenses, the net proceeds received by the Company in the Private Placement were $75.4 million.</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combined financial statements, including the notes thereto, should be read in conjunction with the separate historical consolidated financial statements of Larimar, Zafgen and Chondrial. Zafgen’s historical audited consolidated financial statements for the fiscal years ended December 31, 2019, 2018 and 2017 are included in Zafgen’s Annual Report on Form 10-K for the fiscal year ended December 31, 2019, as filed with the Securities and Exchange Commission (the “SEC”) on March 5, 2020. Chondrial’s historical audited consolidated financial statements for the years ended December 31, 2019 and 2018 are included as Exhibit 99.3 on the Form 8-K/A, as filed with the SEC on June 26, 2020, and Larimar’s historical audited consolidated financial statements for the fiscal year ended December 31, 2020 are included in Larimar’s Annual Report on Form 10-K, as filed with the SEC on March 4, 2021.</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Pro Forma Combined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Pro</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79"/>
        </w:trPr>
        <w:tc>
          <w:tcPr>
            <w:tcW w:w="2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gridSpan w:val="4"/>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100" w:type="dxa"/>
            <w:vAlign w:val="bottom"/>
          </w:tcPr>
          <w:p>
            <w:pPr>
              <w:spacing w:after="0"/>
              <w:rPr>
                <w:sz w:val="6"/>
                <w:szCs w:val="6"/>
                <w:color w:val="auto"/>
              </w:rPr>
            </w:pPr>
          </w:p>
        </w:tc>
        <w:tc>
          <w:tcPr>
            <w:tcW w:w="1020" w:type="dxa"/>
            <w:vAlign w:val="bottom"/>
            <w:gridSpan w:val="2"/>
            <w:vMerge w:val="restart"/>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50"/>
        </w:trPr>
        <w:tc>
          <w:tcPr>
            <w:tcW w:w="2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Larimar</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Zafgen</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78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8"/>
              </w:rPr>
              <w:t>Note 7</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gridSpan w:val="2"/>
            <w:vMerge w:val="continue"/>
          </w:tcPr>
          <w:p>
            <w:pPr>
              <w:spacing w:after="0"/>
              <w:rPr>
                <w:sz w:val="15"/>
                <w:szCs w:val="15"/>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780" w:type="dxa"/>
            <w:vAlign w:val="bottom"/>
            <w:gridSpan w:val="3"/>
            <w:vMerge w:val="continue"/>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2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31,407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31,314</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(4,072)</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16,034</w:t>
            </w:r>
          </w:p>
        </w:tc>
        <w:tc>
          <w:tcPr>
            <w:tcW w:w="0" w:type="dxa"/>
            <w:vAlign w:val="bottom"/>
          </w:tcPr>
          <w:p>
            <w:pPr>
              <w:spacing w:after="0"/>
              <w:rPr>
                <w:sz w:val="1"/>
                <w:szCs w:val="1"/>
                <w:color w:val="auto"/>
              </w:rPr>
            </w:pPr>
          </w:p>
        </w:tc>
      </w:tr>
      <w:tr>
        <w:trPr>
          <w:trHeight w:val="216"/>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8,632</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55,980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55,980</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(17,248)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740</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5"/>
        </w:trPr>
        <w:tc>
          <w:tcPr>
            <w:tcW w:w="280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(expense), net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740</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(17,671)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4,812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(55,341)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(55,341)</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3"/>
            <w:vMerge w:val="restart"/>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a</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11,883,155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(2,656,044)</w:t>
            </w:r>
          </w:p>
        </w:tc>
        <w:tc>
          <w:tcPr>
            <w:tcW w:w="6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9,227,111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6,769,022</w:t>
            </w:r>
          </w:p>
        </w:tc>
        <w:tc>
          <w:tcPr>
            <w:tcW w:w="780" w:type="dxa"/>
            <w:vAlign w:val="bottom"/>
            <w:gridSpan w:val="3"/>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15,996,133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pro forma combined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Combined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5"/>
            <w:vMerge w:val="restart"/>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gridSpan w:val="5"/>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gridSpan w:val="3"/>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6"/>
                <w:szCs w:val="6"/>
                <w:color w:val="auto"/>
              </w:rPr>
            </w:pPr>
          </w:p>
        </w:tc>
        <w:tc>
          <w:tcPr>
            <w:tcW w:w="100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restart"/>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50"/>
        </w:trPr>
        <w:tc>
          <w:tcPr>
            <w:tcW w:w="2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Chondrial</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Zafgen</w:t>
            </w:r>
          </w:p>
        </w:tc>
        <w:tc>
          <w:tcPr>
            <w:tcW w:w="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6</w:t>
            </w:r>
          </w:p>
        </w:tc>
        <w:tc>
          <w:tcPr>
            <w:tcW w:w="11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7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Note 7</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780" w:type="dxa"/>
            <w:vAlign w:val="bottom"/>
            <w:gridSpan w:val="3"/>
            <w:vMerge w:val="continue"/>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2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23,886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44,676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44,676</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16,215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(1,421)</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17,218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17,218</w:t>
            </w:r>
          </w:p>
        </w:tc>
        <w:tc>
          <w:tcPr>
            <w:tcW w:w="0" w:type="dxa"/>
            <w:vAlign w:val="bottom"/>
          </w:tcPr>
          <w:p>
            <w:pPr>
              <w:spacing w:after="0"/>
              <w:rPr>
                <w:sz w:val="1"/>
                <w:szCs w:val="1"/>
                <w:color w:val="auto"/>
              </w:rPr>
            </w:pPr>
          </w:p>
        </w:tc>
      </w:tr>
      <w:tr>
        <w:trPr>
          <w:trHeight w:val="223"/>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5,553</w:t>
            </w:r>
          </w:p>
        </w:tc>
        <w:tc>
          <w:tcPr>
            <w:tcW w:w="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5,553</w:t>
            </w:r>
          </w:p>
        </w:tc>
        <w:tc>
          <w:tcPr>
            <w:tcW w:w="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198"/>
        </w:trPr>
        <w:tc>
          <w:tcPr>
            <w:tcW w:w="256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23,214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45,654</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(1,421)</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67,447</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67,447</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(45,654)</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1,729</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8"/>
        </w:trPr>
        <w:tc>
          <w:tcPr>
            <w:tcW w:w="25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Foreign currency transaction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gains, net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(45,406)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3,150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(65,388)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(65,388)</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(231,320.00)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3"/>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37,347,199</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(28,131,712)</w:t>
            </w:r>
          </w:p>
        </w:tc>
        <w:tc>
          <w:tcPr>
            <w:tcW w:w="6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9,215,587</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6,769,022</w:t>
            </w:r>
          </w:p>
        </w:tc>
        <w:tc>
          <w:tcPr>
            <w:tcW w:w="780" w:type="dxa"/>
            <w:vAlign w:val="bottom"/>
            <w:gridSpan w:val="3"/>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15,984,609</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pro forma combined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Combined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of Chondrial and Zafgen</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On December 17, 2019, Zafgen, Chondrial, Merger Sub and Holdings, the sole stockholder of Chondrial, entered into a Merger Agreement, pursuant to which Merger Sub merged with and into Chondrial, with Chondrial surviving as a wholly owned subsidiary of the Company and the surviving corporation of the merger. The Merger was completed on May 28, 2020 pursuant to the terms of the Merger Agreement. In addition, immediately prior to the closing of the Merger, Zafgen effected a 1-for-12 reverse stock split of Zafgen’s common stock, par value $0.001 per share. At the Effective Time of the Merger, each share of Chondrial’s common stock, par value $0.001 per share, outstanding immediately prior to the Effective Time was converted into the right to receive shares of Zafgen based on an exchange ratio set forth in the Merger Agreement. At the Effective Time following the Reverse Stock Split, the Exchange Ratio was determined to be 60,912.5005 shares of Zafgen Common Stock for each share of Chondrial Common Stock. At the closing of the Merger on May 28, 2020, Zafgen issued an aggregate of 6,091,250 shares of its common stock to Holdings, based on the Exchange Ratio after giving effect to the Reverse Stock Split described below. Holdings subsequently distributed the Merger Shares to its members.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Offering</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Merger, the Company entered into a Purchase Agreement with certain Purchasers for the sale by the Company in a private placement of 6,105,359 shares of the Company’s common stock, par value $0.001 per share, and Pre-Funded Warrants to purchase an aggregate of 628,403 shares of the Company’s Common Stock, for a price of $11.88 per share of Common Stock and $11.87 per Pre-Funded Warrant. The Pre-Funded Warrants were immediately exercisable at an exercise price of $0.01 and are exercisable indefinitely.</w:t>
      </w:r>
    </w:p>
    <w:p>
      <w:pPr>
        <w:spacing w:after="0" w:line="180"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Private Placement closed on June 1, 2020. The aggregate gross proceeds for the issuance and sale of the Shares and Pre-Funded Warrants were $80.0 million and, after deducting certain of the Company’s expenses, the net proceeds received by the Company in the Private Placement were $75.4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accompanying unaudited pro forma combined financial information was prepared in accordance with Article 11 of SEC Regulation S-X. The unaudited pro forma combined statements of operations for the years ended December 31, 2020 and 2019 give effect to the Merger as if each occurred on January 1, 2019. The unaudited pro forma combined statements were prepared using:</w:t>
      </w:r>
    </w:p>
    <w:p>
      <w:pPr>
        <w:spacing w:after="0" w:line="203"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Statement of Operations of Chondrial for the year ended December 31, 2019;</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Statements of Operations of Zafgen for the year ended December 31, 2019;</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Larimar for the year ended December 31, 2020;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accounting records of Zafgen for period January 1, 2020 through May 28, 2020, the effective date of the merger</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noted, the unaudited pro forma combined financial information also gives effect to the Reverse Stock Split. Amounts in the historical Chondrial and historical Zafgen columns of the unaudited pro forma combined financial statements do not give effect to the Reverse Stock Split.</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Zafgen for the period January 1, 2020 through May 28, 2020 includes the impact of Zafgen’s restructuring, which occurred just prior to the Effective Time, and consisted of terminating all remaining employees of Zafgen. The total expense associated with the restructuring was $8.6 million was comprised of $3.4 million of severance and $5.2 million from the acceleration of vesting of time-based options upon change in control.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Combined Statements of Operations</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39"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does not include the impacts of any cost or other operating synergies that may result from the Merger or any related restructuring costs that may be contemplated.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Accounting for the Merger</w:t>
      </w:r>
    </w:p>
    <w:p>
      <w:pPr>
        <w:spacing w:after="0" w:line="121"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Based on the Common Stock Exchange Ratio of 60,912.5005 set forth above, immediately following the Merger, former Zafgen stockholders, Zafgen option holders and other persons holding securities or other rights directly or indirectly convertible, exercisable or exchangeable for Zafgen Common Stock (collectively, the “Zafgen Securityholders”) owned approximately 34% of the outstanding capital stock of the combined company, and the former Chondrial stockholder, Chondrial Therapeutics Holdings, LLC (“Holdings”), owned approximately 66% of the outstanding capital stock of the combined company. At the closing of the Merger, all shares of Chondrial Common Stock were exchanged for an aggregate of 6,091,250 shares of Zafgen Common Stock, after giving effect to the Reverse Stock Split.</w:t>
      </w:r>
    </w:p>
    <w:p>
      <w:pPr>
        <w:spacing w:after="0" w:line="187" w:lineRule="exact"/>
        <w:rPr>
          <w:sz w:val="20"/>
          <w:szCs w:val="20"/>
          <w:color w:val="auto"/>
        </w:rPr>
      </w:pPr>
    </w:p>
    <w:p>
      <w:pPr>
        <w:jc w:val="both"/>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pursuant to the terms of the Merger Agreement, Zafgen assumed all outstanding options to purchase shares of Holdings Common Units at the closing of the Merger. At the closing of the Merger, such options became options to purchase an aggregate of 330,818 shares of Zafgen Common Stock, after giving effect to the Reverse Stock Split.</w:t>
      </w:r>
    </w:p>
    <w:p>
      <w:pPr>
        <w:spacing w:after="0" w:line="176" w:lineRule="exact"/>
        <w:rPr>
          <w:sz w:val="20"/>
          <w:szCs w:val="20"/>
          <w:color w:val="auto"/>
        </w:rPr>
      </w:pPr>
    </w:p>
    <w:p>
      <w:pPr>
        <w:ind w:left="4" w:right="100" w:firstLine="440"/>
        <w:spacing w:after="0" w:line="289" w:lineRule="auto"/>
        <w:rPr>
          <w:sz w:val="20"/>
          <w:szCs w:val="20"/>
          <w:color w:val="auto"/>
        </w:rPr>
      </w:pPr>
      <w:r>
        <w:rPr>
          <w:rFonts w:ascii="Times New Roman" w:cs="Times New Roman" w:eastAsia="Times New Roman" w:hAnsi="Times New Roman"/>
          <w:sz w:val="17"/>
          <w:szCs w:val="17"/>
          <w:color w:val="auto"/>
        </w:rPr>
        <w:t>The total purchase price paid in the Merger has been allocated to the tangible and intangible assets acquired and liabilities assumed of Zafgen based on their fair values as of the completion of the Merger. Transaction costs primarily included bank fees and professional fees associated with legal counsel, auditors and printers. The following summarizes the purchase price paid in the Merger (in thousands, except share and per share amounts):</w:t>
      </w:r>
    </w:p>
    <w:p>
      <w:pPr>
        <w:spacing w:after="0" w:line="202" w:lineRule="exact"/>
        <w:rPr>
          <w:sz w:val="20"/>
          <w:szCs w:val="20"/>
          <w:color w:val="auto"/>
        </w:rPr>
      </w:pPr>
    </w:p>
    <w:tbl>
      <w:tblPr>
        <w:tblLayout w:type="fixed"/>
        <w:tblInd w:w="176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the combined organization owned by Zafgen stockholders</w:t>
            </w: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3,124,337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Multiplied by the fair value per share of Zafgen common stock</w:t>
            </w:r>
            <w:r>
              <w:rPr>
                <w:rFonts w:ascii="Times New Roman" w:cs="Times New Roman" w:eastAsia="Times New Roman" w:hAnsi="Times New Roman"/>
                <w:sz w:val="15"/>
                <w:szCs w:val="15"/>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issued in effect of the Merger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38,834.00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400" w:hanging="424"/>
        <w:spacing w:after="0" w:line="261" w:lineRule="auto"/>
        <w:tabs>
          <w:tab w:leader="none" w:pos="424"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number of shares of 3,124,337 represents the historical 37,492,044 shares of Zafgen common stock outstanding immediately prior to the closing of the Merger, adjusted for the Reverse Stock Split.</w:t>
      </w:r>
    </w:p>
    <w:p>
      <w:pPr>
        <w:ind w:left="424" w:right="60" w:hanging="424"/>
        <w:spacing w:after="0" w:line="260" w:lineRule="auto"/>
        <w:tabs>
          <w:tab w:leader="none" w:pos="424"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Based on the last reported sale price of Zafgen common stock on the Nasdaq Global Market on May 28, 2020, the closing date of the Merger, and after giving effect to the Reverse Stock Split.</w:t>
      </w:r>
    </w:p>
    <w:p>
      <w:pPr>
        <w:spacing w:after="0" w:line="181" w:lineRule="exact"/>
        <w:rPr>
          <w:rFonts w:ascii="Times New Roman" w:cs="Times New Roman" w:eastAsia="Times New Roman" w:hAnsi="Times New Roman"/>
          <w:sz w:val="15"/>
          <w:szCs w:val="15"/>
          <w:color w:val="auto"/>
        </w:rPr>
      </w:pPr>
    </w:p>
    <w:p>
      <w:pPr>
        <w:ind w:left="44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following summarizes the allocation of the purchase price to the net tangible and intangible assets acquired (in thousands):</w:t>
      </w:r>
    </w:p>
    <w:p>
      <w:pPr>
        <w:spacing w:after="0" w:line="270"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$40,595</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3,806</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including current portion of lease liability</w:t>
            </w:r>
          </w:p>
        </w:tc>
        <w:tc>
          <w:tcPr>
            <w:tcW w:w="1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(2,685)</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2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(5,990)</w:t>
            </w: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price</w:t>
            </w:r>
          </w:p>
        </w:tc>
        <w:tc>
          <w:tcPr>
            <w:tcW w:w="12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38,834</w:t>
            </w:r>
          </w:p>
        </w:tc>
        <w:tc>
          <w:tcPr>
            <w:tcW w:w="10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for the Merger was based on estimates of the fair value of the net assets acquired, which was then adjusted for the difference between the purchase price and the fair value of the assets acquired. Larimar did not assign any value to intangible assets. Operating lease liabilities have been measured at the present value of the remaining lease payments, as if the acquired leases were new leases of the acquirer at the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66" w:right="479" w:bottom="1440" w:gutter="0" w:footer="0" w:header="0"/>
        </w:sectPr>
      </w:pPr>
    </w:p>
    <w:bookmarkStart w:id="9" w:name="page10"/>
    <w:bookmarkEnd w:id="9"/>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Combined Statements of Operations</w:t>
      </w:r>
    </w:p>
    <w:p>
      <w:pPr>
        <w:spacing w:after="0" w:line="31"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p>
      <w:pPr>
        <w:spacing w:after="0" w:line="9"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3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acquisition date. The operating lease right-of-use assets have been measured at the same amount as the lease liability as adjusted to reflect terms of the leases compared to market terms. The excess of the purchase price over the fair value of the assets and liabilities was allocated to the operating right-of-use asset and fixed assets.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Shares of Zafgen Common Stock Issued to Chondrial Stockholder upon Closing of the Merger</w:t>
      </w:r>
    </w:p>
    <w:p>
      <w:pPr>
        <w:spacing w:after="0" w:line="121" w:lineRule="exact"/>
        <w:rPr>
          <w:sz w:val="20"/>
          <w:szCs w:val="20"/>
          <w:color w:val="auto"/>
        </w:rPr>
      </w:pPr>
    </w:p>
    <w:p>
      <w:pPr>
        <w:jc w:val="both"/>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As part of the Merger, all outstanding shares of Chondrial Common Stock were exchanged for shares of Zafgen Common Stock. Based on the historical 100 shares of Chondrial Common Stock, before giving effect to the Reverse Stock Split, and based on the Common Stock Exchange Ratio determined in accordance with the terms of the Merger Agreement of 730,950.0000, Zafgen issued 6,091,250 shares of Zafgen Common Stock in the Merger, after giving effect to the Reverse Stock Split, determined as follows:</w:t>
      </w:r>
    </w:p>
    <w:p>
      <w:pPr>
        <w:spacing w:after="0" w:line="216" w:lineRule="exact"/>
        <w:rPr>
          <w:sz w:val="20"/>
          <w:szCs w:val="20"/>
          <w:color w:val="auto"/>
        </w:rPr>
      </w:pPr>
    </w:p>
    <w:tbl>
      <w:tblPr>
        <w:tblLayout w:type="fixed"/>
        <w:tblInd w:w="1764"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Chondrial Common Stock outstanding immediately prior to the closing of the</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Merger (before giving effect to the Reverse Stock Split)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Exchange Ratio</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730,950.</w:t>
            </w:r>
            <w:r>
              <w:rPr>
                <w:rFonts w:ascii="Times New Roman" w:cs="Times New Roman" w:eastAsia="Times New Roman" w:hAnsi="Times New Roman"/>
                <w:sz w:val="18"/>
                <w:szCs w:val="18"/>
                <w:u w:val="single" w:color="auto"/>
                <w:color w:val="auto"/>
              </w:rPr>
              <w:t>0000</w:t>
            </w:r>
          </w:p>
        </w:tc>
      </w:tr>
      <w:tr>
        <w:trPr>
          <w:trHeight w:val="198"/>
        </w:trPr>
        <w:tc>
          <w:tcPr>
            <w:tcW w:w="20" w:type="dxa"/>
            <w:vAlign w:val="bottom"/>
          </w:tcPr>
          <w:p>
            <w:pPr>
              <w:spacing w:after="0"/>
              <w:rPr>
                <w:sz w:val="17"/>
                <w:szCs w:val="17"/>
                <w:color w:val="auto"/>
              </w:rPr>
            </w:pPr>
          </w:p>
        </w:tc>
        <w:tc>
          <w:tcPr>
            <w:tcW w:w="6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Zafgen Common Stock issued to Chondrial’s sole stockholder upon closing</w:t>
            </w: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the Merger (before giving effect to the Reverse Stock Split)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73,095,000</w:t>
            </w:r>
          </w:p>
        </w:tc>
      </w:tr>
      <w:tr>
        <w:trPr>
          <w:trHeight w:val="23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Reverse Stock Split Ratio</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Zafgen Common Stock issued to Chondrial’s sole stockholder upon closing</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the Merger (after giving effect to the Reverse Stock Split)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6,091,250</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Merger, Zafgen assumed all of the outstanding options to acquire Holdings stock and such options became exercisable for shares of Zafgen Common Stock following the Merger; refer to Note 3.</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 Adjustments to Unaudited Pro Forma Combined Statement of Operations for the Year ended December 31, 2020</w:t>
      </w:r>
    </w:p>
    <w:p>
      <w:pPr>
        <w:spacing w:after="0" w:line="121"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Merger, Zafgen assumed all of the outstanding options to acquire Holdings stock and such options became exercisable for shares of Zafgen Common Stock following the Merger; refer to Note 3.</w:t>
      </w:r>
    </w:p>
    <w:p>
      <w:pPr>
        <w:spacing w:after="0" w:line="162"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The unaudited pro forma combined statements of operations include pro forma adjustments that are (1) directly attributable to the Merger,</w:t>
      </w:r>
    </w:p>
    <w:p>
      <w:pPr>
        <w:spacing w:after="0" w:line="27" w:lineRule="exact"/>
        <w:rPr>
          <w:sz w:val="20"/>
          <w:szCs w:val="20"/>
          <w:color w:val="auto"/>
        </w:rPr>
      </w:pPr>
    </w:p>
    <w:p>
      <w:pPr>
        <w:ind w:left="4" w:right="40" w:hanging="4"/>
        <w:spacing w:after="0" w:line="277" w:lineRule="auto"/>
        <w:tabs>
          <w:tab w:leader="none" w:pos="25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factually supportable and (3) expected to have a continuing impact on the results of operations of the combined company. Based on Larimar’s management’s review of Zafgen’s summary of significant accounting policies, the nature and amount of any adjustments to the historical consolidated financial statements of Zafgen to conform to the accounting policies of Chondrial were not significant. The pro forma adjustments are as follows:</w:t>
      </w:r>
    </w:p>
    <w:p>
      <w:pPr>
        <w:spacing w:after="0" w:line="74" w:lineRule="exact"/>
        <w:rPr>
          <w:rFonts w:ascii="Times New Roman" w:cs="Times New Roman" w:eastAsia="Times New Roman" w:hAnsi="Times New Roman"/>
          <w:sz w:val="17"/>
          <w:szCs w:val="17"/>
          <w:color w:val="auto"/>
        </w:rPr>
      </w:pPr>
    </w:p>
    <w:p>
      <w:pPr>
        <w:ind w:left="964" w:hanging="532"/>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non-recurring transaction costs of $4.1 million incurred by Zafgen in connection with the merger and recorded as expense in Zafgen’s historical consolidated statement of operations for the period from January 1, 2020 through May 28, 2020 as these expenses are not expected to have a continuing impact on the operating results of the combined company.</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elimination of interest expense due to the repayment of Zafgen’s Term Loan, which was repaid as part of the Merger.</w:t>
      </w:r>
    </w:p>
    <w:p>
      <w:pPr>
        <w:spacing w:after="0" w:line="158"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4"/>
          </w:cols>
          <w:pgMar w:left="436" w:top="266" w:right="619" w:bottom="1440" w:gutter="0" w:footer="0" w:header="0"/>
        </w:sectPr>
      </w:pPr>
    </w:p>
    <w:bookmarkStart w:id="10" w:name="page11"/>
    <w:bookmarkEnd w:id="10"/>
    <w:p>
      <w:pPr>
        <w:ind w:left="964" w:hanging="532"/>
        <w:spacing w:after="0" w:line="261"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reflect the weighted average shares outstanding for the period after giving effect to the issuance of Zafgen common stock in connection with the merger. As the combined company is in a net loss position, any adjustment for potentially dilutive shares would be anti-dilutive, and as such basic and diluted loss per share are the same. The following table presents these pro forma adjustments without giving effect to the reverse stock split, as follows (presented on a weighted average basis):</w:t>
      </w:r>
    </w:p>
    <w:p>
      <w:pPr>
        <w:spacing w:after="0" w:line="188"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11,883,155</w:t>
            </w:r>
          </w:p>
        </w:tc>
      </w:tr>
      <w:tr>
        <w:trPr>
          <w:trHeight w:val="198"/>
        </w:trPr>
        <w:tc>
          <w:tcPr>
            <w:tcW w:w="20" w:type="dxa"/>
            <w:vAlign w:val="bottom"/>
          </w:tcPr>
          <w:p>
            <w:pPr>
              <w:spacing w:after="0"/>
              <w:rPr>
                <w:sz w:val="17"/>
                <w:szCs w:val="17"/>
                <w:color w:val="auto"/>
              </w:rPr>
            </w:pP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Weighted average common shares outstanding associated with the Private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Placement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(3,939,349)</w:t>
            </w:r>
          </w:p>
        </w:tc>
      </w:tr>
      <w:tr>
        <w:trPr>
          <w:trHeight w:val="198"/>
        </w:trPr>
        <w:tc>
          <w:tcPr>
            <w:tcW w:w="20" w:type="dxa"/>
            <w:vAlign w:val="bottom"/>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Zafgen Common Stock outstanding during the period</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January 1, 2020 through May 28, 2020</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1,271,930</w:t>
            </w:r>
          </w:p>
        </w:tc>
      </w:tr>
      <w:tr>
        <w:trPr>
          <w:trHeight w:val="198"/>
        </w:trPr>
        <w:tc>
          <w:tcPr>
            <w:tcW w:w="20" w:type="dxa"/>
            <w:vAlign w:val="bottom"/>
          </w:tcPr>
          <w:p>
            <w:pPr>
              <w:spacing w:after="0"/>
              <w:rPr>
                <w:sz w:val="17"/>
                <w:szCs w:val="17"/>
                <w:color w:val="auto"/>
              </w:rPr>
            </w:pP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Larimar Common Stock outstanding during the period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29, 2020 through December 31, 2020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11,375</w:t>
            </w:r>
          </w:p>
        </w:tc>
      </w:tr>
      <w:tr>
        <w:trPr>
          <w:trHeight w:val="198"/>
        </w:trPr>
        <w:tc>
          <w:tcPr>
            <w:tcW w:w="20" w:type="dxa"/>
            <w:vAlign w:val="bottom"/>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combined weighted average number of common shares outstanding—basic</w:t>
            </w: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9,227,111</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Adjustments to Unaudited Pro Forma Combined Statement of Operations for the Year Ended December 31, 2019</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unaudited pro forma combined statements of operations include pro forma adjustments that are (1) directly attributable to the Merger,</w:t>
      </w:r>
    </w:p>
    <w:p>
      <w:pPr>
        <w:spacing w:after="0" w:line="27" w:lineRule="exact"/>
        <w:rPr>
          <w:sz w:val="20"/>
          <w:szCs w:val="20"/>
          <w:color w:val="auto"/>
        </w:rPr>
      </w:pPr>
    </w:p>
    <w:p>
      <w:pPr>
        <w:ind w:left="4" w:hanging="4"/>
        <w:spacing w:after="0" w:line="253"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factually supportable and (3) expected to have a continuing impact on the results of operations of the combined company. Based on Larimar’s management’s review of Zafgen’s summary of significant accounting policies, the nature and amount of any adjustments to the historical consolidated financial statements of Zafgen to conform to the accounting policies of Chondrial were not significant. The pro forma adjustments, based on preliminary estimates that could change materially as additional information is obtained, are as follows:</w:t>
      </w:r>
    </w:p>
    <w:p>
      <w:pPr>
        <w:spacing w:after="0" w:line="94" w:lineRule="exact"/>
        <w:rPr>
          <w:rFonts w:ascii="Times New Roman" w:cs="Times New Roman" w:eastAsia="Times New Roman" w:hAnsi="Times New Roman"/>
          <w:sz w:val="18"/>
          <w:szCs w:val="18"/>
          <w:color w:val="auto"/>
        </w:rPr>
      </w:pPr>
    </w:p>
    <w:p>
      <w:pPr>
        <w:ind w:left="964" w:right="260" w:hanging="532"/>
        <w:spacing w:after="0" w:line="266"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non-recurring transaction costs of $1.4 million incurred by Zafgen in connection with the merger and recorded as expense in Zafgen’s historical consolidated statement of operations for the year ended December 31, 2019 as these expenses are not expected to have a continuing impact on the operating results of the combined company.</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elimination of interest expense due to the repayment of Zafgen’s Term Loan, which was repaid as part of the Merger.</w:t>
      </w:r>
    </w:p>
    <w:p>
      <w:pPr>
        <w:spacing w:after="0" w:line="130" w:lineRule="exact"/>
        <w:rPr>
          <w:rFonts w:ascii="Times New Roman" w:cs="Times New Roman" w:eastAsia="Times New Roman" w:hAnsi="Times New Roman"/>
          <w:sz w:val="18"/>
          <w:szCs w:val="18"/>
          <w:color w:val="auto"/>
        </w:rPr>
      </w:pPr>
    </w:p>
    <w:p>
      <w:pPr>
        <w:ind w:left="964" w:right="20" w:hanging="532"/>
        <w:spacing w:after="0" w:line="261"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increase in the weighted average shares outstanding for the period after giving effect to the issuance of Zafgen common stock in connection with the merger. As the combined company is in a net loss position, any adjustment for potentially dilutive shares would be anti-dilutive, and as such basic and diluted loss per share are the same. The following table presents these pro forma adjustments without giving effect to the reverse stock split, as follows (presented on a weighted average basis):</w:t>
      </w:r>
    </w:p>
    <w:p>
      <w:pPr>
        <w:spacing w:after="0" w:line="188"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Chondrial Common Stock outstanding (before giving</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to the Common Stock Exchange Ratio and the Reverse Stock Split)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Exchange Ratio</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730,950.</w:t>
            </w:r>
            <w:r>
              <w:rPr>
                <w:rFonts w:ascii="Times New Roman" w:cs="Times New Roman" w:eastAsia="Times New Roman" w:hAnsi="Times New Roman"/>
                <w:sz w:val="18"/>
                <w:szCs w:val="18"/>
                <w:u w:val="single" w:color="auto"/>
                <w:color w:val="auto"/>
              </w:rPr>
              <w:t>0000</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73,095,000</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Reverse Stock Split Ratio</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Chondrial Common Stock outstanding immediately prior</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the closing of the Merger (after giving effect to the Common Stock Exchange</w:t>
            </w: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Ratio and the Reverse Stock Split)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6,091,250</w:t>
            </w:r>
          </w:p>
        </w:tc>
        <w:tc>
          <w:tcPr>
            <w:tcW w:w="0" w:type="dxa"/>
            <w:vAlign w:val="bottom"/>
          </w:tcPr>
          <w:p>
            <w:pPr>
              <w:spacing w:after="0"/>
              <w:rPr>
                <w:sz w:val="1"/>
                <w:szCs w:val="1"/>
                <w:color w:val="auto"/>
              </w:rPr>
            </w:pPr>
          </w:p>
        </w:tc>
      </w:tr>
      <w:tr>
        <w:trPr>
          <w:trHeight w:val="198"/>
        </w:trPr>
        <w:tc>
          <w:tcPr>
            <w:tcW w:w="6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of Zafgen Common Stock outstanding immediately prior to the closing of the</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(after giving effect to the Reverse Stock Split)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3,124,337</w:t>
            </w: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combined weighted average number of common shares outstanding—</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9,215,587</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364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270"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 Private Placement</w:t>
      </w:r>
    </w:p>
    <w:p>
      <w:pPr>
        <w:spacing w:after="0" w:line="121"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statements include pro forma adjustments associated with the Private placement that are (1) directly attributable to the private placement and (2) factually supportable. The pro forma adjustment is as follows:</w:t>
      </w:r>
    </w:p>
    <w:p>
      <w:pPr>
        <w:spacing w:after="0" w:line="67" w:lineRule="exact"/>
        <w:rPr>
          <w:sz w:val="20"/>
          <w:szCs w:val="20"/>
          <w:color w:val="auto"/>
        </w:rPr>
      </w:pPr>
    </w:p>
    <w:p>
      <w:pPr>
        <w:ind w:left="960" w:hanging="532"/>
        <w:spacing w:after="0" w:line="26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increase in the weighted average shares outstanding for the period after giving effect to the issuance of 6,105,359 Shares of the Company’s Common Stock, Pre-Funded warrants to purchase an aggregate of 628,403 shares of the Company’s Common Stock for a price of $0.01 per share and the issuance of 35,260 shares of our common stock MTS Health Partners who served as placement agent to the Company in connection with the private placement.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lvl w:ilvl="1">
      <w:lvlJc w:val="left"/>
      <w:lvlText w:val="(%2)"/>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decimal"/>
      <w:start w:val="2"/>
    </w:lvl>
    <w:lvl w:ilvl="1">
      <w:lvlJc w:val="left"/>
      <w:lvlText w:val="(%2)"/>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2021-03-04T16:18:25Z</dcterms:created>
  <dcterms:modified xsi:type="dcterms:W3CDTF">2021-03-04T16:18:25Z</dcterms:modified>
</cp:coreProperties>
</file>