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May 9, 2024</w:t>
      </w:r>
    </w:p>
    <w:p>
      <w:pPr>
        <w:spacing w:after="0" w:line="28" w:lineRule="exact"/>
        <w:rPr>
          <w:sz w:val="24"/>
          <w:szCs w:val="24"/>
          <w:color w:val="auto"/>
        </w:rPr>
      </w:pPr>
    </w:p>
    <w:p>
      <w:pPr>
        <w:ind w:left="9020"/>
        <w:spacing w:after="0"/>
        <w:rPr>
          <w:sz w:val="20"/>
          <w:szCs w:val="20"/>
          <w:color w:val="auto"/>
        </w:rPr>
      </w:pPr>
      <w:r>
        <w:rPr>
          <w:rFonts w:ascii="Times New Roman" w:cs="Times New Roman" w:eastAsia="Times New Roman" w:hAnsi="Times New Roman"/>
          <w:sz w:val="16"/>
          <w:szCs w:val="16"/>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FORM S-3</w:t>
      </w:r>
    </w:p>
    <w:p>
      <w:pPr>
        <w:spacing w:after="0" w:line="4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ind w:right="-99"/>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146050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0"/>
          <w:szCs w:val="40"/>
          <w:b w:val="1"/>
          <w:bCs w:val="1"/>
          <w:color w:val="auto"/>
        </w:rPr>
        <w:t>Larimar Therapeutics, Inc.</w:t>
      </w:r>
    </w:p>
    <w:p>
      <w:pPr>
        <w:spacing w:after="0" w:line="4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163195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4" w:lineRule="exact"/>
        <w:rPr>
          <w:sz w:val="24"/>
          <w:szCs w:val="24"/>
          <w:color w:val="auto"/>
        </w:rPr>
      </w:pPr>
    </w:p>
    <w:tbl>
      <w:tblPr>
        <w:tblLayout w:type="fixed"/>
        <w:tblInd w:w="2020" w:type="dxa"/>
        <w:tblCellMar>
          <w:top w:w="0" w:type="dxa"/>
          <w:left w:w="0" w:type="dxa"/>
          <w:bottom w:w="0" w:type="dxa"/>
          <w:right w:w="0" w:type="dxa"/>
        </w:tblCellMar>
      </w:tblPr>
      <w:tr>
        <w:trPr>
          <w:trHeight w:val="202"/>
        </w:trPr>
        <w:tc>
          <w:tcPr>
            <w:tcW w:w="3760" w:type="dxa"/>
            <w:vAlign w:val="bottom"/>
          </w:tcPr>
          <w:p>
            <w:pPr>
              <w:jc w:val="center"/>
              <w:ind w:right="1928"/>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340" w:type="dxa"/>
            <w:vAlign w:val="bottom"/>
          </w:tcPr>
          <w:p>
            <w:pPr>
              <w:jc w:val="center"/>
              <w:ind w:left="1948"/>
              <w:spacing w:after="0"/>
              <w:rPr>
                <w:sz w:val="20"/>
                <w:szCs w:val="20"/>
                <w:color w:val="auto"/>
              </w:rPr>
            </w:pPr>
            <w:r>
              <w:rPr>
                <w:rFonts w:ascii="Times New Roman" w:cs="Times New Roman" w:eastAsia="Times New Roman" w:hAnsi="Times New Roman"/>
                <w:sz w:val="16"/>
                <w:szCs w:val="16"/>
                <w:b w:val="1"/>
                <w:bCs w:val="1"/>
                <w:color w:val="auto"/>
              </w:rPr>
              <w:t>20-3857670</w:t>
            </w:r>
          </w:p>
        </w:tc>
      </w:tr>
      <w:tr>
        <w:trPr>
          <w:trHeight w:val="148"/>
        </w:trPr>
        <w:tc>
          <w:tcPr>
            <w:tcW w:w="3760" w:type="dxa"/>
            <w:vAlign w:val="bottom"/>
          </w:tcPr>
          <w:p>
            <w:pPr>
              <w:jc w:val="center"/>
              <w:ind w:right="1928"/>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3340" w:type="dxa"/>
            <w:vAlign w:val="bottom"/>
          </w:tcPr>
          <w:p>
            <w:pPr>
              <w:jc w:val="center"/>
              <w:ind w:left="1948"/>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760" w:type="dxa"/>
            <w:vAlign w:val="bottom"/>
          </w:tcPr>
          <w:p>
            <w:pPr>
              <w:jc w:val="center"/>
              <w:ind w:right="1928"/>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3340" w:type="dxa"/>
            <w:vAlign w:val="bottom"/>
          </w:tcPr>
          <w:p>
            <w:pPr>
              <w:jc w:val="center"/>
              <w:ind w:left="1928"/>
              <w:spacing w:after="0"/>
              <w:rPr>
                <w:sz w:val="20"/>
                <w:szCs w:val="20"/>
                <w:color w:val="auto"/>
              </w:rPr>
            </w:pPr>
            <w:r>
              <w:rPr>
                <w:rFonts w:ascii="Times New Roman" w:cs="Times New Roman" w:eastAsia="Times New Roman" w:hAnsi="Times New Roman"/>
                <w:sz w:val="13"/>
                <w:szCs w:val="13"/>
                <w:b w:val="1"/>
                <w:bCs w:val="1"/>
                <w:color w:val="auto"/>
              </w:rPr>
              <w:t>Identification Number)</w:t>
            </w:r>
          </w:p>
        </w:tc>
      </w:tr>
    </w:tbl>
    <w:p>
      <w:pPr>
        <w:spacing w:after="0" w:line="9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Three Bala Plaza East, Suite 506</w:t>
      </w:r>
    </w:p>
    <w:p>
      <w:pPr>
        <w:spacing w:after="0" w:line="2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Bala Cynwyd, PA 19004</w:t>
      </w:r>
    </w:p>
    <w:p>
      <w:pPr>
        <w:spacing w:after="0" w:line="1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(844) 511-9056</w:t>
      </w:r>
    </w:p>
    <w:p>
      <w:pPr>
        <w:spacing w:after="0" w:line="1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157480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Carole S. Ben-Maimon, M.D.</w:t>
      </w:r>
    </w:p>
    <w:p>
      <w:pPr>
        <w:spacing w:after="0" w:line="2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1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Larimar Therapeutics, Inc.</w:t>
      </w:r>
    </w:p>
    <w:p>
      <w:pPr>
        <w:spacing w:after="0" w:line="1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Three Bala Plaza East, Suite 506</w:t>
      </w:r>
    </w:p>
    <w:p>
      <w:pPr>
        <w:spacing w:after="0" w:line="1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Bala Cynwyd, PA 19004</w:t>
      </w:r>
    </w:p>
    <w:p>
      <w:pPr>
        <w:spacing w:after="0" w:line="1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(844) 511-9056</w:t>
      </w:r>
    </w:p>
    <w:p>
      <w:pPr>
        <w:spacing w:after="0" w:line="1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149225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1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12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Rachael M. Bushey, Esq.</w:t>
      </w:r>
    </w:p>
    <w:p>
      <w:pPr>
        <w:spacing w:after="0" w:line="2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Jennifer L. Porter, Esq.</w:t>
      </w:r>
    </w:p>
    <w:p>
      <w:pPr>
        <w:spacing w:after="0" w:line="1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Goodwin Procter LLP</w:t>
      </w:r>
    </w:p>
    <w:p>
      <w:pPr>
        <w:spacing w:after="0" w:line="1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One Commerce Square</w:t>
      </w:r>
    </w:p>
    <w:p>
      <w:pPr>
        <w:jc w:val="center"/>
        <w:ind w:right="-99"/>
        <w:spacing w:after="0" w:line="201" w:lineRule="auto"/>
        <w:rPr>
          <w:sz w:val="20"/>
          <w:szCs w:val="20"/>
          <w:color w:val="auto"/>
        </w:rPr>
      </w:pPr>
      <w:r>
        <w:rPr>
          <w:rFonts w:ascii="Times New Roman" w:cs="Times New Roman" w:eastAsia="Times New Roman" w:hAnsi="Times New Roman"/>
          <w:sz w:val="16"/>
          <w:szCs w:val="16"/>
          <w:b w:val="1"/>
          <w:bCs w:val="1"/>
          <w:color w:val="auto"/>
        </w:rPr>
        <w:t>2005 Market St., 32</w:t>
      </w:r>
      <w:r>
        <w:rPr>
          <w:rFonts w:ascii="Times New Roman" w:cs="Times New Roman" w:eastAsia="Times New Roman" w:hAnsi="Times New Roman"/>
          <w:sz w:val="24"/>
          <w:szCs w:val="24"/>
          <w:b w:val="1"/>
          <w:bCs w:val="1"/>
          <w:color w:val="auto"/>
          <w:vertAlign w:val="superscript"/>
        </w:rPr>
        <w:t>nd</w:t>
      </w:r>
      <w:r>
        <w:rPr>
          <w:rFonts w:ascii="Times New Roman" w:cs="Times New Roman" w:eastAsia="Times New Roman" w:hAnsi="Times New Roman"/>
          <w:sz w:val="16"/>
          <w:szCs w:val="16"/>
          <w:b w:val="1"/>
          <w:bCs w:val="1"/>
          <w:color w:val="auto"/>
        </w:rPr>
        <w:t xml:space="preserve"> Floor</w:t>
      </w: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Philadelphia, PA 19103</w:t>
      </w:r>
    </w:p>
    <w:p>
      <w:pPr>
        <w:spacing w:after="0" w:line="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(445) 207-7805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161290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3"/>
          <w:szCs w:val="13"/>
          <w:b w:val="1"/>
          <w:bCs w:val="1"/>
          <w:color w:val="auto"/>
        </w:rPr>
        <w:t>Approximate date of commencement of proposed sale to the public</w:t>
      </w:r>
      <w:r>
        <w:rPr>
          <w:rFonts w:ascii="Times New Roman" w:cs="Times New Roman" w:eastAsia="Times New Roman" w:hAnsi="Times New Roman"/>
          <w:sz w:val="13"/>
          <w:szCs w:val="13"/>
          <w:color w:val="auto"/>
        </w:rPr>
        <w:t>: From time to time after the effective date of this Registration Statement.</w:t>
      </w:r>
    </w:p>
    <w:p>
      <w:pPr>
        <w:spacing w:after="0" w:line="80" w:lineRule="exact"/>
        <w:rPr>
          <w:sz w:val="24"/>
          <w:szCs w:val="24"/>
          <w:color w:val="auto"/>
        </w:rPr>
      </w:pPr>
    </w:p>
    <w:p>
      <w:pPr>
        <w:ind w:left="120"/>
        <w:spacing w:after="0" w:line="150" w:lineRule="exact"/>
        <w:rPr>
          <w:sz w:val="20"/>
          <w:szCs w:val="20"/>
          <w:color w:val="auto"/>
        </w:rPr>
      </w:pPr>
      <w:r>
        <w:rPr>
          <w:rFonts w:ascii="Times New Roman" w:cs="Times New Roman" w:eastAsia="Times New Roman" w:hAnsi="Times New Roman"/>
          <w:sz w:val="13"/>
          <w:szCs w:val="13"/>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122" w:lineRule="exact"/>
        <w:rPr>
          <w:sz w:val="24"/>
          <w:szCs w:val="24"/>
          <w:color w:val="auto"/>
        </w:rPr>
      </w:pPr>
    </w:p>
    <w:p>
      <w:pPr>
        <w:ind w:left="120" w:right="420"/>
        <w:spacing w:after="0" w:line="167"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3"/>
          <w:szCs w:val="13"/>
          <w:color w:val="auto"/>
        </w:rPr>
        <w:t>☒</w:t>
      </w:r>
    </w:p>
    <w:p>
      <w:pPr>
        <w:spacing w:after="0" w:line="59" w:lineRule="exact"/>
        <w:rPr>
          <w:sz w:val="24"/>
          <w:szCs w:val="24"/>
          <w:color w:val="auto"/>
        </w:rPr>
      </w:pPr>
    </w:p>
    <w:p>
      <w:pPr>
        <w:ind w:left="120" w:right="60"/>
        <w:spacing w:after="0" w:line="167"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59" w:lineRule="exact"/>
        <w:rPr>
          <w:sz w:val="24"/>
          <w:szCs w:val="24"/>
          <w:color w:val="auto"/>
        </w:rPr>
      </w:pPr>
    </w:p>
    <w:p>
      <w:pPr>
        <w:ind w:left="120" w:right="260"/>
        <w:spacing w:after="0" w:line="167"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59" w:lineRule="exact"/>
        <w:rPr>
          <w:sz w:val="24"/>
          <w:szCs w:val="24"/>
          <w:color w:val="auto"/>
        </w:rPr>
      </w:pPr>
    </w:p>
    <w:p>
      <w:pPr>
        <w:ind w:left="120" w:right="520"/>
        <w:spacing w:after="0" w:line="167" w:lineRule="exact"/>
        <w:rPr>
          <w:sz w:val="20"/>
          <w:szCs w:val="20"/>
          <w:color w:val="auto"/>
        </w:rPr>
      </w:pPr>
      <w:r>
        <w:rPr>
          <w:rFonts w:ascii="Times New Roman" w:cs="Times New Roman" w:eastAsia="Times New Roman" w:hAnsi="Times New Roman"/>
          <w:sz w:val="13"/>
          <w:szCs w:val="13"/>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3"/>
          <w:szCs w:val="13"/>
          <w:color w:val="auto"/>
        </w:rPr>
        <w:t>☐</w:t>
      </w:r>
    </w:p>
    <w:p>
      <w:pPr>
        <w:spacing w:after="0" w:line="59" w:lineRule="exact"/>
        <w:rPr>
          <w:sz w:val="24"/>
          <w:szCs w:val="24"/>
          <w:color w:val="auto"/>
        </w:rPr>
      </w:pPr>
    </w:p>
    <w:p>
      <w:pPr>
        <w:ind w:left="120" w:right="180"/>
        <w:spacing w:after="0" w:line="167"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3"/>
          <w:szCs w:val="13"/>
          <w:color w:val="auto"/>
        </w:rPr>
        <w:t>☐</w:t>
      </w:r>
    </w:p>
    <w:p>
      <w:pPr>
        <w:spacing w:after="0" w:line="59" w:lineRule="exact"/>
        <w:rPr>
          <w:sz w:val="24"/>
          <w:szCs w:val="24"/>
          <w:color w:val="auto"/>
        </w:rPr>
      </w:pPr>
    </w:p>
    <w:p>
      <w:pPr>
        <w:ind w:left="120" w:right="540"/>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7" w:lineRule="exact"/>
        <w:rPr>
          <w:sz w:val="24"/>
          <w:szCs w:val="24"/>
          <w:color w:val="auto"/>
        </w:rPr>
      </w:pPr>
    </w:p>
    <w:tbl>
      <w:tblPr>
        <w:tblLayout w:type="fixed"/>
        <w:tblInd w:w="120" w:type="dxa"/>
        <w:tblCellMar>
          <w:top w:w="0" w:type="dxa"/>
          <w:left w:w="0" w:type="dxa"/>
          <w:bottom w:w="0" w:type="dxa"/>
          <w:right w:w="0" w:type="dxa"/>
        </w:tblCellMar>
      </w:tblPr>
      <w:tr>
        <w:trPr>
          <w:trHeight w:val="213"/>
        </w:trPr>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4120" w:type="dxa"/>
            <w:vAlign w:val="bottom"/>
          </w:tcPr>
          <w:p>
            <w:pPr>
              <w:ind w:left="160"/>
              <w:spacing w:after="0" w:line="131" w:lineRule="exact"/>
              <w:rPr>
                <w:sz w:val="20"/>
                <w:szCs w:val="20"/>
                <w:color w:val="auto"/>
              </w:rPr>
            </w:pPr>
            <w:r>
              <w:rPr>
                <w:rFonts w:ascii="MS PGothic" w:cs="MS PGothic" w:eastAsia="MS PGothic" w:hAnsi="MS PGothic"/>
                <w:sz w:val="13"/>
                <w:szCs w:val="13"/>
                <w:color w:val="auto"/>
              </w:rPr>
              <w:t>☐</w:t>
            </w:r>
          </w:p>
        </w:tc>
        <w:tc>
          <w:tcPr>
            <w:tcW w:w="5360" w:type="dxa"/>
            <w:vAlign w:val="bottom"/>
          </w:tcPr>
          <w:p>
            <w:pPr>
              <w:ind w:left="3860"/>
              <w:spacing w:after="0"/>
              <w:rPr>
                <w:sz w:val="20"/>
                <w:szCs w:val="20"/>
                <w:color w:val="auto"/>
              </w:rPr>
            </w:pPr>
            <w:r>
              <w:rPr>
                <w:rFonts w:ascii="Times New Roman" w:cs="Times New Roman" w:eastAsia="Times New Roman" w:hAnsi="Times New Roman"/>
                <w:sz w:val="13"/>
                <w:szCs w:val="13"/>
                <w:color w:val="auto"/>
              </w:rPr>
              <w:t>Accelerated filer</w:t>
            </w:r>
          </w:p>
        </w:tc>
        <w:tc>
          <w:tcPr>
            <w:tcW w:w="260" w:type="dxa"/>
            <w:vAlign w:val="bottom"/>
          </w:tcPr>
          <w:p>
            <w:pPr>
              <w:ind w:left="1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56"/>
        </w:trPr>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4120" w:type="dxa"/>
            <w:vAlign w:val="bottom"/>
          </w:tcPr>
          <w:p>
            <w:pPr>
              <w:ind w:left="160"/>
              <w:spacing w:after="0" w:line="131" w:lineRule="exact"/>
              <w:rPr>
                <w:sz w:val="20"/>
                <w:szCs w:val="20"/>
                <w:color w:val="auto"/>
              </w:rPr>
            </w:pPr>
            <w:r>
              <w:rPr>
                <w:rFonts w:ascii="MS PGothic" w:cs="MS PGothic" w:eastAsia="MS PGothic" w:hAnsi="MS PGothic"/>
                <w:sz w:val="13"/>
                <w:szCs w:val="13"/>
                <w:color w:val="auto"/>
              </w:rPr>
              <w:t>☒</w:t>
            </w:r>
          </w:p>
        </w:tc>
        <w:tc>
          <w:tcPr>
            <w:tcW w:w="5360" w:type="dxa"/>
            <w:vAlign w:val="bottom"/>
          </w:tcPr>
          <w:p>
            <w:pPr>
              <w:ind w:left="38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260" w:type="dxa"/>
            <w:vAlign w:val="bottom"/>
          </w:tcPr>
          <w:p>
            <w:pPr>
              <w:ind w:left="1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57"/>
        </w:trPr>
        <w:tc>
          <w:tcPr>
            <w:tcW w:w="128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5360" w:type="dxa"/>
            <w:vAlign w:val="bottom"/>
          </w:tcPr>
          <w:p>
            <w:pPr>
              <w:ind w:left="3860"/>
              <w:spacing w:after="0"/>
              <w:rPr>
                <w:sz w:val="20"/>
                <w:szCs w:val="20"/>
                <w:color w:val="auto"/>
              </w:rPr>
            </w:pPr>
            <w:r>
              <w:rPr>
                <w:rFonts w:ascii="Times New Roman" w:cs="Times New Roman" w:eastAsia="Times New Roman" w:hAnsi="Times New Roman"/>
                <w:sz w:val="13"/>
                <w:szCs w:val="13"/>
                <w:color w:val="auto"/>
              </w:rPr>
              <w:t>Emerging growth company</w:t>
            </w:r>
          </w:p>
        </w:tc>
        <w:tc>
          <w:tcPr>
            <w:tcW w:w="260" w:type="dxa"/>
            <w:vAlign w:val="bottom"/>
          </w:tcPr>
          <w:p>
            <w:pPr>
              <w:ind w:left="14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59" w:lineRule="exact"/>
        <w:rPr>
          <w:sz w:val="24"/>
          <w:szCs w:val="24"/>
          <w:color w:val="auto"/>
        </w:rPr>
      </w:pPr>
    </w:p>
    <w:p>
      <w:pPr>
        <w:ind w:left="120" w:right="10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134620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3" w:lineRule="exact"/>
        <w:rPr>
          <w:sz w:val="24"/>
          <w:szCs w:val="24"/>
          <w:color w:val="auto"/>
        </w:rPr>
      </w:pPr>
    </w:p>
    <w:p>
      <w:pPr>
        <w:ind w:left="120" w:right="60"/>
        <w:spacing w:after="0" w:line="233" w:lineRule="auto"/>
        <w:rPr>
          <w:sz w:val="20"/>
          <w:szCs w:val="20"/>
          <w:color w:val="auto"/>
        </w:rPr>
      </w:pPr>
      <w:r>
        <w:rPr>
          <w:rFonts w:ascii="Times New Roman" w:cs="Times New Roman" w:eastAsia="Times New Roman" w:hAnsi="Times New Roman"/>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27940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26" w:right="439" w:bottom="828"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registration statement contains two prospectuses:</w:t>
      </w:r>
    </w:p>
    <w:p>
      <w:pPr>
        <w:spacing w:after="0" w:line="131" w:lineRule="exact"/>
        <w:rPr>
          <w:sz w:val="20"/>
          <w:szCs w:val="20"/>
          <w:color w:val="auto"/>
        </w:rPr>
      </w:pPr>
    </w:p>
    <w:p>
      <w:pPr>
        <w:ind w:left="1080" w:right="280" w:hanging="424"/>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prospectus covering the offering, issuance and sale by us of up to $300,000,000 in the aggregate of our common stock, preferred stock, debt securities, warrants to purchase our common stock, preferred stock or debt securities, subscription rights to purchase our common stock, preferred stock or debt securities and/or units consisting of some or all of these securities; and</w:t>
      </w:r>
    </w:p>
    <w:p>
      <w:pPr>
        <w:spacing w:after="0" w:line="81" w:lineRule="exact"/>
        <w:rPr>
          <w:rFonts w:ascii="Times New Roman" w:cs="Times New Roman" w:eastAsia="Times New Roman" w:hAnsi="Times New Roman"/>
          <w:sz w:val="18"/>
          <w:szCs w:val="18"/>
          <w:color w:val="auto"/>
        </w:rPr>
      </w:pPr>
    </w:p>
    <w:p>
      <w:pPr>
        <w:jc w:val="both"/>
        <w:ind w:left="1080" w:right="80" w:hanging="424"/>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sales agreement prospectus covering the offering, issuance and sale by us of up to a maximum aggregate offering price of $100,000,000 of our common stock that may be issued and sold under a sales agreement, dated May 9, 2024, or the Sales Agreement, with Guggenheim Securities, LLC.</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base prospectus immediately follows this explanatory note. The specific terms of any securities to be offered pursuant to the base prospectus will be specified in a prospectus supplement to the base prospectus.</w:t>
      </w:r>
    </w:p>
    <w:p>
      <w:pPr>
        <w:spacing w:after="0" w:line="162"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The specific terms of the securities to be issued and sold under the Sales Agreement are specified in the sales agreement prospectus that immediately follows the base prospectus. The $100,000,000 of common stock that may be offered, issued and sold under the sales agreement prospectus is included in the $300,000,000 of securities that may be offered, issued and sold by us under the base prospectus. Upon termination of the Sales Agreement with Guggenheim Securities, LLC, any portion of the $100,000,000 included in the sales agreement prospectus that is not sold pursuant to the Sales Agreement will be available for sale in other offerings pursuant to the base prospectus and a corresponding prospectus supplement, and if no shares are sold under the Sales Agreement, the full $100,000,000 of securities may be sold in other offerings pursuant to the base prospectus and a corresponding prospectus supplement.</w:t>
      </w:r>
    </w:p>
    <w:p>
      <w:pPr>
        <w:sectPr>
          <w:pgSz w:w="11900" w:h="16838" w:orient="portrait"/>
          <w:cols w:equalWidth="0" w:num="1">
            <w:col w:w="11100"/>
          </w:cols>
          <w:pgMar w:left="320" w:top="455"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200" w:lineRule="exact"/>
        <w:rPr>
          <w:sz w:val="20"/>
          <w:szCs w:val="20"/>
          <w:color w:val="auto"/>
        </w:rPr>
      </w:pPr>
    </w:p>
    <w:p>
      <w:pPr>
        <w:spacing w:after="0" w:line="3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FF4338"/>
        </w:rPr>
        <w:t>Subject to Completion, dated May 9, 2024.</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$300,000,000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182245</wp:posOffset>
            </wp:positionV>
            <wp:extent cx="2571750" cy="10204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71750"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We may offer and sell up to $300,000,000 in the aggregate of the securities identified above from time to time in one or more offerings. This prospectus provides you with a general description of the securities.</w:t>
      </w:r>
    </w:p>
    <w:p>
      <w:pPr>
        <w:spacing w:after="0" w:line="162" w:lineRule="exact"/>
        <w:rPr>
          <w:sz w:val="20"/>
          <w:szCs w:val="20"/>
          <w:color w:val="auto"/>
        </w:rPr>
      </w:pPr>
    </w:p>
    <w:p>
      <w:pPr>
        <w:ind w:left="120" w:right="220"/>
        <w:spacing w:after="0" w:line="289" w:lineRule="auto"/>
        <w:rPr>
          <w:sz w:val="20"/>
          <w:szCs w:val="20"/>
          <w:color w:val="auto"/>
        </w:rPr>
      </w:pPr>
      <w:r>
        <w:rPr>
          <w:rFonts w:ascii="Times New Roman" w:cs="Times New Roman" w:eastAsia="Times New Roman" w:hAnsi="Times New Roman"/>
          <w:sz w:val="17"/>
          <w:szCs w:val="17"/>
          <w:color w:val="auto"/>
        </w:rPr>
        <w:t>Each time we offer and sell securities, we will provide a supplement to this prospectus that contains specific information about the offering and the amounts, prices and terms of the securities. The prospectus supplement may also add, update or change information contained in this prospectus with respect to that offering. You should carefully read this prospectus and the applicable prospectus supplement before you invest in any of our securities.</w:t>
      </w:r>
    </w:p>
    <w:p>
      <w:pPr>
        <w:spacing w:after="0" w:line="15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216535</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20" w:right="72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SECURITIES INVOLVES RISKS. SEE THE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8 OF THIS PROSPECTUS AND ANY SIMILAR SECTION CONTAINED IN THE APPLICABLE PROSPECTUS SUPPLEMENT CONCERNING FACTORS YOU SHOULD CONSIDER BEFORE INVESTING IN OUR SECURITIES.</w:t>
      </w:r>
    </w:p>
    <w:p>
      <w:pPr>
        <w:spacing w:after="0" w:line="18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“LRMR.” On May 8, 2024, the last reported sale price of our common stock on the Nasdaq Global Market was $7.92 per share.</w:t>
      </w:r>
    </w:p>
    <w:p>
      <w:pPr>
        <w:spacing w:after="0" w:line="158"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date of this prospectus is            , 2024.</w:t>
      </w:r>
    </w:p>
    <w:p>
      <w:pPr>
        <w:sectPr>
          <w:pgSz w:w="11900" w:h="16838" w:orient="portrait"/>
          <w:cols w:equalWidth="0" w:num="1">
            <w:col w:w="11100"/>
          </w:cols>
          <w:pgMar w:left="320" w:top="455" w:right="47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822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7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304"/>
        </w:trPr>
        <w:tc>
          <w:tcPr>
            <w:tcW w:w="82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304"/>
        </w:trPr>
        <w:tc>
          <w:tcPr>
            <w:tcW w:w="51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3040" w:type="dxa"/>
            <w:vAlign w:val="bottom"/>
            <w:gridSpan w:val="2"/>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4"/>
        </w:trPr>
        <w:tc>
          <w:tcPr>
            <w:tcW w:w="57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440" w:type="dxa"/>
            <w:vAlign w:val="bottom"/>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04"/>
        </w:trPr>
        <w:tc>
          <w:tcPr>
            <w:tcW w:w="15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ABOUT LARIMAR</w:t>
            </w:r>
          </w:p>
        </w:tc>
        <w:tc>
          <w:tcPr>
            <w:tcW w:w="6720" w:type="dxa"/>
            <w:vAlign w:val="bottom"/>
            <w:gridSpan w:val="13"/>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04"/>
        </w:trPr>
        <w:tc>
          <w:tcPr>
            <w:tcW w:w="82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34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304"/>
        </w:trPr>
        <w:tc>
          <w:tcPr>
            <w:tcW w:w="15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USE OF PROCEEDS</w:t>
            </w:r>
          </w:p>
        </w:tc>
        <w:tc>
          <w:tcPr>
            <w:tcW w:w="6640" w:type="dxa"/>
            <w:vAlign w:val="bottom"/>
            <w:gridSpan w:val="12"/>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04"/>
        </w:trPr>
        <w:tc>
          <w:tcPr>
            <w:tcW w:w="82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DESCRIPTION OF CAPITAL STOCK</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34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304"/>
        </w:trPr>
        <w:tc>
          <w:tcPr>
            <w:tcW w:w="30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200" w:type="dxa"/>
            <w:vAlign w:val="bottom"/>
            <w:gridSpan w:val="5"/>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04"/>
        </w:trPr>
        <w:tc>
          <w:tcPr>
            <w:tcW w:w="24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DESCRIPTION OF WARRANTS</w:t>
            </w:r>
          </w:p>
        </w:tc>
        <w:tc>
          <w:tcPr>
            <w:tcW w:w="5740" w:type="dxa"/>
            <w:vAlign w:val="bottom"/>
            <w:gridSpan w:val="7"/>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04"/>
        </w:trPr>
        <w:tc>
          <w:tcPr>
            <w:tcW w:w="20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DESCRIPTION OF UNITS</w:t>
            </w:r>
          </w:p>
        </w:tc>
        <w:tc>
          <w:tcPr>
            <w:tcW w:w="6200" w:type="dxa"/>
            <w:vAlign w:val="bottom"/>
            <w:gridSpan w:val="10"/>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04"/>
        </w:trPr>
        <w:tc>
          <w:tcPr>
            <w:tcW w:w="82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DESCRIPTION OF OUR SUBSCRIPTION RIGHTS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04"/>
        </w:trPr>
        <w:tc>
          <w:tcPr>
            <w:tcW w:w="180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GLOBAL SECURITIES</w:t>
            </w:r>
          </w:p>
        </w:tc>
        <w:tc>
          <w:tcPr>
            <w:tcW w:w="2080" w:type="dxa"/>
            <w:vAlign w:val="bottom"/>
            <w:tcBorders>
              <w:top w:val="single" w:sz="8" w:color="0000EE"/>
            </w:tcBorders>
            <w:gridSpan w:val="8"/>
          </w:tcPr>
          <w:p>
            <w:pPr>
              <w:spacing w:after="0"/>
              <w:rPr>
                <w:sz w:val="24"/>
                <w:szCs w:val="24"/>
                <w:color w:val="auto"/>
              </w:rPr>
            </w:pPr>
          </w:p>
        </w:tc>
        <w:tc>
          <w:tcPr>
            <w:tcW w:w="4340" w:type="dxa"/>
            <w:vAlign w:val="bottom"/>
            <w:gridSpan w:val="3"/>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04"/>
        </w:trPr>
        <w:tc>
          <w:tcPr>
            <w:tcW w:w="82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04"/>
        </w:trPr>
        <w:tc>
          <w:tcPr>
            <w:tcW w:w="146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5"/>
          </w:tcPr>
          <w:p>
            <w:pPr>
              <w:spacing w:after="0"/>
              <w:rPr>
                <w:sz w:val="24"/>
                <w:szCs w:val="24"/>
                <w:color w:val="auto"/>
              </w:rPr>
            </w:pPr>
          </w:p>
        </w:tc>
        <w:tc>
          <w:tcPr>
            <w:tcW w:w="6180" w:type="dxa"/>
            <w:vAlign w:val="bottom"/>
            <w:gridSpan w:val="9"/>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04"/>
        </w:trPr>
        <w:tc>
          <w:tcPr>
            <w:tcW w:w="82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EXPERTS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85"/>
        </w:trPr>
        <w:tc>
          <w:tcPr>
            <w:tcW w:w="76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w:t>
            </w:r>
          </w:p>
        </w:tc>
        <w:tc>
          <w:tcPr>
            <w:tcW w:w="274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the SEC, using a “shelf” registration process. By using a shelf registration statement, we may, from time to time, offer and sell, either individually or in combination, in one or more offerings, up to a total dollar amount of $300,000,000 of any combination of the securities described in this prospectus.</w:t>
      </w:r>
    </w:p>
    <w:p>
      <w:pPr>
        <w:spacing w:after="0" w:line="176"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This prospectus provides you only with a general description of the securities that we may offer.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or incorporated by reference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w:t>
      </w:r>
    </w:p>
    <w:p>
      <w:pPr>
        <w:spacing w:after="0" w:line="19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or to make any representations other than those contained in, or incorporated by reference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prospectus may not be used to consummate sales of our securities, unless it is accompanied by a prospectus supplement.</w:t>
      </w:r>
    </w:p>
    <w:p>
      <w:pPr>
        <w:spacing w:after="0" w:line="225"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When we refer to “Larimar,” “Larimar Therapeutics,” “we,” “our,” “us” and the “Company” in this prospectus, we mean Larimar Therapeutics, Inc. and its subsidiary unless otherwise specified. When we refer to “you,” we mean the potential holders of the applicable series of securities.</w:t>
      </w:r>
    </w:p>
    <w:p>
      <w:pPr>
        <w:spacing w:after="0" w:line="162" w:lineRule="exact"/>
        <w:rPr>
          <w:sz w:val="20"/>
          <w:szCs w:val="20"/>
          <w:color w:val="auto"/>
        </w:rPr>
      </w:pPr>
    </w:p>
    <w:p>
      <w:pPr>
        <w:ind w:left="120" w:right="80"/>
        <w:spacing w:after="0" w:line="236" w:lineRule="auto"/>
        <w:rPr>
          <w:sz w:val="20"/>
          <w:szCs w:val="20"/>
          <w:color w:val="auto"/>
        </w:rPr>
      </w:pPr>
      <w:r>
        <w:rPr>
          <w:rFonts w:ascii="Times New Roman" w:cs="Times New Roman" w:eastAsia="Times New Roman" w:hAnsi="Times New Roman"/>
          <w:sz w:val="18"/>
          <w:szCs w:val="18"/>
          <w:color w:val="auto"/>
        </w:rPr>
        <w:t xml:space="preserve">This prospectus contains or incorporates by reference documents that contain references to trademarks, service marks and trade names owned by us or other entities. All trademarks, service marks and trade names included or incorporated by reference into this prospectus are the property of their respective owners. Solely for convenience, trademarks, service marks and trade names referred to in this prospectus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such references are not intended to indicate, in any way, that their respective owners will not assert, to the fullest extent under applicable law, their rights thereto. We do not intend our use or display of other companies’ trade names, trademarks or service marks to imply a relationship with, or endorsement or sponsorship of us by, these other companies.</w:t>
      </w:r>
    </w:p>
    <w:p>
      <w:pPr>
        <w:spacing w:after="0" w:line="13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This prospectus is part of the registration statement on Form S-3 filed with the SEC under the Securities Act of 1933, as amended, or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herein by reference for a copy of such contract, agreement or other document.</w:t>
      </w:r>
    </w:p>
    <w:p>
      <w:pPr>
        <w:spacing w:after="0" w:line="180" w:lineRule="exact"/>
        <w:rPr>
          <w:sz w:val="20"/>
          <w:szCs w:val="20"/>
          <w:color w:val="auto"/>
        </w:rPr>
      </w:pPr>
    </w:p>
    <w:p>
      <w:pPr>
        <w:ind w:left="120" w:right="360"/>
        <w:spacing w:after="0" w:line="261" w:lineRule="auto"/>
        <w:rPr>
          <w:sz w:val="20"/>
          <w:szCs w:val="20"/>
          <w:color w:val="auto"/>
        </w:rPr>
      </w:pPr>
      <w:r>
        <w:rPr>
          <w:rFonts w:ascii="Times New Roman" w:cs="Times New Roman" w:eastAsia="Times New Roman" w:hAnsi="Times New Roman"/>
          <w:sz w:val="18"/>
          <w:szCs w:val="18"/>
          <w:color w:val="auto"/>
        </w:rPr>
        <w:t>We are currently subject to the reporting requirements of the Securities Exchange Act of 1934, as amended, or the Exchange Act, and in accordance therewith file periodic reports, proxy statements and other information with the SEC. Our SEC filings are available to you on the SEC’s website at http://www.sec.gov and in the “Investors” section of our website at www.larimartx.com. Our website and the information contained on that site, or connected to that site, are not incorporated into and are not a part of this prospectus.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w:t>
      </w:r>
    </w:p>
    <w:p>
      <w:pPr>
        <w:spacing w:after="0" w:line="93"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2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filed with the SEC on March 14,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 ended March 31, 2024 filed with the SEC on </w:t>
      </w:r>
      <w:hyperlink r:id="rId29">
        <w:r>
          <w:rPr>
            <w:rFonts w:ascii="Times New Roman" w:cs="Times New Roman" w:eastAsia="Times New Roman" w:hAnsi="Times New Roman"/>
            <w:sz w:val="18"/>
            <w:szCs w:val="18"/>
            <w:u w:val="single" w:color="auto"/>
            <w:color w:val="0000EE"/>
          </w:rPr>
          <w:t>May 9, 2024</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w:t>
      </w:r>
      <w:hyperlink r:id="rId2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2023 from our Definitive Proxy Statement on </w:t>
      </w:r>
      <w:hyperlink r:id="rId30">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29, 2024;</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31">
        <w:r>
          <w:rPr>
            <w:rFonts w:ascii="Times New Roman" w:cs="Times New Roman" w:eastAsia="Times New Roman" w:hAnsi="Times New Roman"/>
            <w:sz w:val="18"/>
            <w:szCs w:val="18"/>
            <w:u w:val="single" w:color="auto"/>
            <w:color w:val="0000EE"/>
          </w:rPr>
          <w:t>February 12, 2024</w:t>
        </w:r>
      </w:hyperlink>
      <w:r>
        <w:rPr>
          <w:rFonts w:ascii="Times New Roman" w:cs="Times New Roman" w:eastAsia="Times New Roman" w:hAnsi="Times New Roman"/>
          <w:sz w:val="18"/>
          <w:szCs w:val="18"/>
          <w:color w:val="auto"/>
        </w:rPr>
        <w:t xml:space="preserve">, </w:t>
      </w:r>
      <w:hyperlink r:id="rId32">
        <w:r>
          <w:rPr>
            <w:rFonts w:ascii="Times New Roman" w:cs="Times New Roman" w:eastAsia="Times New Roman" w:hAnsi="Times New Roman"/>
            <w:sz w:val="18"/>
            <w:szCs w:val="18"/>
            <w:u w:val="single" w:color="auto"/>
            <w:color w:val="0000EE"/>
          </w:rPr>
          <w:t>February 14, 2024</w:t>
        </w:r>
      </w:hyperlink>
      <w:r>
        <w:rPr>
          <w:rFonts w:ascii="Times New Roman" w:cs="Times New Roman" w:eastAsia="Times New Roman" w:hAnsi="Times New Roman"/>
          <w:sz w:val="18"/>
          <w:szCs w:val="18"/>
          <w:color w:val="auto"/>
        </w:rPr>
        <w:t xml:space="preserve">, </w:t>
      </w:r>
      <w:hyperlink r:id="rId33">
        <w:r>
          <w:rPr>
            <w:rFonts w:ascii="Times New Roman" w:cs="Times New Roman" w:eastAsia="Times New Roman" w:hAnsi="Times New Roman"/>
            <w:sz w:val="18"/>
            <w:szCs w:val="18"/>
            <w:u w:val="single" w:color="auto"/>
            <w:color w:val="0000EE"/>
          </w:rPr>
          <w:t>February 16, 2024</w:t>
        </w:r>
      </w:hyperlink>
      <w:r>
        <w:rPr>
          <w:rFonts w:ascii="Times New Roman" w:cs="Times New Roman" w:eastAsia="Times New Roman" w:hAnsi="Times New Roman"/>
          <w:sz w:val="18"/>
          <w:szCs w:val="18"/>
          <w:color w:val="auto"/>
        </w:rPr>
        <w:t xml:space="preserve">, </w:t>
      </w:r>
      <w:hyperlink r:id="rId34">
        <w:r>
          <w:rPr>
            <w:rFonts w:ascii="Times New Roman" w:cs="Times New Roman" w:eastAsia="Times New Roman" w:hAnsi="Times New Roman"/>
            <w:sz w:val="18"/>
            <w:szCs w:val="18"/>
            <w:u w:val="single" w:color="auto"/>
            <w:color w:val="0000EE"/>
          </w:rPr>
          <w:t>March 11,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5">
        <w:r>
          <w:rPr>
            <w:rFonts w:ascii="Times New Roman" w:cs="Times New Roman" w:eastAsia="Times New Roman" w:hAnsi="Times New Roman"/>
            <w:sz w:val="18"/>
            <w:szCs w:val="18"/>
            <w:u w:val="single" w:color="auto"/>
            <w:color w:val="0000EE"/>
          </w:rPr>
          <w:t>May 9, 2024</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(in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each case other than any portions thereof deemed furnished and not filed); and</w:t>
      </w:r>
    </w:p>
    <w:p>
      <w:pPr>
        <w:spacing w:after="0" w:line="67" w:lineRule="exact"/>
        <w:rPr>
          <w:rFonts w:ascii="Times New Roman" w:cs="Times New Roman" w:eastAsia="Times New Roman" w:hAnsi="Times New Roman"/>
          <w:sz w:val="18"/>
          <w:szCs w:val="18"/>
          <w:color w:val="0000EE"/>
        </w:rPr>
      </w:pPr>
    </w:p>
    <w:p>
      <w:pPr>
        <w:ind w:left="1080" w:right="200" w:hanging="424"/>
        <w:spacing w:after="0" w:line="266" w:lineRule="auto"/>
        <w:tabs>
          <w:tab w:leader="none" w:pos="1080" w:val="left"/>
        </w:tabs>
        <w:numPr>
          <w:ilvl w:val="0"/>
          <w:numId w:val="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36">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001-36510) filed with the SEC on June 18, 2014, under the Exchange Act, including any amendment or report filed for the purpose of updating such description, including </w:t>
      </w:r>
      <w:hyperlink r:id="rId37">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our Annual Report on Form 10-K for the year ended December 31, 2023.</w:t>
      </w:r>
    </w:p>
    <w:p>
      <w:pPr>
        <w:spacing w:after="0" w:line="176" w:lineRule="exact"/>
        <w:rPr>
          <w:rFonts w:ascii="Times New Roman" w:cs="Times New Roman" w:eastAsia="Times New Roman" w:hAnsi="Times New Roman"/>
          <w:sz w:val="18"/>
          <w:szCs w:val="18"/>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any filings or portions of such reports that are not deemed “filed” under the Exchange Act in accordance with the Exchange Act and applicable SEC rules, including current reports furnished under Item 2.02 or Item 7.01 of Form 8-K and exhibits furnished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the effectiveness of the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w:t>
      </w:r>
    </w:p>
    <w:p>
      <w:pPr>
        <w:spacing w:after="0" w:line="121"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will furnish without charge to you, upon written or oral request, a copy of any or all of the documents incorporated by reference in this prospectus, including exhibits to these documents by writing or telephoning us at the following address or phone number below. You may also access this information on our website at www.larimartx.com by viewing the “Financials &amp; Filings” subsection of the “Investors” menu. No additional information is deemed to be part of or incorporated by reference into this prospectus.</w:t>
      </w:r>
    </w:p>
    <w:p>
      <w:pPr>
        <w:spacing w:after="0" w:line="1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Three Bala Plaza East, Suite 506</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Bala Cynwyd, PA 19004</w:t>
      </w:r>
    </w:p>
    <w:p>
      <w:pPr>
        <w:spacing w:after="0" w:line="9" w:lineRule="exact"/>
        <w:rPr>
          <w:sz w:val="20"/>
          <w:szCs w:val="20"/>
          <w:color w:val="auto"/>
        </w:rPr>
      </w:pPr>
    </w:p>
    <w:p>
      <w:pPr>
        <w:ind w:left="5500" w:hanging="435"/>
        <w:spacing w:after="0"/>
        <w:tabs>
          <w:tab w:leader="none" w:pos="5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511-9056</w:t>
      </w:r>
    </w:p>
    <w:p>
      <w:pPr>
        <w:spacing w:after="0" w:line="9" w:lineRule="exact"/>
        <w:rPr>
          <w:rFonts w:ascii="Times New Roman" w:cs="Times New Roman" w:eastAsia="Times New Roman" w:hAnsi="Times New Roman"/>
          <w:sz w:val="18"/>
          <w:szCs w:val="18"/>
          <w:color w:val="auto"/>
        </w:rPr>
      </w:pPr>
    </w:p>
    <w:p>
      <w:pPr>
        <w:ind w:left="4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Chief Financial Officer</w:t>
      </w:r>
    </w:p>
    <w:p>
      <w:pPr>
        <w:spacing w:after="0" w:line="13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60"/>
          </w:cols>
          <w:pgMar w:left="320" w:top="455" w:right="5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This prospectus, any applicable prospectus supplement and the documents incorporated by reference may contain forward-looking statements within the meaning of Section 27A of the Securities Act and Section 21E of the Exchange Act about us and our subsidiary.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although not all forward-looking statements contain these identifying words. Forward-looking statements include, but are not limited to, statements concerning:</w:t>
      </w:r>
    </w:p>
    <w:p>
      <w:pPr>
        <w:spacing w:after="0" w:line="94" w:lineRule="exact"/>
        <w:rPr>
          <w:sz w:val="20"/>
          <w:szCs w:val="20"/>
          <w:color w:val="auto"/>
        </w:rPr>
      </w:pPr>
    </w:p>
    <w:p>
      <w:pPr>
        <w:ind w:left="1080" w:hanging="424"/>
        <w:spacing w:after="0" w:line="258"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obtaining successful non-clinical or clinical results that reliably and meaningfully demonstrate safety, tolerability and efficacy profiles that are satisfactory to the U.S. Food and Drug Administration, or FDA, European Medicines Agency, and other comparable regulatory authorities for marketing approval for nomlabofusp (nomlabofusp is the International Nonproprietary Name and the United States Adopted Name for CTI-1601) or any other product candidate that we may develop in the future and unexpected costs that may result therefrom;</w:t>
      </w:r>
    </w:p>
    <w:p>
      <w:pPr>
        <w:spacing w:after="0" w:line="88"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successfully execute our ongoing open label extension study, including the timing of site initiations and rate of patient enrollment, and our ability to pursue dose escalation;</w:t>
      </w:r>
    </w:p>
    <w:p>
      <w:pPr>
        <w:spacing w:after="0" w:line="67"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clinical development and regulatory approval for nomlabofusp, including potential delays in the commencement, enrollment and completion of clinical trials, the timing of a potential Biologics License Application submission for accelerated approval, including our ability to supply to the FDA all required data for FDA to review and accept an accelerated application, or any other product candidate that we may develop in the future;</w:t>
      </w:r>
    </w:p>
    <w:p>
      <w:pPr>
        <w:spacing w:after="0" w:line="85" w:lineRule="exact"/>
        <w:rPr>
          <w:rFonts w:ascii="Times New Roman" w:cs="Times New Roman" w:eastAsia="Times New Roman" w:hAnsi="Times New Roman"/>
          <w:sz w:val="18"/>
          <w:szCs w:val="18"/>
          <w:color w:val="auto"/>
        </w:rPr>
      </w:pPr>
    </w:p>
    <w:p>
      <w:pPr>
        <w:ind w:left="1080" w:right="340" w:hanging="424"/>
        <w:spacing w:after="0" w:line="261"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patient recruitment for our clinical trials (including as a result of the impact of FDA approval of competitive products for the treatment of Friedreich’s ataxia, and/or the impact of other clinical trials of competitive products), delays as a result of clinical and non-clinical results and/or FDA’s request for additional information or studies, changes in clinical protocols, regulatory restrictions, including additional clinical holds, and milestones for nomlabofusp;</w:t>
      </w:r>
    </w:p>
    <w:p>
      <w:pPr>
        <w:spacing w:after="0" w:line="85"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and expenses associated with obtaining and maintaining regulatory approval for nomlabofusp or any other product candidate we may develop in the future, and the indication and labeling under any such approval;</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long we can continue to fund our operations with our existing cash, cash equivalents and marketable securities and our estimates regarding future results of operations, financial position, research and development costs, capital requirements and our access and needs for additional financing;</w:t>
      </w:r>
    </w:p>
    <w:p>
      <w:pPr>
        <w:spacing w:after="0" w:line="81"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third-party manufacturers we engage, to optimize and scale nomlabofusp or any other product candidate’s manufacturing process and to manufacture sufficient quantities of clinical supplies, and, if approved, commercial supplies of nomlabofusp or any other product candidate that we may develop in the future and our ability to maintain our relationships and contracts with our key vendors and to identify and contract with alternate or secondary key vendors;</w:t>
      </w:r>
    </w:p>
    <w:p>
      <w:pPr>
        <w:spacing w:after="0" w:line="85"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any value from nomlabofusp and/or any other product candidate we may develop in the future in light of inherent risks and difficulties involved in successfully bringing product candidates to market and the risk that the product candidates, if approved, will not achieve broad market acceptance;</w:t>
      </w:r>
    </w:p>
    <w:p>
      <w:pPr>
        <w:spacing w:after="0" w:line="81"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regulatory requirements applicable to our business and other regulatory developments in the United States and other countries;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00"/>
          </w:cols>
          <w:pgMar w:left="320" w:top="455"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20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the potential markets for nomlabofusp, if approved, or any other product candidate that we may develop in the future, the rate and degree of market acceptance of nomlabofusp or any other product candidate, if approved, that we may develop in the future and our ability to serve those markets;</w:t>
      </w:r>
    </w:p>
    <w:p>
      <w:pPr>
        <w:spacing w:after="0" w:line="81" w:lineRule="exact"/>
        <w:rPr>
          <w:rFonts w:ascii="Times New Roman" w:cs="Times New Roman" w:eastAsia="Times New Roman" w:hAnsi="Times New Roman"/>
          <w:sz w:val="18"/>
          <w:szCs w:val="18"/>
          <w:color w:val="auto"/>
        </w:rPr>
      </w:pPr>
    </w:p>
    <w:p>
      <w:pPr>
        <w:ind w:left="1080" w:right="280" w:hanging="424"/>
        <w:spacing w:after="0" w:line="261"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competing therapies and products for the treatment of Friedreich’s ataxia, our ability to obtain and maintain designations or eligibility for expedited regulatory programs, and to commercialize current and future product candidates, if approved, (including the impact of potential barriers to entry if a competitor is able to establish a strong market position before we are able to commercialize our products);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protection and defend our intellectual property rights against third parties;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compliance with the rules and regulations of the FDA (and all other regulatory authorities) of third parties upon which we depend, including third-party contract research organizations, consultants and third-party suppliers, manufacturers, distributors, and logistics providers;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scientific, technical, commercial, and management personnel and to retain our executive officers;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proper functionality and security of our internal computer and information systems and prevent or avoid cyber-attacks, malicious intrusion, breakdown, destruction, loss of data privacy or other significant disruption;</w:t>
      </w:r>
    </w:p>
    <w:p>
      <w:pPr>
        <w:spacing w:after="0" w:line="67"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geopolitical tensions, including regional conflicts around the world, adverse macroeconomic events, including those due to inflationary pressures, rising interest rates, banking instability, economic slowdowns or recessions, health epidemics, unforeseen emergencies and other outbreaks of communicable diseases could disrupt our operations, the operations of third parties on which we rely or the operations of regulatory agencies we interact with in the development of nomlabofusp and any other product candidates that we may develop;</w:t>
      </w:r>
    </w:p>
    <w:p>
      <w:pPr>
        <w:spacing w:after="0" w:line="88"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healthcare reform in the United States, including the Inflation Reduction Act of 2022, and measures being taken worldwide designed to reduce healthcare costs and limit the overall level of government expenditures;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cash and other resources, including our expected use of the proceeds from any offering under this prospectus.</w:t>
      </w:r>
    </w:p>
    <w:p>
      <w:pPr>
        <w:spacing w:after="0" w:line="225"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You should read this prospectus and the documents incorporated by reference completely and with the understanding that our actual future results may be materially different from what we currently expect. Our business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discussed under the heading “Risk Factors” contained in this prospectus, any applicable prospectus supplement and any related free writing prospectus, and under similar headings in the other documents that are incorporated by reference into this prospectus.</w:t>
      </w:r>
    </w:p>
    <w:p>
      <w:pPr>
        <w:spacing w:after="0" w:line="18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You should assume that the information appearing in this prospectus, any accompanying prospectus supplement or related free writing prospectus and any document incorporated herein by reference is accurate as of its date only. Because the risk factors referred to above could cause actual results or outcomes to differ materially from those expressed in any forward-looking statements made by us or on our behalf, you should not place undue reliance on any forward-looking statements. Further, any forward-looking statement speaks only as of the date on which it is made. New factors emerge from time to time, and it is not possible for us to predict which factors will arise. In addition, we cannot assess the impact of each factor on our business or the extent to which any factor, or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combination of factors, may cause actual results to differ materially from those contained in any forward-looking statements. Unless required by law, we undertake no obligation to release publicly any revisions to such forward-looking statements to reflect events or circumstances after the date of this prospectus or to reflect the occurrence of unanticipated events.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LARIMAR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We are a clinical-stage biotechnology company focused on developing treatments for patients suffering from complex rare diseases using our novel cell penetrating peptide, or CPP, technology platform. Our lead product candidate, nomlabofusp (nomlabofusp is the International Nonproprietary Name and the United States Adopted Name for CTI-1601), is a subcutaneously administered, recombinant fusion protein intended to deliver tissue frataxin, or FXN, an essential protein, to the mitochondria of patients with Friedreich’s ataxia. Friedreich’s ataxia is a rare, progressive, and fatal disease in which patients are unable to produce sufficient FXN due to a genetic abnormality. Currently, there are no treatment options that address the core deficit of Friedreich’s ataxia, low levels of FXN. Nomlabofusp represents the first potential therapy designed to increase FXN levels in patients with Friedreich’s ataxia.</w:t>
      </w:r>
    </w:p>
    <w:p>
      <w:pPr>
        <w:spacing w:after="0" w:line="189" w:lineRule="exact"/>
        <w:rPr>
          <w:sz w:val="20"/>
          <w:szCs w:val="20"/>
          <w:color w:val="auto"/>
        </w:rPr>
      </w:pPr>
    </w:p>
    <w:p>
      <w:pPr>
        <w:ind w:left="120" w:right="20"/>
        <w:spacing w:after="0" w:line="274" w:lineRule="auto"/>
        <w:rPr>
          <w:sz w:val="20"/>
          <w:szCs w:val="20"/>
          <w:color w:val="auto"/>
        </w:rPr>
      </w:pPr>
      <w:r>
        <w:rPr>
          <w:rFonts w:ascii="Times New Roman" w:cs="Times New Roman" w:eastAsia="Times New Roman" w:hAnsi="Times New Roman"/>
          <w:sz w:val="17"/>
          <w:szCs w:val="17"/>
          <w:color w:val="auto"/>
        </w:rPr>
        <w:t>We have completed two Phase 1 clinical trials and a Phase 2 dose exploration trial, and recently initiated an open label extension trial, or OLE, in patients with Friedreich’s ataxia. We have received an orphan drug designation, fast track designation and rare pediatric disease designation from the U.S. Food and Drug Administration, or FDA, for nomlabofusp. In addition, we received orphan drug designation for nomlabofusp from the European Commission and a PRIority MEdicines designation from the European Medicines Agency, or EMA. We intend to pursue accelerated approval from the FDA for nomlabofusp. The receipt of such designations or positive opinions may not result in a faster development process, review or approval compared to products considered for approval under conventional FDA or EMA procedures and does not assure ultimate approval by the FDA or EMA.</w:t>
      </w:r>
    </w:p>
    <w:p>
      <w:pPr>
        <w:spacing w:after="0" w:line="173"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We believe that our CPP platform, which enables a therapeutic molecule to cross a cell membrane in order to reach intracellular targets, has the potential to enable the treatment of other rare and orphan diseases. We intend to use our proprietary platform to target additional orphan indications characterized by deficiencies in or alterations of intracellular content or activity.</w:t>
      </w:r>
    </w:p>
    <w:p>
      <w:pPr>
        <w:spacing w:after="0" w:line="176" w:lineRule="exact"/>
        <w:rPr>
          <w:sz w:val="20"/>
          <w:szCs w:val="20"/>
          <w:color w:val="auto"/>
        </w:rPr>
      </w:pPr>
    </w:p>
    <w:p>
      <w:pPr>
        <w:jc w:val="both"/>
        <w:ind w:left="120" w:right="680"/>
        <w:spacing w:after="0" w:line="266"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developing nomlabofusp, building our intellectual property portfolio, developing third-party manufacturing capabilities, business planning, raising capital, and providing general and administrative support for such operations.</w:t>
      </w:r>
    </w:p>
    <w:p>
      <w:pPr>
        <w:spacing w:after="0" w:line="176"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have assembled an experienced management team, each member of which has over 20 years of pharmaceutical industry experience. Our management team and consultants have significant expertise in discovery, nonclinical and clinical development, regulatory affairs and the development of manufacturing processes utilizing good manufacturing practices for biologics and small molecules. We believe that our management team’s diverse mix of skills provides for the implementation of effective approaches to drug and biologic development.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 xml:space="preserve">We were founded in 2005 as a Delaware corporation under the name Zafgen, Inc. Our principal executive offices are located at Three Bala Plaza East, Suite 506, Bala Cynwyd, PA 19004, and our telephone number is (844) 511-9056. Our website address is </w:t>
      </w:r>
      <w:r>
        <w:rPr>
          <w:rFonts w:ascii="Times New Roman" w:cs="Times New Roman" w:eastAsia="Times New Roman" w:hAnsi="Times New Roman"/>
          <w:sz w:val="18"/>
          <w:szCs w:val="18"/>
          <w:i w:val="1"/>
          <w:iCs w:val="1"/>
          <w:color w:val="auto"/>
        </w:rPr>
        <w:t>www.larimartx.com</w:t>
      </w:r>
      <w:r>
        <w:rPr>
          <w:rFonts w:ascii="Times New Roman" w:cs="Times New Roman" w:eastAsia="Times New Roman" w:hAnsi="Times New Roman"/>
          <w:sz w:val="18"/>
          <w:szCs w:val="18"/>
          <w:color w:val="auto"/>
        </w:rPr>
        <w:t>. The information on, or that can be accessed through, our website is not part of this prospectus and is not incorporated by reference herein. We have included our website address as an inactive textual reference only. References in this prospectus to “we,” “us,” “our,” “our company,” “Larimar” or “Larimar Therapeutics” refer to Larimar Therapeutics, Inc. and its subsidiary.</w:t>
      </w:r>
    </w:p>
    <w:p>
      <w:pPr>
        <w:spacing w:after="0" w:line="183"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In May 2020, we completed our business combination with Chondrial Therapeutics, Inc., or Chondrial, and changed our name from “Zafgen, Inc.” to “Larimar Therapeutics, Inc.” Chondrial was determined to be the accounting acquirer for financial reporting purposes, our historical financials are those of Chondrial and the business conducted by Chondrial became our business.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Investment in any securities offered pursuant to this prospectus and the applicable prospectus supplement involves risks. You should carefully consider the risk factors included in our most recent Annual Report on Form 10-K and subsequent Quarterly Reports on Form 10-Q filed with the SEC, as such risk factors may be amended, supplemented or superseded from time to time by other reports we file with the SEC, including subsequent Annual Reports on Form 10-K and Quarterly Reports on Form 10-Q, and the risk factors described under the caption “Risk Factors” in any applicable prospectus supplement. See “Where You Can Find More Information” and “Incorporation of Certain Information by Reference.” If any of these risks actually occurs, our business, results of operations and financial condition could suffer. In that case, the trading price of our securities could decline, and you could lose all or part of your investment. Additional risks and uncertainties not currently known to us, or that we currently believe are immaterial, may also adversely affect our business, operating results and financial condition and the value of an investment in our securities. In addition, past financial performance may not be a reliable indicator of future performance, and historical trends should not be used to anticipate results or trends in future periods.</w:t>
      </w:r>
    </w:p>
    <w:p>
      <w:pPr>
        <w:spacing w:after="0" w:line="1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80"/>
          </w:cols>
          <w:pgMar w:left="320" w:top="455" w:right="4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We intend to use the net proceeds from the sale of the securities as set forth in the applicable prospectus supplement.</w:t>
      </w:r>
    </w:p>
    <w:p>
      <w:pPr>
        <w:spacing w:after="0" w:line="1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139"/>
          </w:cols>
          <w:pgMar w:left="320" w:top="455"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description of our capital stock is not complete and may not contain all the information you should consider before investing in our capital stock. This description is summarized from, and qualified in its entirety by reference to, our certificate of incorporation, which has been publicly filed with the SEC. See “Where You Can Find More Information.” For a complete description, you should refer to our Ninth Amended and Restated Certificate of Incorporation, as amended, or the Charter, and our Amended and Restated Bylaws, or the Bylaws, copies of which are incorporated by reference as exhibits to the registration statement of which this prospectus is a part.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Authorized Capital Stock</w:t>
      </w:r>
      <w:r>
        <w:rPr>
          <w:rFonts w:ascii="Times New Roman" w:cs="Times New Roman" w:eastAsia="Times New Roman" w:hAnsi="Times New Roman"/>
          <w:sz w:val="18"/>
          <w:szCs w:val="18"/>
          <w:color w:val="auto"/>
        </w:rPr>
        <w:t>. Our authorized capital stock consists of (i) 115,000,000 shares of common stock, par value $0.001 per share, of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63,802,017 shares have been issued and are outstanding as of May 8, 2024, referred to as the capitalization date, and (ii) 5,000,000 shares of preferred stock, par value $0.001 per share, of which no shares have been issued and there currently are no shares outstanding as of the capitalization date. We do not hold any shares of our capital stock in our treasury.</w:t>
      </w:r>
    </w:p>
    <w:p>
      <w:pPr>
        <w:spacing w:after="0" w:line="17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Voting Rights</w:t>
      </w:r>
      <w:r>
        <w:rPr>
          <w:rFonts w:ascii="Times New Roman" w:cs="Times New Roman" w:eastAsia="Times New Roman" w:hAnsi="Times New Roman"/>
          <w:sz w:val="18"/>
          <w:szCs w:val="18"/>
          <w:color w:val="auto"/>
        </w:rPr>
        <w:t>. Holders of our common stock are entitled to one vote for each share held of record on all matters submitted to a vote of stockholders.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our common stock do not have any cumulative voting rights.</w:t>
      </w:r>
    </w:p>
    <w:p>
      <w:pPr>
        <w:spacing w:after="0" w:line="155"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Dividends</w:t>
      </w:r>
      <w:r>
        <w:rPr>
          <w:rFonts w:ascii="Times New Roman" w:cs="Times New Roman" w:eastAsia="Times New Roman" w:hAnsi="Times New Roman"/>
          <w:sz w:val="18"/>
          <w:szCs w:val="18"/>
          <w:color w:val="auto"/>
        </w:rPr>
        <w:t>. Holders of our common stock are entitled to receive ratably any dividends declared by our Board of Directors, or the Board, out of funds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legally available for that purpose, subject to any preferential dividend rights of any outstanding preferred stock.</w:t>
      </w:r>
    </w:p>
    <w:p>
      <w:pPr>
        <w:spacing w:after="0" w:line="155" w:lineRule="exact"/>
        <w:rPr>
          <w:sz w:val="20"/>
          <w:szCs w:val="20"/>
          <w:color w:val="auto"/>
        </w:rPr>
      </w:pPr>
    </w:p>
    <w:p>
      <w:pPr>
        <w:jc w:val="both"/>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r>
        <w:rPr>
          <w:rFonts w:ascii="Times New Roman" w:cs="Times New Roman" w:eastAsia="Times New Roman" w:hAnsi="Times New Roman"/>
          <w:sz w:val="18"/>
          <w:szCs w:val="18"/>
          <w:color w:val="auto"/>
        </w:rPr>
        <w:t>. Our common stock has no preemptive rights, conversion rights or other subscription rights or redemption or sinking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fund provisions. In the event of a liquidation, dissolution or winding up of us, holders of our common stock will be entitled to share ratably in all assets remaining after payment of all debts and other liabilities and any liquidation preference of any preferred stock then outstanding.</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r>
        <w:rPr>
          <w:rFonts w:ascii="Times New Roman" w:cs="Times New Roman" w:eastAsia="Times New Roman" w:hAnsi="Times New Roman"/>
          <w:sz w:val="18"/>
          <w:szCs w:val="18"/>
          <w:color w:val="auto"/>
        </w:rPr>
        <w:t>. The transfer agent and registrar for our common stock is Computershare Trust Company, N.A.</w:t>
      </w:r>
    </w:p>
    <w:p>
      <w:pPr>
        <w:spacing w:after="0" w:line="225"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Listing</w:t>
      </w:r>
      <w:r>
        <w:rPr>
          <w:rFonts w:ascii="Times New Roman" w:cs="Times New Roman" w:eastAsia="Times New Roman" w:hAnsi="Times New Roman"/>
          <w:sz w:val="18"/>
          <w:szCs w:val="18"/>
          <w:color w:val="auto"/>
        </w:rPr>
        <w:t>. Our common stock is listed on the Nasdaq Global Market under the symbol “LRMR.” On May 8, 2024, the last reported sale price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on the Nasdaq Global Market was $7.92 per share. As of May 8, 2024, we had approximately 19 stockholders of record.</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Our Board currently has the authority, without further action by our stockholders, to issue up to 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preferred stock by us could adversely affect the voting power of holders of our common stock and the likelihood that such holders will receive dividend payments and payments upon a liquidation of us. In addition, the issuance of preferred stock could have the effect of delaying, deferring or preventing a change in control of us or other corporate action. No shares of preferred stock are outstanding, and we have no present plans to issue any shares of preferred stock.</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Provisions of Our Charter and Bylaws and Delaware Anti-Takeover Law</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Certain provisions of the Delaware General Corporation Law, or DGCL, and of our Charter and Bylaws could have the effect of delaying, deferring or discouraging another party from acquiring control of us. These provisions, which are summarized below, are expected to discourage certain types of coercive takeover practices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us to first negotiate with our Board. These provisions might also have the effect of preventing changes in our management. It is possible that these provisions could make it more difficult to accomplish transactions that stockholders might otherwise deem to be in their best interests. However,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185" w:lineRule="exact"/>
        <w:rPr>
          <w:sz w:val="20"/>
          <w:szCs w:val="20"/>
          <w:color w:val="auto"/>
        </w:rPr>
      </w:pPr>
    </w:p>
    <w:p>
      <w:pPr>
        <w:ind w:left="120"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Board Composition and Filling Vacancies</w:t>
      </w:r>
      <w:r>
        <w:rPr>
          <w:rFonts w:ascii="Times New Roman" w:cs="Times New Roman" w:eastAsia="Times New Roman" w:hAnsi="Times New Roman"/>
          <w:sz w:val="18"/>
          <w:szCs w:val="18"/>
          <w:color w:val="auto"/>
        </w:rPr>
        <w:t>. Our Charter provides for the division of our Board into three classes serving staggered three-year terms,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one class being elected each year. Our Charter also provides that directors may be removed only for cause and then only by the affirmative vote of the holders of 75% or more of the shares then entitled to vote at an election of directors. Furthermore, any vacancy on our Board, however occurring, including a vacancy resulting from an increase in the size of our Board, may only be filled by the affirmative vote of a majority of our directors then in office even if less than a quorum.</w:t>
      </w:r>
    </w:p>
    <w:p>
      <w:pPr>
        <w:spacing w:after="0" w:line="179"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 Written Consent of Stockholders</w:t>
      </w:r>
      <w:r>
        <w:rPr>
          <w:rFonts w:ascii="Times New Roman" w:cs="Times New Roman" w:eastAsia="Times New Roman" w:hAnsi="Times New Roman"/>
          <w:sz w:val="18"/>
          <w:szCs w:val="18"/>
          <w:color w:val="auto"/>
        </w:rPr>
        <w:t>. Our Charter provides that all stockholder actions are required to be taken by a vote of the stockholders at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annual or special meeting, and that stockholders may not take any action by written consent in lieu of a meeting.</w:t>
      </w:r>
    </w:p>
    <w:p>
      <w:pPr>
        <w:spacing w:after="0" w:line="155" w:lineRule="exact"/>
        <w:rPr>
          <w:sz w:val="20"/>
          <w:szCs w:val="20"/>
          <w:color w:val="auto"/>
        </w:rPr>
      </w:pPr>
    </w:p>
    <w:p>
      <w:pPr>
        <w:ind w:left="1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Meetings of Stockholders</w:t>
      </w:r>
      <w:r>
        <w:rPr>
          <w:rFonts w:ascii="Times New Roman" w:cs="Times New Roman" w:eastAsia="Times New Roman" w:hAnsi="Times New Roman"/>
          <w:sz w:val="17"/>
          <w:szCs w:val="17"/>
          <w:color w:val="auto"/>
        </w:rPr>
        <w:t>. Our Charter and Bylaws provide that only a majority of the members of our Board then in office may call special meetings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53" w:lineRule="exact"/>
        <w:rPr>
          <w:sz w:val="20"/>
          <w:szCs w:val="20"/>
          <w:color w:val="auto"/>
        </w:rPr>
      </w:pPr>
    </w:p>
    <w:p>
      <w:pPr>
        <w:ind w:left="120"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Advance Notice Requirements</w:t>
      </w:r>
      <w:r>
        <w:rPr>
          <w:rFonts w:ascii="Times New Roman" w:cs="Times New Roman" w:eastAsia="Times New Roman" w:hAnsi="Times New Roman"/>
          <w:sz w:val="18"/>
          <w:szCs w:val="18"/>
          <w:color w:val="auto"/>
        </w:rPr>
        <w:t>. Our Bylaws establish advance notice procedures with regard to stockholder proposals relating to the nomination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w:t>
      </w:r>
    </w:p>
    <w:p>
      <w:pPr>
        <w:spacing w:after="0" w:line="17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Amendment to Charter and Bylaws</w:t>
      </w:r>
      <w:r>
        <w:rPr>
          <w:rFonts w:ascii="Times New Roman" w:cs="Times New Roman" w:eastAsia="Times New Roman" w:hAnsi="Times New Roman"/>
          <w:sz w:val="18"/>
          <w:szCs w:val="18"/>
          <w:color w:val="auto"/>
        </w:rPr>
        <w:t>. As required by the DGCL, any amendment of our Charter must first be approved by a majority of our Board, and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required by law or our Charter,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Charter must be approved by not less than 75% of the outstanding shares entitled to vote on the amendment, and not less than 75%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75% of the outstanding shares entitled to vote on the amendment, or, if our Board recommends that the stockholders approve the amendment, by the affirmative vote of the majority of the outstanding shares entitled to vote on the amendment, in each case voting together as a single class.</w:t>
      </w:r>
    </w:p>
    <w:p>
      <w:pPr>
        <w:spacing w:after="0" w:line="192"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Under Section 203, a business combination between a corporation and an interested stockholder is prohibited unless it satisfies one of the following conditions:</w:t>
      </w:r>
    </w:p>
    <w:p>
      <w:pPr>
        <w:spacing w:after="0" w:line="67" w:lineRule="exact"/>
        <w:rPr>
          <w:sz w:val="20"/>
          <w:szCs w:val="20"/>
          <w:color w:val="auto"/>
        </w:rPr>
      </w:pPr>
    </w:p>
    <w:p>
      <w:pPr>
        <w:ind w:left="10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stockholder became interested, the board of directors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85" w:lineRule="exact"/>
        <w:rPr>
          <w:rFonts w:ascii="Times New Roman" w:cs="Times New Roman" w:eastAsia="Times New Roman" w:hAnsi="Times New Roman"/>
          <w:sz w:val="18"/>
          <w:szCs w:val="18"/>
          <w:color w:val="auto"/>
        </w:rPr>
      </w:pPr>
    </w:p>
    <w:p>
      <w:pPr>
        <w:jc w:val="both"/>
        <w:ind w:left="1080" w:right="12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the stockholder became interested, the business combination was approved by the board of directors and authorized at an annual or special meeting of the stockholders by the affirmative vote of at least two-thirds of the outstanding voting stock which is not owned by the interested stockholder.</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203 defines a business combination to include:</w:t>
      </w:r>
    </w:p>
    <w:p>
      <w:pPr>
        <w:spacing w:after="0" w:line="131"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lease, pledge or other disposition involving the interested stockholder of 10% or more of the assets of the corporation any conflicts or violations of each party’s agreements as a result of the merger or the merger agreement;</w:t>
      </w:r>
    </w:p>
    <w:p>
      <w:pPr>
        <w:spacing w:after="0" w:line="67"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or transfer by the corporation of any stock of the corporation to the interested stockholder;</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involving the corporation that has the effect of increasing the proportionate share of the interested stockholder; and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58"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Exclusive Jurisdiction of Certain Actions</w:t>
      </w:r>
      <w:r>
        <w:rPr>
          <w:rFonts w:ascii="Times New Roman" w:cs="Times New Roman" w:eastAsia="Times New Roman" w:hAnsi="Times New Roman"/>
          <w:sz w:val="18"/>
          <w:szCs w:val="18"/>
          <w:color w:val="auto"/>
        </w:rPr>
        <w:t>. Our Charter provides that, unless we consent in writing to the selection of an alternative forum, the Court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Chancery of the State of Delaware shall be the sole and exclusive forum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our Charter or our Bylaws, or (iv) any action asserting a claim against us governed by the internal affairs doctrine. This provision does not apply to claims arising under the Exchange Act or the Securities Act. Although we believe this provision benefits us by providing increased consistency in the application of Delaware law in the types of lawsuits to which it applies, the provision may have the effect of discouraging lawsuits against our directors and officers. The enforceability of similar exclusive forum provisions in other companies’ certificates of incorporation has been challenged in legal proceedings, and it is possible that a court could rule that this provision in our Charter is inapplicable or unenforceable.</w:t>
      </w:r>
    </w:p>
    <w:p>
      <w:pPr>
        <w:spacing w:after="0" w:line="1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80"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76"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to be named in the applicable indenture. We have summarized select portions of the indenture below. The summary is not complete. The form of the indenture has been filed as an exhibit to the registration statement of which this prospectus forms a part and you should read the indenture for provisions that may be important to you. Capitalized terms used in the summary and not defined herein have the meanings specified in the indenture.</w:t>
      </w:r>
    </w:p>
    <w:p>
      <w:pPr>
        <w:spacing w:after="0" w:line="180"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As used in this section only, “Larimar,” “Larimar Therapeutics,” “we,” “our” or “us” refer to Larimar Therapeutics, Inc., excluding our subsidiary, unless expressly stated or the context otherwise requires.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76"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81"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85"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6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1"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81"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80"/>
          </w:cols>
          <w:pgMar w:left="320" w:top="455"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81" w:lineRule="exact"/>
        <w:rPr>
          <w:sz w:val="20"/>
          <w:szCs w:val="20"/>
          <w:color w:val="auto"/>
        </w:rPr>
      </w:pPr>
    </w:p>
    <w:p>
      <w:pPr>
        <w:jc w:val="both"/>
        <w:ind w:left="120" w:right="60"/>
        <w:spacing w:after="0" w:line="267" w:lineRule="auto"/>
        <w:rPr>
          <w:sz w:val="20"/>
          <w:szCs w:val="20"/>
          <w:color w:val="auto"/>
        </w:rPr>
      </w:pPr>
      <w:r>
        <w:rPr>
          <w:rFonts w:ascii="Times New Roman" w:cs="Times New Roman" w:eastAsia="Times New Roman" w:hAnsi="Times New Roman"/>
          <w:sz w:val="18"/>
          <w:szCs w:val="18"/>
          <w:i w:val="1"/>
          <w:iCs w:val="1"/>
          <w:color w:val="auto"/>
        </w:rPr>
        <w:t>Certificated Debt Securities</w:t>
      </w:r>
      <w:r>
        <w:rPr>
          <w:rFonts w:ascii="Times New Roman" w:cs="Times New Roman" w:eastAsia="Times New Roman" w:hAnsi="Times New Roman"/>
          <w:sz w:val="18"/>
          <w:szCs w:val="18"/>
          <w:color w:val="auto"/>
        </w:rPr>
        <w:t>. You may transfer or exchange certificated debt securities at any office we maintain for this purpose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75"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74" w:lineRule="exact"/>
        <w:rPr>
          <w:sz w:val="20"/>
          <w:szCs w:val="20"/>
          <w:color w:val="auto"/>
        </w:rPr>
      </w:pPr>
    </w:p>
    <w:p>
      <w:pPr>
        <w:ind w:left="120" w:right="40"/>
        <w:spacing w:after="0" w:line="284" w:lineRule="auto"/>
        <w:rPr>
          <w:sz w:val="20"/>
          <w:szCs w:val="20"/>
          <w:color w:val="auto"/>
        </w:rPr>
      </w:pPr>
      <w:r>
        <w:rPr>
          <w:rFonts w:ascii="Times New Roman" w:cs="Times New Roman" w:eastAsia="Times New Roman" w:hAnsi="Times New Roman"/>
          <w:sz w:val="18"/>
          <w:szCs w:val="18"/>
          <w:i w:val="1"/>
          <w:iCs w:val="1"/>
          <w:color w:val="auto"/>
        </w:rPr>
        <w:t>Global Debt Securities and Book-Entry System</w:t>
      </w:r>
      <w:r>
        <w:rPr>
          <w:rFonts w:ascii="Times New Roman" w:cs="Times New Roman" w:eastAsia="Times New Roman" w:hAnsi="Times New Roman"/>
          <w:sz w:val="18"/>
          <w:szCs w:val="18"/>
          <w:color w:val="auto"/>
        </w:rPr>
        <w:t>. Each global debt security representing book-entry debt securities will be deposited with, or on behalf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Depositary, and registered in the name of the Depositary or a nominee of the Depositary. Please see “Global Securities.”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21"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21"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(a “successor person”) unless:</w:t>
      </w:r>
    </w:p>
    <w:p>
      <w:pPr>
        <w:spacing w:after="0" w:line="67" w:lineRule="exact"/>
        <w:rPr>
          <w:sz w:val="20"/>
          <w:szCs w:val="20"/>
          <w:color w:val="auto"/>
        </w:rPr>
      </w:pPr>
    </w:p>
    <w:p>
      <w:pPr>
        <w:ind w:left="1080" w:right="20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Larimar) is a corporation organized and validly existing under the laws of any U.S. domestic jurisdiction and expressly assumes our obligations on the debt securities and under the indenture;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Notwithstanding the above, any of our subsidiaries may consolidate with, merge into or transfer all or part of its properties to us.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131" w:lineRule="exact"/>
        <w:rPr>
          <w:sz w:val="20"/>
          <w:szCs w:val="20"/>
          <w:color w:val="auto"/>
        </w:rPr>
      </w:pPr>
    </w:p>
    <w:p>
      <w:pPr>
        <w:ind w:left="1080" w:right="16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Larimar and the trustee receive written notice from the holders of not less than 25% in principal amount of the outstanding debt securities of that series as provided in the indenture;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Larimar;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w:t>
      </w:r>
    </w:p>
    <w:p>
      <w:pPr>
        <w:spacing w:after="0" w:line="225" w:lineRule="exact"/>
        <w:rPr>
          <w:sz w:val="20"/>
          <w:szCs w:val="20"/>
          <w:color w:val="auto"/>
        </w:rPr>
      </w:pPr>
    </w:p>
    <w:p>
      <w:pPr>
        <w:ind w:left="120" w:right="180"/>
        <w:spacing w:after="0" w:line="289" w:lineRule="auto"/>
        <w:rPr>
          <w:sz w:val="20"/>
          <w:szCs w:val="20"/>
          <w:color w:val="auto"/>
        </w:rPr>
      </w:pPr>
      <w:r>
        <w:rPr>
          <w:rFonts w:ascii="Times New Roman" w:cs="Times New Roman" w:eastAsia="Times New Roman" w:hAnsi="Times New Roman"/>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subsidiary outstanding from time to time.</w:t>
      </w:r>
    </w:p>
    <w:p>
      <w:pPr>
        <w:spacing w:after="0" w:line="158"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87"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3"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7" w:lineRule="exact"/>
        <w:rPr>
          <w:sz w:val="20"/>
          <w:szCs w:val="20"/>
          <w:color w:val="auto"/>
        </w:rPr>
      </w:pPr>
    </w:p>
    <w:p>
      <w:pPr>
        <w:ind w:left="1080" w:right="1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76"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67"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“Consolidation, Merger and Sale of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 of 1939, as amended.</w:t>
      </w:r>
    </w:p>
    <w:p>
      <w:pPr>
        <w:spacing w:after="0" w:line="16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1"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w:t>
      </w:r>
    </w:p>
    <w:p>
      <w:pPr>
        <w:spacing w:after="0" w:line="225"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11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The indenture provides that, unless otherwise provided by the terms of the applicable series of debt securities, we may be discharged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8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85" w:lineRule="exact"/>
        <w:rPr>
          <w:sz w:val="20"/>
          <w:szCs w:val="20"/>
          <w:color w:val="auto"/>
        </w:rPr>
      </w:pPr>
    </w:p>
    <w:p>
      <w:pPr>
        <w:ind w:left="120" w:right="180"/>
        <w:spacing w:after="0" w:line="284" w:lineRule="auto"/>
        <w:rPr>
          <w:sz w:val="20"/>
          <w:szCs w:val="20"/>
          <w:color w:val="auto"/>
        </w:rPr>
      </w:pPr>
      <w:r>
        <w:rPr>
          <w:rFonts w:ascii="Times New Roman" w:cs="Times New Roman" w:eastAsia="Times New Roman" w:hAnsi="Times New Roman"/>
          <w:sz w:val="18"/>
          <w:szCs w:val="18"/>
          <w:i w:val="1"/>
          <w:iCs w:val="1"/>
          <w:color w:val="auto"/>
        </w:rPr>
        <w:t>Defeasance of Certain Covenants</w:t>
      </w:r>
      <w:r>
        <w:rPr>
          <w:rFonts w:ascii="Times New Roman" w:cs="Times New Roman" w:eastAsia="Times New Roman" w:hAnsi="Times New Roman"/>
          <w:sz w:val="18"/>
          <w:szCs w:val="18"/>
          <w:color w:val="auto"/>
        </w:rPr>
        <w:t>. The indenture provides that, unless otherwise provided by the terms of the applicable series of debt securities,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certain conditions:</w:t>
      </w:r>
    </w:p>
    <w:p>
      <w:pPr>
        <w:spacing w:after="0" w:line="66" w:lineRule="exact"/>
        <w:rPr>
          <w:sz w:val="20"/>
          <w:szCs w:val="20"/>
          <w:color w:val="auto"/>
        </w:rPr>
      </w:pPr>
    </w:p>
    <w:p>
      <w:pPr>
        <w:ind w:left="1080" w:right="20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 (“covenant defeasance”).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conditions include:</w:t>
      </w:r>
    </w:p>
    <w:p>
      <w:pPr>
        <w:spacing w:after="0" w:line="131" w:lineRule="exact"/>
        <w:rPr>
          <w:sz w:val="20"/>
          <w:szCs w:val="20"/>
          <w:color w:val="auto"/>
        </w:rPr>
      </w:pPr>
    </w:p>
    <w:p>
      <w:pPr>
        <w:ind w:left="1080" w:right="100" w:hanging="424"/>
        <w:spacing w:after="0" w:line="25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92"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Securityholders</w:t>
      </w:r>
    </w:p>
    <w:p>
      <w:pPr>
        <w:spacing w:after="0" w:line="121"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debt securities, will be governed by the laws of the State of New York.</w:t>
      </w:r>
    </w:p>
    <w:p>
      <w:pPr>
        <w:spacing w:after="0" w:line="162"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particular terms of any issue of warrants will be described in the prospectus supplement relating to the issue. Those terms may include:</w:t>
      </w:r>
    </w:p>
    <w:p>
      <w:pPr>
        <w:spacing w:after="0" w:line="131" w:lineRule="exact"/>
        <w:rPr>
          <w:sz w:val="20"/>
          <w:szCs w:val="20"/>
          <w:color w:val="auto"/>
        </w:rPr>
      </w:pPr>
    </w:p>
    <w:p>
      <w:pPr>
        <w:ind w:left="1080" w:right="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or preferred stock purchasable upon the exercise of warrants to purchase such shares and the price at which such number of shares may be purchased upon such exercise;</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stated value and terms (including, without limitation, liquidation, dividend, conversion and voting rights) of the series of preferred stock purchasable upon exercise of warrants to purchase preferred stock;</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that may be purchased upon exercise of a debt warrant and the exercise price for the warrants, which may be payable in cash, securities or other property;</w:t>
      </w:r>
    </w:p>
    <w:p>
      <w:pPr>
        <w:spacing w:after="0" w:line="67"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warrants and the related debt securities, preferred stock or common stock will be separately transferable;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the right will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federal income tax consequences applicable to the warrants; and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exercise and settlement of the warrants.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Holders of equity warrants will not be entitled to:</w:t>
      </w:r>
    </w:p>
    <w:p>
      <w:pPr>
        <w:spacing w:after="0" w:line="131"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consent or receive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 as stockholders with respect to any meeting of stockholders for the election of our directors or any other matter;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rights as our stockholders.</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80"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80"/>
          </w:cols>
          <w:pgMar w:left="320" w:top="455" w:right="4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80"/>
          </w:cols>
          <w:pgMar w:left="320" w:top="455"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80"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87"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If we offer any units, certain terms of that series of units will be described in the applicable prospectus supplement, including, without limitation, the following, as applicable:</w:t>
      </w:r>
    </w:p>
    <w:p>
      <w:pPr>
        <w:spacing w:after="0" w:line="67"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description of the separate constituent securities comprising the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units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constituent securities comprising the units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United States federal income tax considerations applicable to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their constituent securities.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OUR SUBSCRIPTION RIGHTS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issue subscription rights to purchase our common stock, preferred stock or debt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subscription rights we offer, if any, will, to the extent applicable, include specific terms relating to the offering, including some or all of the following:</w:t>
      </w:r>
    </w:p>
    <w:p>
      <w:pPr>
        <w:spacing w:after="0" w:line="67"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our common stock, preferred stock or debt securities upon the exercise of the subscription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to be issued to each stockholder;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our common stock, preferred stock or debt securities which may be purchased per each subscription right;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 or an over-allotment privilege to the extent the securities are fully subscribed;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which may be entered into by us in connection with the offering of subscription rights.</w:t>
      </w:r>
    </w:p>
    <w:p>
      <w:pPr>
        <w:spacing w:after="0" w:line="162"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description in the applicable prospectus supplement of any subscription rights we offer will not necessarily be complete and will be qualified in its entirety by reference to the applicable subscription rights certificate, which will be filed with the SEC if we offer subscription rights. We urge you to read the applicable subscription rights certificate and any applicable prospectus supplement in their entirety.</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131"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limited-purpose trust company organized under the New York Banking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Banking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New York Uniform Commercial Code;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pursuant to the provisions of Section 17A of the Exchange Act.</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92"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89" w:lineRule="exact"/>
        <w:rPr>
          <w:sz w:val="20"/>
          <w:szCs w:val="20"/>
          <w:color w:val="auto"/>
        </w:rPr>
      </w:pPr>
    </w:p>
    <w:p>
      <w:pPr>
        <w:ind w:left="120" w:right="120"/>
        <w:spacing w:after="0" w:line="277" w:lineRule="auto"/>
        <w:rPr>
          <w:sz w:val="20"/>
          <w:szCs w:val="20"/>
          <w:color w:val="auto"/>
        </w:rPr>
      </w:pPr>
      <w:r>
        <w:rPr>
          <w:rFonts w:ascii="Times New Roman" w:cs="Times New Roman" w:eastAsia="Times New Roman" w:hAnsi="Times New Roman"/>
          <w:sz w:val="17"/>
          <w:szCs w:val="17"/>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1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80"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76"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62" w:lineRule="exact"/>
        <w:rPr>
          <w:sz w:val="20"/>
          <w:szCs w:val="20"/>
          <w:color w:val="auto"/>
        </w:rPr>
      </w:pPr>
    </w:p>
    <w:p>
      <w:pPr>
        <w:ind w:left="120" w:right="40"/>
        <w:spacing w:after="0" w:line="289" w:lineRule="auto"/>
        <w:rPr>
          <w:sz w:val="20"/>
          <w:szCs w:val="20"/>
          <w:color w:val="auto"/>
        </w:rPr>
      </w:pPr>
      <w:r>
        <w:rPr>
          <w:rFonts w:ascii="Times New Roman" w:cs="Times New Roman" w:eastAsia="Times New Roman" w:hAnsi="Times New Roman"/>
          <w:sz w:val="17"/>
          <w:szCs w:val="17"/>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58"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9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76"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62"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As noted above, beneficial owners of a particular series of securities generally will not receive certificates representing their ownership interests in those securities. However, if:</w:t>
      </w:r>
    </w:p>
    <w:p>
      <w:pPr>
        <w:spacing w:after="0" w:line="67" w:lineRule="exact"/>
        <w:rPr>
          <w:sz w:val="20"/>
          <w:szCs w:val="20"/>
          <w:color w:val="auto"/>
        </w:rPr>
      </w:pPr>
    </w:p>
    <w:p>
      <w:pPr>
        <w:ind w:left="1080" w:right="200" w:hanging="424"/>
        <w:spacing w:after="0" w:line="261"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in our sole discretion, not to have such securities represented by one or more global securities;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 with respect to such series of securities,</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80"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We have obtained the information in this section and elsewhere in this prospectus concerning DTC and DTC’s book-entry system from sources that are believed to be reliable, but we take no responsibility for the accuracy of this information.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Euroclear and Clearstream</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87"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76"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176"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176"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183"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“at-the-market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81"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“at-the-market offerings” (as defined in Rule 415 under the Securities 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method permitted by applicable law and described in a prospectus supplement.</w:t>
      </w:r>
    </w:p>
    <w:p>
      <w:pPr>
        <w:spacing w:after="0" w:line="225"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76"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62"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62" w:lineRule="exact"/>
        <w:rPr>
          <w:sz w:val="20"/>
          <w:szCs w:val="20"/>
          <w:color w:val="auto"/>
        </w:rPr>
      </w:pPr>
    </w:p>
    <w:p>
      <w:pPr>
        <w:ind w:left="120" w:right="180"/>
        <w:spacing w:after="0" w:line="273" w:lineRule="auto"/>
        <w:rPr>
          <w:sz w:val="20"/>
          <w:szCs w:val="20"/>
          <w:color w:val="auto"/>
        </w:rPr>
      </w:pPr>
      <w:r>
        <w:rPr>
          <w:rFonts w:ascii="Times New Roman" w:cs="Times New Roman" w:eastAsia="Times New Roman" w:hAnsi="Times New Roman"/>
          <w:sz w:val="17"/>
          <w:szCs w:val="17"/>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71" w:lineRule="exact"/>
        <w:rPr>
          <w:sz w:val="20"/>
          <w:szCs w:val="20"/>
          <w:color w:val="auto"/>
        </w:rPr>
      </w:pPr>
    </w:p>
    <w:p>
      <w:pPr>
        <w:ind w:left="120" w:right="220"/>
        <w:spacing w:after="0" w:line="256" w:lineRule="auto"/>
        <w:rPr>
          <w:sz w:val="20"/>
          <w:szCs w:val="20"/>
          <w:color w:val="auto"/>
        </w:rPr>
      </w:pPr>
      <w:r>
        <w:rPr>
          <w:rFonts w:ascii="Times New Roman" w:cs="Times New Roman" w:eastAsia="Times New Roman" w:hAnsi="Times New Roman"/>
          <w:sz w:val="18"/>
          <w:szCs w:val="18"/>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87"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Any common stock or preferred stock will be listed on the Nasdaq Global Market, but any other securities may or may not be listed on a national securities exchange.</w:t>
      </w:r>
    </w:p>
    <w:p>
      <w:pPr>
        <w:spacing w:after="0" w:line="54"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To facilitate the offering of securities, and to the extent permitted by and in accordance with Regulation M under the Exchange Act, certain persons participating in the offering may engage in transactions that stabilize, maintain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8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To the extent permitted by and in accordance with Regulation M under the Exchange Act, any underwriters who are qualified market makers on Nasdaq may engage in passive market making transactions in the securities on Nasdaq during the business day prior to the pricing of an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pacing w:after="0" w:line="18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If indicated in the applicable prospectus supplement, underwriters or other persons acting as agents may be authorized to solicit offers by institutions or other suitable purchasers to purchase the securities at the public offering price set forth in the prospectus supplement, pursuant to delayed delivery contracts providing for payment and delivery on the date or dates stated in the prospectus supplement. These purchasers may include, among others, commercial and savings banks, insurance companies, pension funds, investment companies and educational and charitable institutions. Delayed delivery contracts will be subject to the condition that the purchase of the securities covered by the delayed delivery contracts will not at the time of delivery be prohibited under the laws of any jurisdiction in the United States to which the purchaser is subject. The underwriters and agents will not have any responsibility with respect to the validity or performance of these contracts.</w:t>
      </w:r>
    </w:p>
    <w:p>
      <w:pPr>
        <w:spacing w:after="0" w:line="18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We may engage in “at-the-market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w:t>
      </w:r>
    </w:p>
    <w:p>
      <w:pPr>
        <w:spacing w:after="0" w:line="225"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underwriters, dealers and agents may engage in transactions with us, or perform services for us, in the ordinary course of business for which they receive compensation.</w:t>
      </w:r>
    </w:p>
    <w:p>
      <w:pPr>
        <w:spacing w:after="0" w:line="162"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No securities may be sold under this prospectus without delivery, in paper format or in electronic format, or both, of the applicable prospectus supplement describing the method and terms of the offering.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left="120" w:right="540"/>
        <w:spacing w:after="0" w:line="266" w:lineRule="auto"/>
        <w:rPr>
          <w:sz w:val="20"/>
          <w:szCs w:val="20"/>
          <w:color w:val="auto"/>
        </w:rPr>
      </w:pPr>
      <w:r>
        <w:rPr>
          <w:rFonts w:ascii="Times New Roman" w:cs="Times New Roman" w:eastAsia="Times New Roman" w:hAnsi="Times New Roman"/>
          <w:sz w:val="18"/>
          <w:szCs w:val="18"/>
          <w:color w:val="auto"/>
        </w:rPr>
        <w:t>Goodwin Procter LLP will pass upon certain legal matters relating to the issuance and sale of the securities offered hereby on behalf of Larimar Therapeutics, Inc. Additional legal matters may be passed upon for us or any underwriters, dealers or agents by counsel that we will name in the applicable prospectus supplement.</w:t>
      </w:r>
    </w:p>
    <w:p>
      <w:pPr>
        <w:spacing w:after="0" w:line="3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to the Annual Report on Form 10-K for the year ended December 31, 2023 have been so incorporated in reliance on the report of PricewaterhouseCoopers LLP, an independent registered public accounting firm, given on the authority of said firm as experts in auditing and accounting.</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40"/>
          </w:cols>
          <w:pgMar w:left="320" w:top="455" w:right="5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$300,000,000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344170</wp:posOffset>
            </wp:positionV>
            <wp:extent cx="2571750" cy="10204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2571750"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388620</wp:posOffset>
            </wp:positionV>
            <wp:extent cx="1474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 2024</w:t>
      </w:r>
    </w:p>
    <w:p>
      <w:pPr>
        <w:spacing w:after="0" w:line="200" w:lineRule="exact"/>
        <w:rPr>
          <w:sz w:val="20"/>
          <w:szCs w:val="20"/>
          <w:color w:val="auto"/>
        </w:rPr>
      </w:pPr>
    </w:p>
    <w:p>
      <w:pPr>
        <w:spacing w:after="0" w:line="24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have not authorized any dealer, salesperson or other person to give any information or represent anything not contained in this prospectus. You must not rely on any unauthorized information. If anyone provides you with different or inconsistent information, you should not rely on it. This prospectus does not offer to sell any securities in any jurisdiction where it is unlawful. Neither the delivery of this prospectus, nor any sale made hereunder, shall create any implication that the information in this prospectus is correct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408305</wp:posOffset>
            </wp:positionV>
            <wp:extent cx="6995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468630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60"/>
          </w:cols>
          <w:pgMar w:left="320" w:top="455" w:right="5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FF4338"/>
        </w:rPr>
        <w:t>Subject to Completion, dated May 9, 2024.</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182245</wp:posOffset>
            </wp:positionV>
            <wp:extent cx="2614295" cy="9861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26142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259080</wp:posOffset>
            </wp:positionV>
            <wp:extent cx="1474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We have entered into a sales agreement with Guggenheim Securities, LLC, or Guggenheim Securities, dated May 9, 2024, or the Sales Agreement, relating to the sale of shares of our common stock, par value $0.001 per share, offered by this prospectus. In accordance with the terms of the Sales Agreement, under this prospectus, we may offer and sell shares of our common stock having an aggregate offering price of up to $100.0 million from time to time through Guggenheim Securities, acting as our agent.</w:t>
      </w:r>
    </w:p>
    <w:p>
      <w:pPr>
        <w:spacing w:after="0" w:line="180"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Our common stock trades on the Nasdaq Global Market under the symbol “LRMR.” On May 8, 2024, the last sale price of our common stock reported on the Nasdaq Global Market was $7.92 per share.</w:t>
      </w:r>
    </w:p>
    <w:p>
      <w:pPr>
        <w:spacing w:after="0" w:line="162"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Sales of our common stock, if any, under this prospectus may be made in sales deemed to be in negotiated transactions or transactions that are deemed “at-the-market offerings” as defined in Rule 415 promulgated under the Securities Act of 1933, as amended, or the Securities Act. Guggenheim Securities is not required to sell any specific amount of our common stock, but will act as our sales agent using commercially reasonable efforts consistent with its normal trading and sales practices, on mutually agreed terms between Guggenheim Securities and us. There is no arrangement for funds to be received in any escrow, trust or similar arrangement.</w:t>
      </w:r>
    </w:p>
    <w:p>
      <w:pPr>
        <w:spacing w:after="0" w:line="18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compensation to Guggenheim Securities for sales of common stock sold pursuant to the Sales Agreement will be an amount up to 3.0% of the gross proceeds of any shares of common stock sold thereunder. See “Plan of Distribution” beginning on page 19 for additional information regarding the compensation to be paid to Guggenheim Securities. In connection with the sale of the common stock on our behalf, Guggenheim Securities will be deemed to be an “underwriter” within the meaning of the Securities Act, and the compensation of Guggenheim Securities will be deemed to be underwriting commissions or discounts. We have also agreed to provide indemnification and contribution to Guggenheim Securities with respect to certain liabilities, including liabilities under the Securities Act or the Securities Exchange Act of 1934, as amended, or the Exchange Act.</w:t>
      </w:r>
    </w:p>
    <w:p>
      <w:pPr>
        <w:spacing w:after="0" w:line="174" w:lineRule="exact"/>
        <w:rPr>
          <w:sz w:val="20"/>
          <w:szCs w:val="20"/>
          <w:color w:val="auto"/>
        </w:rPr>
      </w:pPr>
    </w:p>
    <w:p>
      <w:pPr>
        <w:ind w:left="120" w:right="12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COMMON STOCK INVOLVES RISKS. BEFORE MAKING AN INVESTMENT DECISION, PLEASE READ THE RISKS DESCRIBED UNDER THE CAPTION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6 OF THIS PROSPECTUS AND IN THE DOCUMENTS INCORPORATED BY REFERENCE INTO THIS PROSPECTUS.</w:t>
      </w:r>
    </w:p>
    <w:p>
      <w:pPr>
        <w:spacing w:after="0" w:line="181"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Guggenheim Securities</w:t>
      </w:r>
    </w:p>
    <w:p>
      <w:pPr>
        <w:spacing w:after="0" w:line="23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date of this prospectus is         , 2024.</w:t>
      </w:r>
    </w:p>
    <w:p>
      <w:pPr>
        <w:sectPr>
          <w:pgSz w:w="11900" w:h="16838" w:orient="portrait"/>
          <w:cols w:equalWidth="0" w:num="1">
            <w:col w:w="11080"/>
          </w:cols>
          <w:pgMar w:left="320" w:top="455"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8220" w:type="dxa"/>
            <w:vAlign w:val="bottom"/>
            <w:gridSpan w:val="15"/>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7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304"/>
        </w:trPr>
        <w:tc>
          <w:tcPr>
            <w:tcW w:w="8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304"/>
        </w:trPr>
        <w:tc>
          <w:tcPr>
            <w:tcW w:w="51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3040" w:type="dxa"/>
            <w:vAlign w:val="bottom"/>
            <w:gridSpan w:val="2"/>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4"/>
        </w:trPr>
        <w:tc>
          <w:tcPr>
            <w:tcW w:w="8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04"/>
        </w:trPr>
        <w:tc>
          <w:tcPr>
            <w:tcW w:w="128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THE OFFERING</w:t>
            </w:r>
          </w:p>
        </w:tc>
        <w:tc>
          <w:tcPr>
            <w:tcW w:w="800" w:type="dxa"/>
            <w:vAlign w:val="bottom"/>
            <w:tcBorders>
              <w:top w:val="single" w:sz="8" w:color="0000EE"/>
            </w:tcBorders>
            <w:gridSpan w:val="5"/>
          </w:tcPr>
          <w:p>
            <w:pPr>
              <w:spacing w:after="0"/>
              <w:rPr>
                <w:sz w:val="24"/>
                <w:szCs w:val="24"/>
                <w:color w:val="auto"/>
              </w:rPr>
            </w:pPr>
          </w:p>
        </w:tc>
        <w:tc>
          <w:tcPr>
            <w:tcW w:w="6140" w:type="dxa"/>
            <w:vAlign w:val="bottom"/>
            <w:gridSpan w:val="6"/>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04"/>
        </w:trPr>
        <w:tc>
          <w:tcPr>
            <w:tcW w:w="8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304"/>
        </w:trPr>
        <w:tc>
          <w:tcPr>
            <w:tcW w:w="57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440" w:type="dxa"/>
            <w:vAlign w:val="bottom"/>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04"/>
        </w:trPr>
        <w:tc>
          <w:tcPr>
            <w:tcW w:w="16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USE OF PROCEEDS</w:t>
            </w:r>
          </w:p>
        </w:tc>
        <w:tc>
          <w:tcPr>
            <w:tcW w:w="6620" w:type="dxa"/>
            <w:vAlign w:val="bottom"/>
            <w:gridSpan w:val="8"/>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04"/>
        </w:trPr>
        <w:tc>
          <w:tcPr>
            <w:tcW w:w="8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DILUTION</w:t>
            </w:r>
          </w:p>
        </w:tc>
        <w:tc>
          <w:tcPr>
            <w:tcW w:w="7360" w:type="dxa"/>
            <w:vAlign w:val="bottom"/>
            <w:gridSpan w:val="13"/>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04"/>
        </w:trPr>
        <w:tc>
          <w:tcPr>
            <w:tcW w:w="15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DIVIDEND POLICY</w:t>
            </w:r>
          </w:p>
        </w:tc>
        <w:tc>
          <w:tcPr>
            <w:tcW w:w="6640" w:type="dxa"/>
            <w:vAlign w:val="bottom"/>
            <w:gridSpan w:val="9"/>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04"/>
        </w:trPr>
        <w:tc>
          <w:tcPr>
            <w:tcW w:w="8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DESCRIPTION OF CAPITAL STOCK</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04"/>
        </w:trPr>
        <w:tc>
          <w:tcPr>
            <w:tcW w:w="286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5360" w:type="dxa"/>
            <w:vAlign w:val="bottom"/>
            <w:gridSpan w:val="4"/>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04"/>
        </w:trPr>
        <w:tc>
          <w:tcPr>
            <w:tcW w:w="146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24"/>
                <w:szCs w:val="24"/>
                <w:color w:val="auto"/>
              </w:rPr>
            </w:pPr>
          </w:p>
        </w:tc>
        <w:tc>
          <w:tcPr>
            <w:tcW w:w="6180" w:type="dxa"/>
            <w:vAlign w:val="bottom"/>
            <w:gridSpan w:val="7"/>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04"/>
        </w:trPr>
        <w:tc>
          <w:tcPr>
            <w:tcW w:w="8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EXPERTS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bl>
    <w:p>
      <w:pPr>
        <w:sectPr>
          <w:pgSz w:w="11900" w:h="16838" w:orient="portrait"/>
          <w:cols w:equalWidth="0" w:num="1">
            <w:col w:w="11080"/>
          </w:cols>
          <w:pgMar w:left="320" w:top="455"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480"/>
        <w:spacing w:after="0" w:line="261"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or the SEC, utilizing a “shelf” registration process. Under this shelf registration process, we may from time to time offer and sell shares of our common stock having an aggregate offering price of up to $100,000,000 under this prospectus at prices and on terms to be determined by market conditions at the time of offering.</w:t>
      </w:r>
    </w:p>
    <w:p>
      <w:pPr>
        <w:spacing w:after="0" w:line="180"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To the extent that any statement we make in this prospectus is inconsistent with statements made in any documents incorporated by reference herein that was filed with the SEC before the date of this prospectus, the statements made in this prospectus will be deemed to modify or supersede those made in the documents incorporated by reference herein and therein. However, if any statement in one of these documents is inconsistent with a statement in another document having a later date—for example, a document incorporated by reference in this prospectus—the statement in the document having the later date modifies or supersedes the earlier statement as our business, financial condition, results of operations and prospects may have changed since the earlier dates. You should read this prospectus and any free writing prospectus that we may authorize for use in connection with this offering, including the information incorporated by reference herein and therein before deciding to invest in our common stock.</w:t>
      </w:r>
    </w:p>
    <w:p>
      <w:pPr>
        <w:spacing w:after="0" w:line="189"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You should rely only on the information contained in, or incorporated by reference into, this prospectus and in any free writing prospectus that we may authorize for use in connection with this offering. We have not, and Guggenheim Securities has not, authorized any dealer, salesman or other person to provide you with different information. If anyone provides you with different or inconsistent information, you should not rely on it. This prospectus does not constitute an offer to sell or the solicitation of an offer to buy any securities other than the registered securities described in this prospectus, nor does this prospectus constitute an offer to sell or the solicitation of an offer to buy securities in any jurisdiction to any person to whom it is unlawful to make such offer or solicitation in such jurisdiction. You should not assume that the information contained in this prospectus is accurate on any date subsequent to the date set forth on the front of the document or that any information we have incorporated by reference herein or therein is correct on any date subsequent to the date of the document incorporated by reference, even though this prospectus is delivered, or securities are sold, on a later date.</w:t>
      </w:r>
    </w:p>
    <w:p>
      <w:pPr>
        <w:spacing w:after="0" w:line="17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When we refer to “Larimar,” “Larimar Therapeutics,” “we,” “our,” “us” and the “Company” in this prospectus, we mean Larimar Therapeutics, Inc. and its subsidiary unless otherwise specified. When we refer to “you,” we mean the potential holders of the applicable series of securities.</w:t>
      </w:r>
    </w:p>
    <w:p>
      <w:pPr>
        <w:spacing w:after="0" w:line="162" w:lineRule="exact"/>
        <w:rPr>
          <w:sz w:val="20"/>
          <w:szCs w:val="20"/>
          <w:color w:val="auto"/>
        </w:rPr>
      </w:pPr>
    </w:p>
    <w:p>
      <w:pPr>
        <w:ind w:left="120" w:right="100"/>
        <w:spacing w:after="0" w:line="236" w:lineRule="auto"/>
        <w:rPr>
          <w:sz w:val="20"/>
          <w:szCs w:val="20"/>
          <w:color w:val="auto"/>
        </w:rPr>
      </w:pPr>
      <w:r>
        <w:rPr>
          <w:rFonts w:ascii="Times New Roman" w:cs="Times New Roman" w:eastAsia="Times New Roman" w:hAnsi="Times New Roman"/>
          <w:sz w:val="18"/>
          <w:szCs w:val="18"/>
          <w:color w:val="auto"/>
        </w:rPr>
        <w:t xml:space="preserve">This prospectus contains or incorporates by reference documents that contain references to trademarks, service marks and trade names owned by us or other entities. All trademarks, service marks and trade names included or incorporated by reference into this prospectus are the property of their respective owners. Solely for convenience, trademarks, service marks and trade names referred to in this prospectus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such references are not intended to indicate, in any way, that their respective owners will not assert, to the fullest extent under applicable law, their rights thereto. We do not intend our use or display of other companies’ trade names, trademarks or service marks to imply a relationship with, or endorsement or sponsorship of us by, these other companies.</w:t>
      </w:r>
    </w:p>
    <w:p>
      <w:pPr>
        <w:spacing w:after="0" w:line="200"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This prospectus contains or incorporates by reference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or will be filed or have been or will be incorporated by reference as exhibits to the registration statement of which this prospectus forms a part, and you may obtain copies of those documents as described in this prospectus under the heading “Where You Can Find More Information.”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This prospectus forms part of a registration statement on Form S-3 filed with the SEC under the Securities Act. This prospectus does not contain all the information set forth in the registration statement and the exhibits to the registration statement or the documents incorporated by reference herein and therein. For further information with respect to us and the securities that we are offering under this prospectus, we refer you to the registration statement and the exhibits and schedules filed as a part of the registration statement and the documents incorporated by reference herein and therein. You should rely only on the information contained in this prospectus or incorporated by reference herein or therein. We have not authorized anyone else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hereby.</w:t>
      </w:r>
    </w:p>
    <w:p>
      <w:pPr>
        <w:spacing w:after="0" w:line="192"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We are currently subject to the reporting requirements of the Exchange Act, and in accordance therewith file periodic reports, proxy statements and other information with the SEC. Our SEC filings are available to you on the SEC’s website at http://www.sec.gov and in the “Investors” section of our website at www.larimartx.com. Our website and the information contained on that site, or connected to that site, are not incorporated into and are not a part of this prospectus.</w:t>
      </w:r>
    </w:p>
    <w:p>
      <w:pPr>
        <w:spacing w:after="0" w:line="3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filed with the SEC. 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w:t>
      </w:r>
    </w:p>
    <w:p>
      <w:pPr>
        <w:spacing w:after="0" w:line="93"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2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filed with the SEC on March 14,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 ended March 31, 2024 filed with the SEC on </w:t>
      </w:r>
      <w:hyperlink r:id="rId29">
        <w:r>
          <w:rPr>
            <w:rFonts w:ascii="Times New Roman" w:cs="Times New Roman" w:eastAsia="Times New Roman" w:hAnsi="Times New Roman"/>
            <w:sz w:val="18"/>
            <w:szCs w:val="18"/>
            <w:u w:val="single" w:color="auto"/>
            <w:color w:val="0000EE"/>
          </w:rPr>
          <w:t>May 9, 2024</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w:t>
      </w:r>
      <w:hyperlink r:id="rId2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2023 from our Definitive Proxy Statement on </w:t>
      </w:r>
      <w:hyperlink r:id="rId30">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29, 2024;</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5"/>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31">
        <w:r>
          <w:rPr>
            <w:rFonts w:ascii="Times New Roman" w:cs="Times New Roman" w:eastAsia="Times New Roman" w:hAnsi="Times New Roman"/>
            <w:sz w:val="18"/>
            <w:szCs w:val="18"/>
            <w:u w:val="single" w:color="auto"/>
            <w:color w:val="0000EE"/>
          </w:rPr>
          <w:t>February 12, 2024</w:t>
        </w:r>
      </w:hyperlink>
      <w:r>
        <w:rPr>
          <w:rFonts w:ascii="Times New Roman" w:cs="Times New Roman" w:eastAsia="Times New Roman" w:hAnsi="Times New Roman"/>
          <w:sz w:val="18"/>
          <w:szCs w:val="18"/>
          <w:color w:val="auto"/>
        </w:rPr>
        <w:t xml:space="preserve">, </w:t>
      </w:r>
      <w:hyperlink r:id="rId32">
        <w:r>
          <w:rPr>
            <w:rFonts w:ascii="Times New Roman" w:cs="Times New Roman" w:eastAsia="Times New Roman" w:hAnsi="Times New Roman"/>
            <w:sz w:val="18"/>
            <w:szCs w:val="18"/>
            <w:u w:val="single" w:color="auto"/>
            <w:color w:val="0000EE"/>
          </w:rPr>
          <w:t>February 14, 2024</w:t>
        </w:r>
      </w:hyperlink>
      <w:r>
        <w:rPr>
          <w:rFonts w:ascii="Times New Roman" w:cs="Times New Roman" w:eastAsia="Times New Roman" w:hAnsi="Times New Roman"/>
          <w:sz w:val="18"/>
          <w:szCs w:val="18"/>
          <w:color w:val="auto"/>
        </w:rPr>
        <w:t xml:space="preserve">, </w:t>
      </w:r>
      <w:hyperlink r:id="rId33">
        <w:r>
          <w:rPr>
            <w:rFonts w:ascii="Times New Roman" w:cs="Times New Roman" w:eastAsia="Times New Roman" w:hAnsi="Times New Roman"/>
            <w:sz w:val="18"/>
            <w:szCs w:val="18"/>
            <w:u w:val="single" w:color="auto"/>
            <w:color w:val="0000EE"/>
          </w:rPr>
          <w:t>February 16, 2024</w:t>
        </w:r>
      </w:hyperlink>
      <w:r>
        <w:rPr>
          <w:rFonts w:ascii="Times New Roman" w:cs="Times New Roman" w:eastAsia="Times New Roman" w:hAnsi="Times New Roman"/>
          <w:sz w:val="18"/>
          <w:szCs w:val="18"/>
          <w:color w:val="auto"/>
        </w:rPr>
        <w:t xml:space="preserve">, </w:t>
      </w:r>
      <w:hyperlink r:id="rId34">
        <w:r>
          <w:rPr>
            <w:rFonts w:ascii="Times New Roman" w:cs="Times New Roman" w:eastAsia="Times New Roman" w:hAnsi="Times New Roman"/>
            <w:sz w:val="18"/>
            <w:szCs w:val="18"/>
            <w:u w:val="single" w:color="auto"/>
            <w:color w:val="0000EE"/>
          </w:rPr>
          <w:t>March 11,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5">
        <w:r>
          <w:rPr>
            <w:rFonts w:ascii="Times New Roman" w:cs="Times New Roman" w:eastAsia="Times New Roman" w:hAnsi="Times New Roman"/>
            <w:sz w:val="18"/>
            <w:szCs w:val="18"/>
            <w:u w:val="single" w:color="auto"/>
            <w:color w:val="0000EE"/>
          </w:rPr>
          <w:t>May 9, 2024</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(in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each case other than any portions thereof deemed furnished and not filed); and</w:t>
      </w:r>
    </w:p>
    <w:p>
      <w:pPr>
        <w:spacing w:after="0" w:line="67" w:lineRule="exact"/>
        <w:rPr>
          <w:rFonts w:ascii="Times New Roman" w:cs="Times New Roman" w:eastAsia="Times New Roman" w:hAnsi="Times New Roman"/>
          <w:sz w:val="18"/>
          <w:szCs w:val="18"/>
          <w:color w:val="0000EE"/>
        </w:rPr>
      </w:pPr>
    </w:p>
    <w:p>
      <w:pPr>
        <w:ind w:left="1080" w:right="140" w:hanging="424"/>
        <w:spacing w:after="0" w:line="266" w:lineRule="auto"/>
        <w:tabs>
          <w:tab w:leader="none" w:pos="1080" w:val="left"/>
        </w:tabs>
        <w:numPr>
          <w:ilvl w:val="0"/>
          <w:numId w:val="25"/>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36">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001-36510) filed with the SEC on June 18, 2014, under the Exchange Act, including any amendment or report filed for the purpose of updating such description, including </w:t>
      </w:r>
      <w:hyperlink r:id="rId37">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our Annual Report on Form 10-K for the year ended December 31, 2023.</w:t>
      </w:r>
    </w:p>
    <w:p>
      <w:pPr>
        <w:spacing w:after="0" w:line="176" w:lineRule="exact"/>
        <w:rPr>
          <w:rFonts w:ascii="Times New Roman" w:cs="Times New Roman" w:eastAsia="Times New Roman" w:hAnsi="Times New Roman"/>
          <w:sz w:val="18"/>
          <w:szCs w:val="18"/>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In addition, all documents that we file with the SEC pursuant to Sections 13(a), 13(c), 14 or 15(d) of the Exchange Act after the date of the initial registration statement of which this prospectus is a part and prior to the effectiveness of such registration statement and all such documents that we file with the SEC after the date of this prospectus and before the termination of the offering of our securities shall be deemed incorporated by reference into this prospectus and to be a part of this prospectus from the respective dates of filing such documents.</w:t>
      </w:r>
    </w:p>
    <w:p>
      <w:pPr>
        <w:spacing w:after="0" w:line="112"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60"/>
          </w:cols>
          <w:pgMar w:left="320" w:top="455" w:right="5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by reference in this prospectus shall be deemed to be modified or superseded for purposes of this prospectus to the extent that a statement contained in this prospectus or in any other subsequently filed document that also is or is deemed to be incorporated by reference in this prospectus modifies or supersedes such statement. Any statement so modified or superseded shall not be deemed, except as so modified or superseded, to constitute a part of this prospectus.</w:t>
      </w:r>
    </w:p>
    <w:p>
      <w:pPr>
        <w:spacing w:after="0" w:line="180"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You may obtain copies of any of these filings by contacting us at the address and telephone number indicated below. Documents incorporated by reference are available from us without charge, excluding all exhibits unless an exhibit has been specifically incorporated by reference into this prospectus, by requesting them in writing or by telephone at:</w:t>
      </w:r>
    </w:p>
    <w:p>
      <w:pPr>
        <w:spacing w:after="0" w:line="17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Three Bala Plaza East, Suite 506</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Bala Cynwyd, PA 19004</w:t>
      </w:r>
    </w:p>
    <w:p>
      <w:pPr>
        <w:spacing w:after="0" w:line="9" w:lineRule="exact"/>
        <w:rPr>
          <w:sz w:val="20"/>
          <w:szCs w:val="20"/>
          <w:color w:val="auto"/>
        </w:rPr>
      </w:pPr>
    </w:p>
    <w:p>
      <w:pPr>
        <w:ind w:left="5500" w:hanging="435"/>
        <w:spacing w:after="0"/>
        <w:tabs>
          <w:tab w:leader="none" w:pos="5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511-9056</w:t>
      </w:r>
    </w:p>
    <w:p>
      <w:pPr>
        <w:spacing w:after="0" w:line="9" w:lineRule="exact"/>
        <w:rPr>
          <w:rFonts w:ascii="Times New Roman" w:cs="Times New Roman" w:eastAsia="Times New Roman" w:hAnsi="Times New Roman"/>
          <w:sz w:val="18"/>
          <w:szCs w:val="18"/>
          <w:color w:val="auto"/>
        </w:rPr>
      </w:pPr>
    </w:p>
    <w:p>
      <w:pPr>
        <w:ind w:left="4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Chief Financial Officer</w:t>
      </w:r>
    </w:p>
    <w:p>
      <w:pPr>
        <w:spacing w:after="0" w:line="13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077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6998970" cy="64077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40"/>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description about us, our business and this offering highlights selected information contained elsewhere in this prospectus or incorporated in this prospectus by reference. This summary does not contain all of the information you should consider before deciding to invest in our common stock. You should carefully read this entire prospectus and any free writing prospectus with respect to this offering filed by us with the SEC, including each of the documents incorporated herein or therein by reference, before making an investment decision. Investors should carefully consider the information set forth under “Risk Factors” on page 6 and in the documents incorporated by reference into this prospectus.</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20"/>
        <w:spacing w:after="0" w:line="255" w:lineRule="auto"/>
        <w:rPr>
          <w:sz w:val="20"/>
          <w:szCs w:val="20"/>
          <w:color w:val="auto"/>
        </w:rPr>
      </w:pPr>
      <w:r>
        <w:rPr>
          <w:rFonts w:ascii="Times New Roman" w:cs="Times New Roman" w:eastAsia="Times New Roman" w:hAnsi="Times New Roman"/>
          <w:sz w:val="18"/>
          <w:szCs w:val="18"/>
          <w:color w:val="auto"/>
        </w:rPr>
        <w:t>We are a clinical-stage biotechnology company focused on developing treatments for patients suffering from complex rare diseases using our novel cell penetrating peptide, or CPP, technology platform. Our lead product candidate, nomlabofusp (nomlabofusp is the International Nonproprietary Name and the United States Adopted Name for CTI-1601), is a subcutaneously administered, recombinant fusion protein intended to deliver tissue frataxin, or FXN, an essential protein, to the mitochondria of patients with Friedreich’s ataxia. Friedreich’s ataxia is a rare, progressive, and fatal disease in which patients are unable to produce sufficient FXN due to a genetic abnormality. Currently, there are no treatment options that address the core deficit of Friedreich’s ataxia, low levels of FXN. Nomlabofusp represents the first potential therapy designed to increase FXN levels in patients with Friedreich’s ataxia.</w:t>
      </w:r>
    </w:p>
    <w:p>
      <w:pPr>
        <w:spacing w:after="0" w:line="189"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We have completed two Phase 1 clinical trials and a Phase 2 dose exploration trial, and recently initiated an open label extension trial in patients with Friedreich’s ataxia. We have received an orphan drug designation, fast track designation and rare pediatric disease designation from the U.S. Food and Drug Administration, or FDA, for nomlabofusp. In addition, we received orphan drug designation for nomlabofusp from the European Commission and a PRIority MEdicines designation from the European Medicines Agency, or EMA. We intend to pursue accelerated approval from the FDA for nomlabofusp. The receipt of such designations or positive opinions may not result in a faster development process, review or approval compared to products considered for approval under conventional FDA or EMA procedures and does not assure ultimate approval by the FDA or EMA.</w:t>
      </w:r>
    </w:p>
    <w:p>
      <w:pPr>
        <w:spacing w:after="0" w:line="189" w:lineRule="exact"/>
        <w:rPr>
          <w:sz w:val="20"/>
          <w:szCs w:val="20"/>
          <w:color w:val="auto"/>
        </w:rPr>
      </w:pPr>
    </w:p>
    <w:p>
      <w:pPr>
        <w:ind w:left="300" w:right="20"/>
        <w:spacing w:after="0" w:line="266" w:lineRule="auto"/>
        <w:rPr>
          <w:sz w:val="20"/>
          <w:szCs w:val="20"/>
          <w:color w:val="auto"/>
        </w:rPr>
      </w:pPr>
      <w:r>
        <w:rPr>
          <w:rFonts w:ascii="Times New Roman" w:cs="Times New Roman" w:eastAsia="Times New Roman" w:hAnsi="Times New Roman"/>
          <w:sz w:val="18"/>
          <w:szCs w:val="18"/>
          <w:color w:val="auto"/>
        </w:rPr>
        <w:t>We believe that our CPP platform, which enables a therapeutic molecule to cross a cell membrane in order to reach intracellular targets, has the potential to enable the treatment of other rare and orphan diseases. We intend to use our proprietary platform to target additional orphan indications characterized by deficiencies in or alterations of intracellular content or activity.</w:t>
      </w:r>
    </w:p>
    <w:p>
      <w:pPr>
        <w:spacing w:after="0" w:line="176" w:lineRule="exact"/>
        <w:rPr>
          <w:sz w:val="20"/>
          <w:szCs w:val="20"/>
          <w:color w:val="auto"/>
        </w:rPr>
      </w:pPr>
    </w:p>
    <w:p>
      <w:pPr>
        <w:jc w:val="both"/>
        <w:ind w:left="300" w:right="300"/>
        <w:spacing w:after="0" w:line="266"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developing nomlabofusp, building our intellectual property portfolio, developing third-party manufacturing capabilities, business planning, raising capital, and providing general and administrative support for such operations.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60"/>
        <w:spacing w:after="0" w:line="258" w:lineRule="auto"/>
        <w:rPr>
          <w:sz w:val="20"/>
          <w:szCs w:val="20"/>
          <w:color w:val="auto"/>
        </w:rPr>
      </w:pPr>
      <w:r>
        <w:rPr>
          <w:rFonts w:ascii="Times New Roman" w:cs="Times New Roman" w:eastAsia="Times New Roman" w:hAnsi="Times New Roman"/>
          <w:sz w:val="18"/>
          <w:szCs w:val="18"/>
          <w:color w:val="auto"/>
        </w:rPr>
        <w:t xml:space="preserve">We were founded in 2005 as a Delaware corporation under the name Zafgen, Inc. Our principal executive offices are located at Three Bala Plaza East, Suite 506, Bala Cynwyd, PA 19004, and our telephone number is (844) 511-9056. Our website address is </w:t>
      </w:r>
      <w:r>
        <w:rPr>
          <w:rFonts w:ascii="Times New Roman" w:cs="Times New Roman" w:eastAsia="Times New Roman" w:hAnsi="Times New Roman"/>
          <w:sz w:val="18"/>
          <w:szCs w:val="18"/>
          <w:i w:val="1"/>
          <w:iCs w:val="1"/>
          <w:color w:val="auto"/>
        </w:rPr>
        <w:t>www.larimartx.com</w:t>
      </w:r>
      <w:r>
        <w:rPr>
          <w:rFonts w:ascii="Times New Roman" w:cs="Times New Roman" w:eastAsia="Times New Roman" w:hAnsi="Times New Roman"/>
          <w:sz w:val="18"/>
          <w:szCs w:val="18"/>
          <w:color w:val="auto"/>
        </w:rPr>
        <w:t>. The information on, or that can be accessed through, our website is not part of this prospectus and is not incorporated by reference herein. We have included our website address as an inactive textual reference only. References in this prospectus to “we,” “us,” “our,” “our company” or “Larimar” refer to Larimar Therapeutics, Inc. and its subsidiary.</w:t>
      </w:r>
    </w:p>
    <w:p>
      <w:pPr>
        <w:spacing w:after="0" w:line="183" w:lineRule="exact"/>
        <w:rPr>
          <w:sz w:val="20"/>
          <w:szCs w:val="20"/>
          <w:color w:val="auto"/>
        </w:rPr>
      </w:pPr>
    </w:p>
    <w:p>
      <w:pPr>
        <w:ind w:left="300" w:right="60"/>
        <w:spacing w:after="0" w:line="266" w:lineRule="auto"/>
        <w:rPr>
          <w:sz w:val="20"/>
          <w:szCs w:val="20"/>
          <w:color w:val="auto"/>
        </w:rPr>
      </w:pPr>
      <w:r>
        <w:rPr>
          <w:rFonts w:ascii="Times New Roman" w:cs="Times New Roman" w:eastAsia="Times New Roman" w:hAnsi="Times New Roman"/>
          <w:sz w:val="18"/>
          <w:szCs w:val="18"/>
          <w:color w:val="auto"/>
        </w:rPr>
        <w:t>In May 2020, we completed our business combination with Chondrial Therapeutics, Inc., or Chondrial, and changed our name from “Zafgen, Inc.” to “Larimar Therapeutics, Inc.” Chondrial was determined to be the accounting acquirer for financial reporting purposes, our historical financials are those of Chondrial and the business conducted by Chondrial became our business.</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320" w:top="455" w:right="6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1130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6998970" cy="51130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52"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Common stock offered by us</w:t>
      </w:r>
      <w:r>
        <w:rPr>
          <w:sz w:val="20"/>
          <w:szCs w:val="20"/>
          <w:color w:val="auto"/>
        </w:rPr>
        <w:tab/>
      </w:r>
      <w:r>
        <w:rPr>
          <w:rFonts w:ascii="Times New Roman" w:cs="Times New Roman" w:eastAsia="Times New Roman" w:hAnsi="Times New Roman"/>
          <w:sz w:val="17"/>
          <w:szCs w:val="17"/>
          <w:color w:val="auto"/>
        </w:rPr>
        <w:t>Shares of our common stock having an aggregate offering price of up to $100,000,000.</w:t>
      </w:r>
    </w:p>
    <w:p>
      <w:pPr>
        <w:spacing w:after="0" w:line="266" w:lineRule="exact"/>
        <w:rPr>
          <w:sz w:val="20"/>
          <w:szCs w:val="20"/>
          <w:color w:val="auto"/>
        </w:rPr>
      </w:pPr>
    </w:p>
    <w:p>
      <w:pPr>
        <w:ind w:left="4340" w:right="60" w:hanging="403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Common stock to be outstanding after this offering </w:t>
      </w:r>
      <w:r>
        <w:rPr>
          <w:rFonts w:ascii="Times New Roman" w:cs="Times New Roman" w:eastAsia="Times New Roman" w:hAnsi="Times New Roman"/>
          <w:sz w:val="18"/>
          <w:szCs w:val="18"/>
          <w:color w:val="auto"/>
        </w:rPr>
        <w:t>Up to 76,428,279 shares, assuming sales of 12,626,262 shares of our common stock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offering at an offering price of $7.92 per share, which was the last reported sale price of our common stock on the Nasdaq Global Market on May 8, 2024. The actual number of shares issued will vary depending on the sales price under this offering.</w:t>
      </w:r>
    </w:p>
    <w:p>
      <w:pPr>
        <w:sectPr>
          <w:pgSz w:w="11900" w:h="16838" w:orient="portrait"/>
          <w:cols w:equalWidth="0" w:num="1">
            <w:col w:w="10920"/>
          </w:cols>
          <w:pgMar w:left="320" w:top="455" w:right="659" w:bottom="1440" w:gutter="0" w:footer="0" w:header="0"/>
        </w:sectPr>
      </w:pP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400"/>
        <w:spacing w:after="0" w:line="312" w:lineRule="auto"/>
        <w:rPr>
          <w:sz w:val="20"/>
          <w:szCs w:val="20"/>
          <w:color w:val="auto"/>
        </w:rPr>
      </w:pPr>
      <w:r>
        <w:rPr>
          <w:rFonts w:ascii="Times New Roman" w:cs="Times New Roman" w:eastAsia="Times New Roman" w:hAnsi="Times New Roman"/>
          <w:sz w:val="17"/>
          <w:szCs w:val="17"/>
          <w:color w:val="auto"/>
        </w:rPr>
        <w:t>“At-the-market offering” that may be made from time to time through our sales agent, Guggenheim Securities. See “Plan of Distribution” on page 19 of this prospectus.</w:t>
      </w:r>
    </w:p>
    <w:p>
      <w:pPr>
        <w:spacing w:after="0" w:line="163"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from this offering to support the development of nomlabofusp and other pipeline candidates, and for working capital and general corporate purposes, including research and development expenses. See “Use of Proceeds” on page 12 of this prospectus.</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br w:type="column"/>
      </w:r>
    </w:p>
    <w:p>
      <w:pPr>
        <w:ind w:right="140"/>
        <w:spacing w:after="0" w:line="261"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See “Risk Factors” beginning on page 6 of this prospectus and other information included in this prospectus and the documents incorporated by reference in this prospectus for a discussion of factors you should carefully consider before deciding to invest in our securities.</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“LRMR”</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50" w:lineRule="exact"/>
        <w:rPr>
          <w:sz w:val="20"/>
          <w:szCs w:val="20"/>
          <w:color w:val="auto"/>
        </w:rPr>
      </w:pPr>
    </w:p>
    <w:p>
      <w:pPr>
        <w:ind w:left="300" w:right="160"/>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that will be outstanding after this offering is based on 63,800,017 shares of common stock outstanding as of March 31, 2024, and excludes the following:</w:t>
      </w:r>
    </w:p>
    <w:p>
      <w:pPr>
        <w:spacing w:after="0" w:line="67" w:lineRule="exact"/>
        <w:rPr>
          <w:sz w:val="20"/>
          <w:szCs w:val="20"/>
          <w:color w:val="auto"/>
        </w:rPr>
      </w:pPr>
    </w:p>
    <w:p>
      <w:pPr>
        <w:ind w:left="1240" w:right="240" w:hanging="415"/>
        <w:spacing w:after="0" w:line="282" w:lineRule="auto"/>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5,848,523 shares of our common stock issuable upon the exercise of stock options outstanding as of March 31, 2024 at a weighted-average exercise price of $7.81 per share;</w:t>
      </w:r>
    </w:p>
    <w:p>
      <w:pPr>
        <w:spacing w:after="0" w:line="67" w:lineRule="exact"/>
        <w:rPr>
          <w:rFonts w:ascii="Times New Roman" w:cs="Times New Roman" w:eastAsia="Times New Roman" w:hAnsi="Times New Roman"/>
          <w:sz w:val="18"/>
          <w:szCs w:val="18"/>
          <w:color w:val="auto"/>
        </w:rPr>
      </w:pPr>
    </w:p>
    <w:p>
      <w:pPr>
        <w:ind w:left="1240" w:right="300" w:hanging="415"/>
        <w:spacing w:after="0" w:line="282" w:lineRule="auto"/>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706,622 shares of our common stock issuable upon the vesting and settlement of restricted stock units outstanding as of March 31, 2024;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1,222,219 shares of our common stock available for future issuance as of March 31, 2024 under our 2020 Equity Incentive Plan.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Unless otherwise indicated, all information in this prospectus assumes no exercise of the outstanding options described above.</w:t>
      </w:r>
    </w:p>
    <w:p>
      <w:pPr>
        <w:spacing w:after="0" w:line="3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320" w:top="455" w:right="65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Investment in any securities offered pursuant to this prospectus involves risks. Before deciding whether to invest in our common stock, you should carefully consider the risks described below and those discussed under the section captioned “Risk Factors” contained in our most recent Annual Report on Form 10-K and any subsequent Quarterly Reports on Form 10-Q, as well as any amendments thereto, which are incorporated by reference into this prospectus in their entirety, together with other information in this prospectus, the documents incorporated by reference herein, and any free writing prospectus that we may authorize for use in connection with a specific offering. The occurrence of any of these risks might cause you to lose all or part of your investment in the offered securities.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This Offering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Management will have broad discretion over the use of the proceeds from this offering, and may not use the proceeds effectively.</w:t>
      </w:r>
    </w:p>
    <w:p>
      <w:pPr>
        <w:spacing w:after="0" w:line="121" w:lineRule="exact"/>
        <w:rPr>
          <w:sz w:val="20"/>
          <w:szCs w:val="20"/>
          <w:color w:val="auto"/>
        </w:rPr>
      </w:pPr>
    </w:p>
    <w:p>
      <w:pPr>
        <w:jc w:val="both"/>
        <w:ind w:left="120" w:right="180"/>
        <w:spacing w:after="0" w:line="272" w:lineRule="auto"/>
        <w:rPr>
          <w:sz w:val="20"/>
          <w:szCs w:val="20"/>
          <w:color w:val="auto"/>
        </w:rPr>
      </w:pPr>
      <w:r>
        <w:rPr>
          <w:rFonts w:ascii="Times New Roman" w:cs="Times New Roman" w:eastAsia="Times New Roman" w:hAnsi="Times New Roman"/>
          <w:sz w:val="17"/>
          <w:szCs w:val="17"/>
          <w:color w:val="auto"/>
        </w:rPr>
        <w:t>Because we have not designated the amount of net proceeds from this offering to be used for any particular purpose, our management will have broad discretion as to the application of the net proceeds from this offering and could use them for purposes other than those contemplated at the time of the offering. Our management may use the net proceeds for corporate purposes that may not ultimately improve our financial condition or market value.</w:t>
      </w:r>
    </w:p>
    <w:p>
      <w:pPr>
        <w:spacing w:after="0" w:line="2" w:lineRule="exact"/>
        <w:rPr>
          <w:sz w:val="20"/>
          <w:szCs w:val="20"/>
          <w:color w:val="auto"/>
        </w:rPr>
      </w:pPr>
    </w:p>
    <w:p>
      <w:pPr>
        <w:ind w:left="120" w:right="60"/>
        <w:spacing w:after="0" w:line="260" w:lineRule="auto"/>
        <w:rPr>
          <w:sz w:val="20"/>
          <w:szCs w:val="20"/>
          <w:color w:val="auto"/>
        </w:rPr>
      </w:pPr>
      <w:r>
        <w:rPr>
          <w:rFonts w:ascii="Times New Roman" w:cs="Times New Roman" w:eastAsia="Times New Roman" w:hAnsi="Times New Roman"/>
          <w:sz w:val="18"/>
          <w:szCs w:val="18"/>
          <w:color w:val="auto"/>
        </w:rPr>
        <w:t>Pending use, we may invest any net proceeds from this offering in a manner that does not produce income or loses value. Please see the section entitled “Use of Proceeds” on page 12 of this prospectus for further information.</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immediate and substantial dilution in the net tangible book value per share of the common stock you purchase.</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price per share of our common stock being offered may be higher than the net tangible book value per share of our common stock outstanding prior to this offering. Assuming that an aggregate of 12,135,922 shares are sold at a price of $8.24 per share, the last reported sale price of our common stock on the Nasdaq Global Market on May 6, 2024, for aggregate gross proceeds of approximately $100,000,000 in this offering, and after deducting commissions and estimated aggregate offering expenses payable by us, you will suffer immediate and substantial dilution of $3.95 per share, representing the difference between the as adjusted net tangible book value per share of our common stock as of March 31, 2024 after giving effect to this offering at the assumed offering price. Please see the section entitled “Dilution” on page 13 of this prospectus for a more detailed illustration of the dilution you would incur if you participate in this offering.</w:t>
      </w:r>
    </w:p>
    <w:p>
      <w:pPr>
        <w:spacing w:after="0" w:line="293" w:lineRule="exact"/>
        <w:rPr>
          <w:sz w:val="20"/>
          <w:szCs w:val="20"/>
          <w:color w:val="auto"/>
        </w:rPr>
      </w:pPr>
    </w:p>
    <w:p>
      <w:pPr>
        <w:jc w:val="both"/>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Issuances of shares of common stock, including upon the settlement of restricted stock units, or securities convertible into or exercisable for shares of common stock following this offering, as well as the exercise of options, will dilute your ownership interests and may adversely affect the future market price of our common stock.</w:t>
      </w:r>
    </w:p>
    <w:p>
      <w:pPr>
        <w:spacing w:after="0" w:line="67"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As a development-stage company we will need additional capital to fund the development and commercialization of our product candidates. We may seek additional capital through a combination of private and public equity offerings, debt financings, strategic partnerships and alliances and licensing arrangements, which may cause your ownership interest to be diluted. In addition, as of March 31, 2024, there were options to purchase 5,848,523 shares of our common stock outstanding at a weighted average exercise price of $7.81 and 706,622 shares of our common stock issuable upon the vesting and settlement of restricted stock units outstanding. If these securities are exercised or settled, you may incur further dilution. Moreover, to the extent that we issue additional restricted stock units or options to purchase, or securities convertible into or exchangeable for, shares of our common stock in the future and those restricted stock units, options or other securities are settled, exercised, converted or exchanged, stockholders may experience further dilution.</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80"/>
          </w:cols>
          <w:pgMar w:left="320" w:top="455" w:right="4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substantial number of shares may be sold in the market following this offering, which may depress the market price for our common stock.</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following this offering could cause the market price of our common stock to decline. A substantial majority of the outstanding shares of our common stock are, and all of the shares sold in this offering upon issuance will be, freely tradable without restriction or further registration under the Securities Act, unless these shares are owned or purchased by “affiliates” as that term is defined in Rule 144 under the Securities Act. As of March 31, 2024, approximately 17,645,245 shares of our common stock are subject to lock-up agreements that restrict the transfer or sale of these shares of common stock. The lock-up agreement will expire on May 14, 2024 and, once the lock-up agreements expire, these shares will be freely tradable in the public market. In addition, we have also registered the shares of common stock that we may issue under our equity incentive plans. As a result, these shares can be freely sold in the public market upon issuance, subject to restrictions under securities laws.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we will sell under the Sales Agreement, or the gross proceeds resulting from those sales.</w:t>
      </w:r>
    </w:p>
    <w:p>
      <w:pPr>
        <w:spacing w:after="0" w:line="121" w:lineRule="exact"/>
        <w:rPr>
          <w:sz w:val="20"/>
          <w:szCs w:val="20"/>
          <w:color w:val="auto"/>
        </w:rPr>
      </w:pPr>
    </w:p>
    <w:p>
      <w:pPr>
        <w:ind w:left="120" w:right="200"/>
        <w:spacing w:after="0" w:line="255"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laws, we have the discretion to deliver a placement notice to Guggenheim Securities at any time throughout the term of the Sales Agreement. The number of shares that are sold through Guggenheim Securities after delivering a placement notice will fluctuate based on a number of factors, including the market price of our common stock during the term of the Sales Agreement, the limits we set with Guggenheim Securities in any applicable placement notice, and the demand for our common stock during the term of the Sales Agreement. Because the price per share of each share sold will fluctuate during the term of the Sales Agreement, it is not currently possible to predict the number of shares that will be sold or the gross proceeds to be raised in connection with the sales of shares of common stock offered under this prospectus.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stock may be volatile.</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could be subject to significant fluctuations. Market prices for securities of early-stage pharmaceutical, biotechnology, and other life sciences companies have historically been particularly volatile. Some of the factors that may cause the market price of our common stock to fluctuate include:</w:t>
      </w:r>
    </w:p>
    <w:p>
      <w:pPr>
        <w:spacing w:after="0" w:line="81"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approvals for product candidates, and delays or failures to obtain such approvals;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and delays in, current, and any future, non-clinical or clinical trials of nomlabofusp or any of our future product candidates, including any delays related to public health crises;</w:t>
      </w:r>
    </w:p>
    <w:p>
      <w:pPr>
        <w:spacing w:after="0" w:line="67"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nomlabofusp or any of our future product candidates, if approved for marketing and commercialization, to achieve commercial success;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product candidates or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or termination of, key agreements, including key licensing or collaboration agreements;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in manufacturing our approved products, if any, or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of material developments in, or conclusion of, disputes or litigation to enforce or defend any of our intellectual property rights or defend against the intellectual property rights of others;</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commercial partners or competitors of new commercial products, clinical progress (or the lack thereof), significant contracts, commercial relationships, or capital commitments;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relating to our markets, including with respect to other products and potential products in such markets;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competing with our potential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 or proposed sale, or the sale by our significant stockholders, of our shares or other securities in the future;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industry-specific economic conditions potentially affecting our research and development expenditures;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 the United States and abroad, including disruptions to the financial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 care payment systems;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225"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Moreover, the stock markets in general have experienced substantial volatility that has often been unrelated to the operating performance of individual companies or the biotechnology sector. These broad market fluctuations may also adversely affect the trading price of our common stock.</w:t>
      </w:r>
    </w:p>
    <w:p>
      <w:pPr>
        <w:spacing w:after="0" w:line="162"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stockholders have often instituted class action securities litigation against those companies. Such litigation, if instituted, could result in substantial costs and diversion of management’s attention and resources, which could significantly impact our profitability and reputation.</w:t>
      </w:r>
    </w:p>
    <w:p>
      <w:pPr>
        <w:spacing w:after="0" w:line="280"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common stock offered hereby will be sold in “at-the-market offerings,” and investors who buy shares at different times will likely pay different prices.</w:t>
      </w:r>
    </w:p>
    <w:p>
      <w:pPr>
        <w:spacing w:after="0" w:line="5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accordingly may experience different levels of dilution and different outcomes in their investment results. We will have discretion, subject to market demand, to vary the timing, prices, and number of shares sold in this offering. In addition, subject to any restrictions we may place in any applicable placement notice delivered to Guggenheim Securities,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287"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investors’ ability to achieve a return on their investment will depend on appreciation in the price of our common stock.</w:t>
      </w:r>
    </w:p>
    <w:p>
      <w:pPr>
        <w:spacing w:after="0" w:line="5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our stockholders’ sole source of gain for the foreseeable future. There is no guarantee that our common stock will appreciate or even maintain the price at which investors have purchased it.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80"/>
          </w:cols>
          <w:pgMar w:left="320" w:top="455"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may contain forward-looking statements within the meaning of Section 27A of the Securities Act and Section 21E of the Exchange Act about us and our subsidiary.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although not all forward-looking statements contain these identifying words. Forward-looking statements include, but are not limited to, statements concerning:</w:t>
      </w:r>
    </w:p>
    <w:p>
      <w:pPr>
        <w:spacing w:after="0" w:line="94" w:lineRule="exact"/>
        <w:rPr>
          <w:sz w:val="20"/>
          <w:szCs w:val="20"/>
          <w:color w:val="auto"/>
        </w:rPr>
      </w:pPr>
    </w:p>
    <w:p>
      <w:pPr>
        <w:ind w:left="1080" w:hanging="424"/>
        <w:spacing w:after="0" w:line="258"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obtaining successful non-clinical or clinical results that reliably and meaningfully demonstrate safety, tolerability and efficacy profiles that are satisfactory to the U.S. Food and Drug Administration, or FDA, European Medicines Agency, or EMA, and other comparable regulatory authorities for marketing approval for nomlabofusp (nomlabofusp is the International Nonproprietary Name and the United States Adopted Name for CTI-1601) or any other product candidate that we may develop in the future and unexpected costs that may result therefrom;</w:t>
      </w:r>
    </w:p>
    <w:p>
      <w:pPr>
        <w:spacing w:after="0" w:line="88"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successfully execute our ongoing open label extension study, including the timing of site initiations and rate of patient enrollment, and our ability to pursue dose escalation;</w:t>
      </w:r>
    </w:p>
    <w:p>
      <w:pPr>
        <w:spacing w:after="0" w:line="67"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clinical development and regulatory approval for nomlabofusp, including potential delays in the commencement, enrollment and completion of clinical trials, the timing of a potential Biologics License Application submission for accelerated approval, including our ability to supply to the FDA all required data for FDA to review and accept an accelerated application, or any other product candidate that we may develop in the future;</w:t>
      </w:r>
    </w:p>
    <w:p>
      <w:pPr>
        <w:spacing w:after="0" w:line="85" w:lineRule="exact"/>
        <w:rPr>
          <w:rFonts w:ascii="Times New Roman" w:cs="Times New Roman" w:eastAsia="Times New Roman" w:hAnsi="Times New Roman"/>
          <w:sz w:val="18"/>
          <w:szCs w:val="18"/>
          <w:color w:val="auto"/>
        </w:rPr>
      </w:pPr>
    </w:p>
    <w:p>
      <w:pPr>
        <w:ind w:left="1080" w:right="340" w:hanging="424"/>
        <w:spacing w:after="0" w:line="261"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patient recruitment for our clinical trials (including as a result of the impact of FDA approval of competitive products for the treatment of Friedreich’s ataxia, and/or the impact of other clinical trials of competitive products), delays as a result of clinical and non-clinical results and/or FDA’s request for additional information or studies, changes in clinical protocols, regulatory restrictions, including additional clinical holds, and milestones for nomlabofusp;</w:t>
      </w:r>
    </w:p>
    <w:p>
      <w:pPr>
        <w:spacing w:after="0" w:line="85"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and expenses associated with obtaining and maintaining regulatory approval for nomlabofusp or any other product candidate we may develop in the future, and the indication and labeling under any such approval;</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long we can continue to fund our operations with our existing cash, cash equivalents and marketable securities and our estimates regarding future results of operations, financial position, research and development costs, capital requirements and our access and needs for additional financing;</w:t>
      </w:r>
    </w:p>
    <w:p>
      <w:pPr>
        <w:spacing w:after="0" w:line="81"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third-party manufacturers we engage, to optimize and scale nomlabofusp or any other product candidate’s manufacturing process and to manufacture sufficient quantities of clinical supplies, and, if approved, commercial supplies of nomlabofusp or any other product candidate that we may develop in the future and our ability to maintain our relationships and contracts with our key vendors and to identify and contract with alternate or secondary key vendors;</w:t>
      </w:r>
    </w:p>
    <w:p>
      <w:pPr>
        <w:spacing w:after="0" w:line="85"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any value from nomlabofusp and/or any other product candidate we may develop in the future in light of inherent risks and difficulties involved in successfully bringing product candidates to market and the risk that the product candidates, if approved, will not achieve broad market acceptance;</w:t>
      </w:r>
    </w:p>
    <w:p>
      <w:pPr>
        <w:spacing w:after="0" w:line="81"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regulatory requirements applicable to our business and other regulatory developments in the United States and other countries;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0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the potential markets for nomlabofusp, if approved, or any other product candidate that we may develop in the future, the rate and degree of market acceptance of nomlabofusp or any other product candidate, if approved, that we may develop in the future and our ability to serve those markets;</w:t>
      </w:r>
    </w:p>
    <w:p>
      <w:pPr>
        <w:spacing w:after="0" w:line="81" w:lineRule="exact"/>
        <w:rPr>
          <w:rFonts w:ascii="Times New Roman" w:cs="Times New Roman" w:eastAsia="Times New Roman" w:hAnsi="Times New Roman"/>
          <w:sz w:val="18"/>
          <w:szCs w:val="18"/>
          <w:color w:val="auto"/>
        </w:rPr>
      </w:pPr>
    </w:p>
    <w:p>
      <w:pPr>
        <w:ind w:left="1080" w:right="280" w:hanging="424"/>
        <w:spacing w:after="0" w:line="261"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competing therapies and products for the treatment of Friedreich’s ataxia, our ability to obtain and maintain designations or eligibility for expedited regulatory programs, and to commercialize current and future product candidates, if approved, (including the impact of potential barriers to entry if a competitor is able to establish a strong market position before we are able to commercialize our products);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protection and defend our intellectual property rights against third parties;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compliance with the rules and regulations of the FDA (and all other regulatory authorities) of third parties upon which we depend, including third-party contract research organizations, consultants and third-party suppliers, manufacturers, distributors, and logistics providers;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scientific, technical, commercial, and management personnel and to retain our executive officers;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proper functionality and security of our internal computer and information systems and prevent or avoid cyber-attacks, malicious intrusion, breakdown, destruction, loss of data privacy or other significant disruption;</w:t>
      </w:r>
    </w:p>
    <w:p>
      <w:pPr>
        <w:spacing w:after="0" w:line="67"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geopolitical tensions, including regional conflicts around the world, adverse macroeconomic events, including those due to inflationary pressures, rising interest rates, banking instability, economic slowdowns or recessions, health epidemics, unforeseen emergencies and other outbreaks of communicable diseases could disrupt our operations, the operations of third parties on which we rely or the operations of regulatory agencies we interact with in the development of nomlabofusp and any other product candidates that we may develop;</w:t>
      </w:r>
    </w:p>
    <w:p>
      <w:pPr>
        <w:spacing w:after="0" w:line="88"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healthcare reform in the United States, including the Inflation Reduction Act of 2022, and measures being taken worldwide designed to reduce healthcare costs and limit the overall level of government expenditures;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use of proceeds from this offering.</w:t>
      </w:r>
    </w:p>
    <w:p>
      <w:pPr>
        <w:spacing w:after="0" w:line="225"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You should read this prospectus and the documents incorporated by reference completely and with the understanding that our actual future results may be materially different from what we currently expect. Our business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discussed under the heading “Risk Factors” contained in this prospectus and any related free writing prospectus, and under similar headings in the other documents that are incorporated by reference into this prospectus.</w:t>
      </w:r>
    </w:p>
    <w:p>
      <w:pPr>
        <w:spacing w:after="0" w:line="187"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You should assume that the information appearing in this prospectus or related free writing prospectus and any document incorporated herein by reference is accurate as of its date only. Because the risk factors referred to above could cause actual results or outcomes to differ materially from those expressed in any forward-looking statements made by us or on our behalf, you should not place undue reliance on any forward-looking statements. Further, any forward-looking statement speaks only as of the date on which it is made. New factors emerge from time to time, and it is not possible for us to predict which factors will arise. In addition, we cannot assess the impact of each factor on our business or the extent to which any factor, or combination of factors, may cause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actual results to differ materially from those contained in any forward-looking statements. Unless required by law, we undertake no obligation to release publicly any revisions to such forward-looking statements to reflect events or circumstances after the date of this prospectus or to reflect the occurrence of unanticipated events.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60"/>
          </w:cols>
          <w:pgMar w:left="320" w:top="455" w:right="5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may issue and sell shares of our common stock having aggregate sales proceeds of up to $100,000,000 from time to time. Because there is no minimum offering amount required in this offering, the actual total public offering amount, commissions and proceeds to us, if any, are not determinable at this time. There can be no assurance that we will sell any shares under or fully utilize the Sales Agreement with Guggenheim Securities as a source of financing.</w:t>
      </w:r>
    </w:p>
    <w:p>
      <w:pPr>
        <w:spacing w:after="0" w:line="180"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We intend to use the net proceeds from the sale of the common stock offered by us hereunder, if any, to support the development of nomlabofusp and other pipeline candidates, and for working capital and general corporate purposes, including research and development expenses. The expected use of the net proceeds from this offering represents our intentions based upon our current plans and business conditions, which could change in the future as our plans and business conditions evolve. We do not currently have specific plans or commitments with respect to the net proceeds from this offering and, accordingly, we are unable to quantify the allocations of such proceeds among the various potential uses. We will have broad discretion in the way we use the net proceeds of this offering. Pending application of the net proceeds as described above, we intend to temporarily invest the proceeds in a variety of capital preservation investments, including short-term, interest-bearing investment grade instruments, certificates of deposit or direct or guaranteed obligations of the U.S. government or U.S. government agencies.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If you invest in our common stock in this offering, your ownership interest will be diluted immediately to the extent of the difference between the public offering price per share of our common stock and the as adjusted net tangible book value per share of our common stock after this offering. As of March 31, 2024, our net tangible book value was $227.9 million, or $3.57 per share. Net tangible book value per share represents our total tangible assets (excluding deferred issuance costs) less our total liabilities, divided by the number of shares outstanding.</w:t>
      </w:r>
    </w:p>
    <w:p>
      <w:pPr>
        <w:spacing w:after="0" w:line="180" w:lineRule="exact"/>
        <w:rPr>
          <w:sz w:val="20"/>
          <w:szCs w:val="20"/>
          <w:color w:val="auto"/>
        </w:rPr>
      </w:pPr>
    </w:p>
    <w:p>
      <w:pPr>
        <w:ind w:left="120" w:right="160"/>
        <w:spacing w:after="0" w:line="257" w:lineRule="auto"/>
        <w:rPr>
          <w:sz w:val="20"/>
          <w:szCs w:val="20"/>
          <w:color w:val="auto"/>
        </w:rPr>
      </w:pPr>
      <w:r>
        <w:rPr>
          <w:rFonts w:ascii="Times New Roman" w:cs="Times New Roman" w:eastAsia="Times New Roman" w:hAnsi="Times New Roman"/>
          <w:sz w:val="18"/>
          <w:szCs w:val="18"/>
          <w:color w:val="auto"/>
        </w:rPr>
        <w:t>After giving effect to the assumed sale of shares of our common stock in the aggregate amount of $100,000,000 in this offering at an assumed offering price of $8.24 per share, the last reported sale price of our common stock on the Nasdaq Global Market on May 6, 2024, and after deducting commissions and estimated offering expenses payable by us, our as adjusted net tangible book value as of March 31, 2024 would have been</w:t>
      </w:r>
    </w:p>
    <w:p>
      <w:pPr>
        <w:spacing w:after="0" w:line="1"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$325.6 million, or $4.29 per share. This amount would represent an immediate increase in net tangible book value of $0.72 per share to existing stockholders and an immediate dilution in net tangible book value of $3.95 per share to new investors purchasing common stock in this offering. We determine dilution by subtracting the assumed as adjusted net tangible book value per share after this offering from the assumed price per share paid by an investor in this offering.</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illustrates this dilution:</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22"/>
        </w:trPr>
        <w:tc>
          <w:tcPr>
            <w:tcW w:w="1320" w:type="dxa"/>
            <w:vAlign w:val="bottom"/>
          </w:tcPr>
          <w:p>
            <w:pPr>
              <w:spacing w:after="0"/>
              <w:rPr>
                <w:sz w:val="10"/>
                <w:szCs w:val="10"/>
                <w:color w:val="auto"/>
              </w:rPr>
            </w:pPr>
          </w:p>
        </w:tc>
        <w:tc>
          <w:tcPr>
            <w:tcW w:w="6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16"/>
        </w:trPr>
        <w:tc>
          <w:tcPr>
            <w:tcW w:w="13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public offering price per share</w:t>
            </w:r>
          </w:p>
        </w:tc>
        <w:tc>
          <w:tcPr>
            <w:tcW w:w="16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$8.24</w:t>
            </w:r>
          </w:p>
        </w:tc>
      </w:tr>
      <w:tr>
        <w:trPr>
          <w:trHeight w:val="216"/>
        </w:trPr>
        <w:tc>
          <w:tcPr>
            <w:tcW w:w="13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share as of March 31, 2024</w:t>
            </w:r>
          </w:p>
        </w:tc>
        <w:tc>
          <w:tcPr>
            <w:tcW w:w="12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$3.57</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1320" w:type="dxa"/>
            <w:vAlign w:val="bottom"/>
          </w:tcPr>
          <w:p>
            <w:pPr>
              <w:spacing w:after="0"/>
              <w:rPr>
                <w:sz w:val="17"/>
                <w:szCs w:val="17"/>
                <w:color w:val="auto"/>
              </w:rPr>
            </w:pPr>
          </w:p>
        </w:tc>
        <w:tc>
          <w:tcPr>
            <w:tcW w:w="6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in net tangible book value per share attributable to new investors purchasing</w:t>
            </w: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1320" w:type="dxa"/>
            <w:vAlign w:val="bottom"/>
          </w:tcPr>
          <w:p>
            <w:pPr>
              <w:spacing w:after="0"/>
              <w:rPr>
                <w:sz w:val="20"/>
                <w:szCs w:val="20"/>
                <w:color w:val="auto"/>
              </w:rPr>
            </w:pPr>
          </w:p>
        </w:tc>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in this offering</w:t>
            </w:r>
          </w:p>
        </w:tc>
        <w:tc>
          <w:tcPr>
            <w:tcW w:w="12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0.72</w:t>
            </w:r>
          </w:p>
        </w:tc>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05"/>
        </w:trPr>
        <w:tc>
          <w:tcPr>
            <w:tcW w:w="1320" w:type="dxa"/>
            <w:vAlign w:val="bottom"/>
          </w:tcPr>
          <w:p>
            <w:pPr>
              <w:spacing w:after="0"/>
              <w:rPr>
                <w:sz w:val="17"/>
                <w:szCs w:val="17"/>
                <w:color w:val="auto"/>
              </w:rPr>
            </w:pPr>
          </w:p>
        </w:tc>
        <w:tc>
          <w:tcPr>
            <w:tcW w:w="66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As adjusted net tangible book value per share as of March 31, 2024 after giving effect to</w:t>
            </w:r>
          </w:p>
        </w:tc>
        <w:tc>
          <w:tcPr>
            <w:tcW w:w="3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1"/>
        </w:trPr>
        <w:tc>
          <w:tcPr>
            <w:tcW w:w="1320" w:type="dxa"/>
            <w:vAlign w:val="bottom"/>
          </w:tcPr>
          <w:p>
            <w:pPr>
              <w:spacing w:after="0"/>
              <w:rPr>
                <w:sz w:val="20"/>
                <w:szCs w:val="20"/>
                <w:color w:val="auto"/>
              </w:rPr>
            </w:pPr>
          </w:p>
        </w:tc>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this offering</w:t>
            </w:r>
          </w:p>
        </w:tc>
        <w:tc>
          <w:tcPr>
            <w:tcW w:w="1220" w:type="dxa"/>
            <w:vAlign w:val="bottom"/>
            <w:gridSpan w:val="3"/>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40" w:type="dxa"/>
            <w:vAlign w:val="bottom"/>
          </w:tcPr>
          <w:p>
            <w:pPr>
              <w:spacing w:after="0"/>
              <w:rPr>
                <w:sz w:val="20"/>
                <w:szCs w:val="20"/>
                <w:color w:val="auto"/>
              </w:rPr>
            </w:pPr>
          </w:p>
        </w:tc>
      </w:tr>
      <w:tr>
        <w:trPr>
          <w:trHeight w:val="216"/>
        </w:trPr>
        <w:tc>
          <w:tcPr>
            <w:tcW w:w="13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in this offering</w:t>
            </w:r>
          </w:p>
        </w:tc>
        <w:tc>
          <w:tcPr>
            <w:tcW w:w="16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3.95</w:t>
            </w:r>
          </w:p>
        </w:tc>
      </w:tr>
      <w:tr>
        <w:trPr>
          <w:trHeight w:val="20"/>
        </w:trPr>
        <w:tc>
          <w:tcPr>
            <w:tcW w:w="13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table above assumes, for illustrative purposes, that an aggregate of 12,135,922 shares of our common stock are sold at a price of $8.24 per share, the last reported sale price of our common stock on the Nasdaq Global Market on May 6, 2024, for aggregate gross proceeds of $100,000,000. The shares sold in this offering, if any, will be sold from time to time at various prices. An increase of $1.00 per share in the price at which the shares are sold from the assumed offering price of $8.24 per share shown in the table above, assuming all of our common stock in the aggregate amount of $100,000,000 is sold at that price, would increase our as adjusted net tangible book value per share after the offering to $4.36 per share and would result in an increase in the dilution in net tangible book value per share to new investors in this offering of $4.36 per share to $4.88 per share, after deducting commissions and estimated offering expenses payable by us. A decrease of $1.00 per share in the price at which the shares are sold from the assumed offering price of $8.24 per share shown in the table above, assuming all of our common stock in the aggregate amount of $100,000,000 is sold at that price, would increase our as adjusted net tangible book value per share after the offering to $4.19 per share and would result in a decrease in the dilution in net tangible book value per share to new investors in this offering of $3.05 per share to $4.19 per share, after deducting commissions and estimated offering expenses payable by us.</w:t>
      </w:r>
    </w:p>
    <w:p>
      <w:pPr>
        <w:spacing w:after="0" w:line="192"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The foregoing table and calculations are based on 63,800,017 shares of our common stock outstanding as of March 31, 2024, and excludes the following:</w:t>
      </w:r>
    </w:p>
    <w:p>
      <w:pPr>
        <w:spacing w:after="0" w:line="67" w:lineRule="exact"/>
        <w:rPr>
          <w:sz w:val="20"/>
          <w:szCs w:val="20"/>
          <w:color w:val="auto"/>
        </w:rPr>
      </w:pPr>
    </w:p>
    <w:p>
      <w:pPr>
        <w:ind w:left="1080" w:right="2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5,848,523 shares of our common stock issuable upon the exercise of stock options outstanding as of March 31, 2024 at a weighted-average exercise price of $7.81 per share;</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706,622 shares of our common stock issuable upon the vesting and settlement of restricted stock units outstanding as of March 31, 2024;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1,222,219 shares of our common stock available for future issuance as of March 31, 2024 under our 2020 Equity Incentive Plan.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To the extent that outstanding options are exercised, investors purchasing shares in this offering could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equity-based securities, the issuance of these securities could result in further dilution to our stockholders.</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40"/>
          </w:cols>
          <w:pgMar w:left="320" w:top="455" w:right="5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intend to retain all available funds and any future earnings, if any, to fund the development and expansion of our business and we do not anticipate paying any cash dividends in the foreseeable future. Any future determination to pay dividends on our common stock will be made at the discretion of our Board of Directors, or Board, and will depend on various factors, including applicable laws, our results of operations, financial condition, future prospects, anticipated cash needs, plans for expansion and any other factors deemed relevant by our Board.</w:t>
      </w:r>
    </w:p>
    <w:p>
      <w:pPr>
        <w:spacing w:after="0" w:line="1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60"/>
          </w:cols>
          <w:pgMar w:left="320" w:top="455" w:right="7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description of our capital stock is not complete and may not contain all the information you should consider before investing in our capital stock. This description is summarized from, and qualified in its entirety by reference to, our certificate of incorporation, which has been publicly filed with the SEC. See “Where You Can Find More Information.” For a complete description, you should refer to our Ninth Amended and Restated Certificate of Incorporation, as amended, or the Charter, and our Amended and Restated Bylaws, or the Bylaws, copies of which are incorporated by reference as exhibits to the registration statement of which this prospectus is a part.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Authorized Capital Stock</w:t>
      </w:r>
      <w:r>
        <w:rPr>
          <w:rFonts w:ascii="Times New Roman" w:cs="Times New Roman" w:eastAsia="Times New Roman" w:hAnsi="Times New Roman"/>
          <w:sz w:val="18"/>
          <w:szCs w:val="18"/>
          <w:color w:val="auto"/>
        </w:rPr>
        <w:t>. Our authorized capital stock consists of (i) 115,000,000 shares of common stock, par value $0.001 per share, of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63,802,017 shares have been issued and are outstanding as of May 8, 2024, referred to as the capitalization date, and (ii) 5,000,000 shares of preferred stock, par value $0.001 per share, of which no shares have been issued and there currently are no shares outstanding as of the capitalization date. We do not hold any shares of our capital stock in our treasury.</w:t>
      </w:r>
    </w:p>
    <w:p>
      <w:pPr>
        <w:spacing w:after="0" w:line="17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Voting Rights</w:t>
      </w:r>
      <w:r>
        <w:rPr>
          <w:rFonts w:ascii="Times New Roman" w:cs="Times New Roman" w:eastAsia="Times New Roman" w:hAnsi="Times New Roman"/>
          <w:sz w:val="18"/>
          <w:szCs w:val="18"/>
          <w:color w:val="auto"/>
        </w:rPr>
        <w:t>. Holders of our common stock are entitled to one vote for each share held of record on all matters submitted to a vote of stockholders.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our common stock do not have any cumulative voting rights.</w:t>
      </w:r>
    </w:p>
    <w:p>
      <w:pPr>
        <w:spacing w:after="0" w:line="155"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Dividends</w:t>
      </w:r>
      <w:r>
        <w:rPr>
          <w:rFonts w:ascii="Times New Roman" w:cs="Times New Roman" w:eastAsia="Times New Roman" w:hAnsi="Times New Roman"/>
          <w:sz w:val="18"/>
          <w:szCs w:val="18"/>
          <w:color w:val="auto"/>
        </w:rPr>
        <w:t>. Holders of our common stock are entitled to receive ratably any dividends declared by our Board out of funds legally available for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purpose, subject to any preferential dividend rights of any outstanding preferred stock.</w:t>
      </w:r>
    </w:p>
    <w:p>
      <w:pPr>
        <w:spacing w:after="0" w:line="155" w:lineRule="exact"/>
        <w:rPr>
          <w:sz w:val="20"/>
          <w:szCs w:val="20"/>
          <w:color w:val="auto"/>
        </w:rPr>
      </w:pPr>
    </w:p>
    <w:p>
      <w:pPr>
        <w:jc w:val="both"/>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r>
        <w:rPr>
          <w:rFonts w:ascii="Times New Roman" w:cs="Times New Roman" w:eastAsia="Times New Roman" w:hAnsi="Times New Roman"/>
          <w:sz w:val="18"/>
          <w:szCs w:val="18"/>
          <w:color w:val="auto"/>
        </w:rPr>
        <w:t>. Our common stock has no preemptive rights, conversion rights or other subscription rights or redemption or sinking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fund provisions. In the event of a liquidation, dissolution or winding up of us, holders of our common stock will be entitled to share ratably in all assets remaining after payment of all debts and other liabilities and any liquidation preference of any preferred stock then outstanding.</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r>
        <w:rPr>
          <w:rFonts w:ascii="Times New Roman" w:cs="Times New Roman" w:eastAsia="Times New Roman" w:hAnsi="Times New Roman"/>
          <w:sz w:val="18"/>
          <w:szCs w:val="18"/>
          <w:color w:val="auto"/>
        </w:rPr>
        <w:t>. The transfer agent and registrar for our common stock is Computershare Trust Company, N.A.</w:t>
      </w:r>
    </w:p>
    <w:p>
      <w:pPr>
        <w:spacing w:after="0" w:line="225"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Listing</w:t>
      </w:r>
      <w:r>
        <w:rPr>
          <w:rFonts w:ascii="Times New Roman" w:cs="Times New Roman" w:eastAsia="Times New Roman" w:hAnsi="Times New Roman"/>
          <w:sz w:val="18"/>
          <w:szCs w:val="18"/>
          <w:color w:val="auto"/>
        </w:rPr>
        <w:t>. Our common stock is listed on the Nasdaq Global Market under the symbol “LRMR.” On May 8, 2024, the last reported sale price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on the Nasdaq Global Market was $7.92 per share. As of May 8, 2024, we had approximately 19 stockholders of record.</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Our Board currently has the authority, without further action by our stockholders, to issue up to 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preferred stock by us could adversely affect the voting power of holders of our common stock and the likelihood that such holders will receive dividend payments and payments upon a liquidation of us. In addition, the issuance of preferred stock could have the effect of delaying, deferring or preventing a change in control of us or other corporate action. No shares of preferred stock are outstanding, and we have no present plans to issue any shares of preferred stock.</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Provisions of Our Charter and Bylaws and Delaware Anti-Takeover Law</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Certain provisions of the Delaware General Corporation Law, or DGCL, and of our Charter and Bylaws could have the effect of delaying, deferring or discouraging another party from acquiring control of us. These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provisions, which are summarized below, are expected to discourage certain types of coercive takeover practices 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us to first negotiate with our Board. These provisions might also have the effect of preventing changes in our management. It is possible that these provisions could make it more difficult to accomplish transactions that stockholders might otherwise deem to be in their best interests. However,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188" w:lineRule="exact"/>
        <w:rPr>
          <w:sz w:val="20"/>
          <w:szCs w:val="20"/>
          <w:color w:val="auto"/>
        </w:rPr>
      </w:pPr>
    </w:p>
    <w:p>
      <w:pPr>
        <w:ind w:left="120"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Board Composition and Filling Vacancies</w:t>
      </w:r>
      <w:r>
        <w:rPr>
          <w:rFonts w:ascii="Times New Roman" w:cs="Times New Roman" w:eastAsia="Times New Roman" w:hAnsi="Times New Roman"/>
          <w:sz w:val="18"/>
          <w:szCs w:val="18"/>
          <w:color w:val="auto"/>
        </w:rPr>
        <w:t>. Our Charter provides for the division of our Board into three classes serving staggered three-year terms,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one class being elected each year. Our Charter also provides that directors may be removed only for cause and then only by the affirmative vote of the holders of 75% or more of the shares then entitled to vote at an election of directors. Furthermore, any vacancy on our Board, however occurring, including a vacancy resulting from an increase in the size of our Board, may only be filled by the affirmative vote of a majority of our directors then in office even if less than a quorum.</w:t>
      </w:r>
    </w:p>
    <w:p>
      <w:pPr>
        <w:spacing w:after="0" w:line="179"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 Written Consent of Stockholders</w:t>
      </w:r>
      <w:r>
        <w:rPr>
          <w:rFonts w:ascii="Times New Roman" w:cs="Times New Roman" w:eastAsia="Times New Roman" w:hAnsi="Times New Roman"/>
          <w:sz w:val="18"/>
          <w:szCs w:val="18"/>
          <w:color w:val="auto"/>
        </w:rPr>
        <w:t>. Our Charter provides that all stockholder actions are required to be taken by a vote of the stockholders at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annual or special meeting, and that stockholders may not take any action by written consent in lieu of a meeting.</w:t>
      </w:r>
    </w:p>
    <w:p>
      <w:pPr>
        <w:spacing w:after="0" w:line="155" w:lineRule="exact"/>
        <w:rPr>
          <w:sz w:val="20"/>
          <w:szCs w:val="20"/>
          <w:color w:val="auto"/>
        </w:rPr>
      </w:pPr>
    </w:p>
    <w:p>
      <w:pPr>
        <w:ind w:left="1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Meetings of Stockholders</w:t>
      </w:r>
      <w:r>
        <w:rPr>
          <w:rFonts w:ascii="Times New Roman" w:cs="Times New Roman" w:eastAsia="Times New Roman" w:hAnsi="Times New Roman"/>
          <w:sz w:val="17"/>
          <w:szCs w:val="17"/>
          <w:color w:val="auto"/>
        </w:rPr>
        <w:t>. Our Charter and Bylaws provide that only a majority of the members of our Board then in office may call special meetings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53" w:lineRule="exact"/>
        <w:rPr>
          <w:sz w:val="20"/>
          <w:szCs w:val="20"/>
          <w:color w:val="auto"/>
        </w:rPr>
      </w:pPr>
    </w:p>
    <w:p>
      <w:pPr>
        <w:ind w:left="120"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Advance Notice Requirements</w:t>
      </w:r>
      <w:r>
        <w:rPr>
          <w:rFonts w:ascii="Times New Roman" w:cs="Times New Roman" w:eastAsia="Times New Roman" w:hAnsi="Times New Roman"/>
          <w:sz w:val="18"/>
          <w:szCs w:val="18"/>
          <w:color w:val="auto"/>
        </w:rPr>
        <w:t>. Our Bylaws establish advance notice procedures with regard to stockholder proposals relating to the nomination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w:t>
      </w:r>
    </w:p>
    <w:p>
      <w:pPr>
        <w:spacing w:after="0" w:line="17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Amendment to Charter and Bylaws</w:t>
      </w:r>
      <w:r>
        <w:rPr>
          <w:rFonts w:ascii="Times New Roman" w:cs="Times New Roman" w:eastAsia="Times New Roman" w:hAnsi="Times New Roman"/>
          <w:sz w:val="18"/>
          <w:szCs w:val="18"/>
          <w:color w:val="auto"/>
        </w:rPr>
        <w:t>. As required by the DGCL, any amendment of our Charter must first be approved by a majority of our Board, and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required by law or our Charter,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Charter must be approved by not less than 75% of the outstanding shares entitled to vote on the amendment, and not less than 75%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75% of the outstanding shares entitled to vote on the amendment, or, if our Board recommends that the stockholders approve the amendment, by the affirmative vote of the majority of the outstanding shares entitled to vote on the amendment, in each case voting together as a single class.</w:t>
      </w:r>
    </w:p>
    <w:p>
      <w:pPr>
        <w:spacing w:after="0" w:line="192"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DGCL. In general, Section 203 prohibits a publicly held Delaware corporation from engaging in a “business combination” with an “interested stockholder” for a three-year period following the time that this stockholder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67" w:lineRule="exact"/>
        <w:rPr>
          <w:sz w:val="20"/>
          <w:szCs w:val="20"/>
          <w:color w:val="auto"/>
        </w:rPr>
      </w:pPr>
    </w:p>
    <w:p>
      <w:pPr>
        <w:ind w:left="10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stockholder became interested, the board of directors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85" w:lineRule="exact"/>
        <w:rPr>
          <w:rFonts w:ascii="Times New Roman" w:cs="Times New Roman" w:eastAsia="Times New Roman" w:hAnsi="Times New Roman"/>
          <w:sz w:val="18"/>
          <w:szCs w:val="18"/>
          <w:color w:val="auto"/>
        </w:rPr>
      </w:pPr>
    </w:p>
    <w:p>
      <w:pPr>
        <w:jc w:val="both"/>
        <w:ind w:left="1080" w:right="12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the stockholder became interested, the business combination was approved by the board of directors and authorized at an annual or special meeting of the stockholders by the affirmative vote of at least two-thirds of the outstanding voting stock which is not owned by the interested stockholder.</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203 defines a business combination to include:</w:t>
      </w:r>
    </w:p>
    <w:p>
      <w:pPr>
        <w:spacing w:after="0" w:line="131"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lease, pledge or other disposition involving the interested stockholder of 10% or more of the assets of the corporation any conflicts or violations of each party’s agreements as a result of the merger or the merger agreement;</w:t>
      </w:r>
    </w:p>
    <w:p>
      <w:pPr>
        <w:spacing w:after="0" w:line="67"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or transfer by the corporation of any stock of the corporation to the interested stockholder;</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involving the corporation that has the effect of increasing the proportionate share of the interested stockholder; and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58"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Exclusive Jurisdiction of Certain Actions</w:t>
      </w:r>
      <w:r>
        <w:rPr>
          <w:rFonts w:ascii="Times New Roman" w:cs="Times New Roman" w:eastAsia="Times New Roman" w:hAnsi="Times New Roman"/>
          <w:sz w:val="18"/>
          <w:szCs w:val="18"/>
          <w:color w:val="auto"/>
        </w:rPr>
        <w:t>. Our Charter provides that, unless we consent in writing to the selection of an alternative forum, the Court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Chancery of the State of Delaware shall be the sole and exclusive forum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our Charter or our Bylaws, or (iv) any action asserting a claim against us governed by the internal affairs doctrine. This provision does not apply to claims arising under the Exchange Act or the Securities Act. Although we believe this provision benefits us by providing increased consistency in the application of Delaware law in the types of lawsuits to which it applies, the provision may have the effect of discouraging lawsuits against our directors and officers. The enforceability of similar exclusive forum provisions in other companies’ certificates of incorporation has been challenged in legal proceedings, and it is possible that a court could rule that this provision in our Charter is inapplicable or unenforceable.</w:t>
      </w:r>
    </w:p>
    <w:p>
      <w:pPr>
        <w:spacing w:after="0" w:line="1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55"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We have entered into the Sales Agreement with Guggenheim Securities, under which we may issue and sell shares of our common stock from time to time through Guggenheim Securities as our sales agent. Pursuant to this prospectus, we may issue and sell up to $100,000,000 of shares of our common stock. Sales of shares of common stock, if any, under this prospectus will be by any method that is deemed to be an “at-the-market offering,” as defined in Rule 415 under the Securities Act.</w:t>
      </w:r>
    </w:p>
    <w:p>
      <w:pPr>
        <w:spacing w:after="0" w:line="180"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Guggenheim Securities will offer shares of our common stock subject to the terms and conditions of the Sales Agreement on a daily basis or as otherwise agreed upon by us and Guggenheim Securities. Subject to the terms and conditions of the Sales Agreement, Guggenheim Securities will use its commercially reasonable efforts consistent with its normal trading and sales practices to sell on our behalf all the shares of common stock requested to be sold by us. We may instruct Guggenheim Securities not to sell shares of common stock if the sales cannot be effected at or above the price designated by us in any such instruction. Guggenheim Securities or we may suspend the offering of shares of our common stock being made through Guggenheim Securities under the Sales Agreement upon proper notice to the other party. Guggenheim Securities and we each have the right, by giving written notice as specified in the Sales Agreement, to terminate the Sales Agreement in each party’s sole discretion at any time.</w:t>
      </w:r>
    </w:p>
    <w:p>
      <w:pPr>
        <w:spacing w:after="0" w:line="189" w:lineRule="exact"/>
        <w:rPr>
          <w:sz w:val="20"/>
          <w:szCs w:val="20"/>
          <w:color w:val="auto"/>
        </w:rPr>
      </w:pPr>
    </w:p>
    <w:p>
      <w:pPr>
        <w:jc w:val="both"/>
        <w:ind w:left="120" w:right="200"/>
        <w:spacing w:after="0" w:line="261" w:lineRule="auto"/>
        <w:rPr>
          <w:sz w:val="20"/>
          <w:szCs w:val="20"/>
          <w:color w:val="auto"/>
        </w:rPr>
      </w:pPr>
      <w:r>
        <w:rPr>
          <w:rFonts w:ascii="Times New Roman" w:cs="Times New Roman" w:eastAsia="Times New Roman" w:hAnsi="Times New Roman"/>
          <w:sz w:val="18"/>
          <w:szCs w:val="18"/>
          <w:color w:val="auto"/>
        </w:rPr>
        <w:t>The aggregate compensation payable to Guggenheim Securities as sales agent will be an amount up to 3.0% of the gross sales price of any shares sold through it pursuant to the Sales Agreement. We have also agreed to reimburse Guggenheim Securities up to $50,000 for the out-of-pocket reasonable fees and disbursements of its legal counsel incurred in connection with this offering. We estimate that the total expenses of the offering payable by us, excluding commissions payable to Guggenheim Securities under the Sales Agreement, will be approximately $350,000.</w:t>
      </w:r>
    </w:p>
    <w:p>
      <w:pPr>
        <w:spacing w:after="0" w:line="180"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The remaining sales proceeds, after deducting any expenses payable by us and any transaction fees imposed by any governmental or self-regulatory organization in connection with the sales, will equal our net proceeds for the sale of such shares of common stock.</w:t>
      </w:r>
    </w:p>
    <w:p>
      <w:pPr>
        <w:spacing w:after="0" w:line="162"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Guggenheim Securities will provide written confirmation to us following the close of trading on the Nasdaq Global Market on each day in which shares of common stock are sold through it as sales agent under the Sales Agreement. Each confirmation will include the number of shares of common stock sold through it as sales agent on that day, the volume weighted average price of the shares of common stock sold and the net proceeds to us.</w:t>
      </w:r>
    </w:p>
    <w:p>
      <w:pPr>
        <w:spacing w:after="0" w:line="176"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Settlement for sales of shares of common stock will occur, unless the parties agree otherwise, on the second business day that is also a trading day following the date on which any sales were made in return for payment of the net proceeds to us. There is no arrangement for funds to be received in an escrow, trust or similar arrangement. We will report, through Quarterly Reports on Form 10-Q and Annual Reports on Form 10-K, at least quarterly the number of shares of common stock sold through Guggenheim Securities under the Sales Agreement and the net proceeds to us in connection with the sales of shares of common stock during the relevant period.</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connection with the sales of shares of common stock on our behalf, Guggenheim Securities will be deemed to be an “underwriter” within the meaning of the Securities Act, and the compensation paid to Guggenheim Securities will be deemed to be underwriting commissions or discounts. We have agreed in the Sales Agreement to provide indemnification and contribution to Guggenheim Securities against certain liabilities, including liabilities under the Securities Act. As sales agent, Guggenheim Securities will not engage in any transactions that stabilize our common stock.</w:t>
      </w:r>
    </w:p>
    <w:p>
      <w:pPr>
        <w:spacing w:after="0" w:line="180"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Our common stock is listed and traded on the Nasdaq Global Market under the symbol “LRMR.” Computershare Trust Company, N.A. serves as the transfer agent and registrar for our common stock.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Guggenheim Securities and/or its affiliates have provided, and may in the future provide, various investment banking and other financial services for us for which services they have received, and may in the future receive, customary fees.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40"/>
          </w:cols>
          <w:pgMar w:left="320" w:top="455" w:right="5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validity of the issuance of the common stock offered by this prospectus will be passed upon for us by Goodwin Procter LLP. Certain matters will be passed upon for Guggenheim Securities, LLC by Mintz, Levin, Cohn, Ferris, Glovsky and Popeo, P.C.</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to the Annual Report on Form 10-K for the year ended December 31, 2023 have been so incorporated in reliance on the report of PricewaterhouseCoopers LLP, an independent registered public accounting firm, given on the authority of said firm as experts in auditing and accounting.</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80"/>
          </w:cols>
          <w:pgMar w:left="320" w:top="455" w:right="4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9"/>
          <w:szCs w:val="29"/>
          <w:b w:val="1"/>
          <w:bCs w:val="1"/>
          <w:color w:val="auto"/>
        </w:rPr>
        <w:t>Up to $100,000,000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344170</wp:posOffset>
            </wp:positionV>
            <wp:extent cx="1739900" cy="651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173990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410210</wp:posOffset>
            </wp:positionV>
            <wp:extent cx="1474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ind w:right="3099"/>
        <w:spacing w:after="0"/>
        <w:rPr>
          <w:sz w:val="20"/>
          <w:szCs w:val="20"/>
          <w:color w:val="auto"/>
        </w:rPr>
      </w:pPr>
      <w:r>
        <w:rPr>
          <w:rFonts w:ascii="Times New Roman" w:cs="Times New Roman" w:eastAsia="Times New Roman" w:hAnsi="Times New Roman"/>
          <w:sz w:val="29"/>
          <w:szCs w:val="29"/>
          <w:b w:val="1"/>
          <w:bCs w:val="1"/>
          <w:color w:val="auto"/>
        </w:rPr>
        <w:t>Guggenheim Securities</w:t>
      </w:r>
    </w:p>
    <w:p>
      <w:pPr>
        <w:spacing w:after="0" w:line="200" w:lineRule="exact"/>
        <w:rPr>
          <w:sz w:val="20"/>
          <w:szCs w:val="20"/>
          <w:color w:val="auto"/>
        </w:rPr>
      </w:pPr>
    </w:p>
    <w:p>
      <w:pPr>
        <w:spacing w:after="0" w:line="25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440055</wp:posOffset>
            </wp:positionV>
            <wp:extent cx="6995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52"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Other Expenses of Issuance and Distribution.</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following is an estimate of the expenses (all of which are to be paid by the registrant) that we may incur in connection with the securities being registered hereby, other than the SEC registration fee.</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44,280</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The Nasdaq Global Market supplemental listing fee</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and expenses of the trustee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 Sky, qualification fees and expenses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fees and expenses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estimated at this time.</w:t>
      </w:r>
    </w:p>
    <w:p>
      <w:pPr>
        <w:spacing w:after="0" w:line="370"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We are governed by the Delaware General Corporation Law, or DGCL. Section 145 of the DGCL provides that a corporation may indemnify any person, including an officer or director, who was or is, or is threatened to be made, a party to any threatened, pending or completed legal action, suit or proceeding, whether civil, criminal, administrative or investigative (other than an action by or in the right of such corporation), by reason of the fact that such person was or is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officer, director, employee or agent acted in good faith and in a manner such person reasonably believed to be in, or not opposed to, the corporation’s best interest and, for criminal proceedings, had no reasonable cause to believe that such person’s conduct was unlawful. A Delaware corporation may indemnify any person, including an officer or director, who was or is, or is threatened to be made, a party to any threatened, pending or contemplated action or suit by or in the right of such corporation, under the same conditions, except that such indemnification is limited to expenses (including attorneys’ fees) actually and reasonably incurred by such person, and except that no indemnification is permitted without judicial approval if such person is adjudged to be liable to such corporation. Where an officer or director of a corporation is successful, on the merits or otherwise, in the defense of any action, suit or proceeding referred to above, or any claim, issue or matter therein, the corporation must indemnify that person against the expenses (including attorneys’ fees) which such officer or director actually and reasonably incurred in connection therewith.</w:t>
      </w:r>
    </w:p>
    <w:p>
      <w:pPr>
        <w:spacing w:after="0" w:line="197"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Our Ninth Amended and Restated Certificate of Incorporation, as amended, or the Charter, provides for the indemnification of directors to the fullest extent permissible under Delaware law. Accordingly, our directors will not be personally liable for monetary damages for breach of their fiduciary duty as directors, except for liabilities:</w:t>
      </w:r>
    </w:p>
    <w:p>
      <w:pPr>
        <w:spacing w:after="0" w:line="81"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duty of loyalty to us or our stockholders;</w:t>
      </w:r>
    </w:p>
    <w:p>
      <w:pPr>
        <w:spacing w:after="0" w:line="130" w:lineRule="exact"/>
        <w:rPr>
          <w:rFonts w:ascii="Times New Roman" w:cs="Times New Roman" w:eastAsia="Times New Roman" w:hAnsi="Times New Roman"/>
          <w:sz w:val="18"/>
          <w:szCs w:val="18"/>
          <w:color w:val="auto"/>
        </w:rPr>
      </w:pPr>
    </w:p>
    <w:p>
      <w:pPr>
        <w:ind w:left="5480" w:right="2120" w:hanging="4824"/>
        <w:spacing w:after="0" w:line="454" w:lineRule="auto"/>
        <w:tabs>
          <w:tab w:leader="none" w:pos="107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 II-1</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unlawful payments of dividends or unlawful stock repurchases or redemptions, as provided under Section 174 of the DGCL;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w:t>
      </w:r>
    </w:p>
    <w:p>
      <w:pPr>
        <w:spacing w:after="0" w:line="225"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Our amended and restated bylaws, or the Bylaws, provide for the indemnification of officers, directors and third parties acting on our behalf if such persons act in good faith and in a manner reasonably believed to be in and not opposed to our best interest, and, with respect to any criminal action or proceeding, such indemnified party had no reason to believe his or her conduct was unlawful.</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certain of our executive officers. These agreements provide that we will indemnify each of our directors and certain of our executive officers to the fullest extent permitted by law. We intend to enter into indemnification agreements with any new directors and executive officers in the future.</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We also maintain a general liability insurance policy which covers certain liabilities of directors and officers of our Company arising out of claims based on acts or omissions in their capacities as directors or officers.</w:t>
      </w:r>
    </w:p>
    <w:p>
      <w:pPr>
        <w:spacing w:after="0" w:line="162" w:lineRule="exact"/>
        <w:rPr>
          <w:sz w:val="20"/>
          <w:szCs w:val="20"/>
          <w:color w:val="auto"/>
        </w:rPr>
      </w:pPr>
    </w:p>
    <w:p>
      <w:pPr>
        <w:ind w:left="120" w:right="100"/>
        <w:spacing w:after="0" w:line="277" w:lineRule="auto"/>
        <w:rPr>
          <w:sz w:val="20"/>
          <w:szCs w:val="20"/>
          <w:color w:val="auto"/>
        </w:rPr>
      </w:pPr>
      <w:r>
        <w:rPr>
          <w:rFonts w:ascii="Times New Roman" w:cs="Times New Roman" w:eastAsia="Times New Roman" w:hAnsi="Times New Roman"/>
          <w:sz w:val="17"/>
          <w:szCs w:val="17"/>
          <w:color w:val="auto"/>
        </w:rPr>
        <w:t>We believe that the limitation of liability provision in the Charter and the indemnification agreements facilitate our ability to continue to attract and retain qualified individuals to serve as directors and officers. The limitation of liability and indemnification provisions in the Charter and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w:t>
      </w:r>
    </w:p>
    <w:p>
      <w:pPr>
        <w:spacing w:after="0" w:line="312"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33" w:lineRule="exact"/>
        <w:rPr>
          <w:sz w:val="20"/>
          <w:szCs w:val="20"/>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1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00"/>
          </w:cols>
          <w:pgMar w:left="320" w:top="455" w:right="4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60" w:type="dxa"/>
            <w:vAlign w:val="bottom"/>
            <w:gridSpan w:val="20"/>
          </w:tcPr>
          <w:p>
            <w:pPr>
              <w:ind w:left="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583"/>
        </w:trPr>
        <w:tc>
          <w:tcPr>
            <w:tcW w:w="2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60" w:type="dxa"/>
            <w:vAlign w:val="bottom"/>
            <w:gridSpan w:val="20"/>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60" w:type="dxa"/>
            <w:vAlign w:val="bottom"/>
            <w:gridSpan w:val="2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    1.1*</w:t>
            </w:r>
          </w:p>
        </w:tc>
        <w:tc>
          <w:tcPr>
            <w:tcW w:w="560" w:type="dxa"/>
            <w:vAlign w:val="bottom"/>
          </w:tcPr>
          <w:p>
            <w:pPr>
              <w:spacing w:after="0"/>
              <w:rPr>
                <w:sz w:val="24"/>
                <w:szCs w:val="24"/>
                <w:color w:val="auto"/>
              </w:rPr>
            </w:pPr>
          </w:p>
        </w:tc>
        <w:tc>
          <w:tcPr>
            <w:tcW w:w="99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283"/>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1.2</w:t>
            </w:r>
          </w:p>
        </w:tc>
        <w:tc>
          <w:tcPr>
            <w:tcW w:w="560" w:type="dxa"/>
            <w:vAlign w:val="bottom"/>
          </w:tcPr>
          <w:p>
            <w:pPr>
              <w:spacing w:after="0"/>
              <w:rPr>
                <w:sz w:val="24"/>
                <w:szCs w:val="24"/>
                <w:color w:val="auto"/>
              </w:rPr>
            </w:pPr>
          </w:p>
        </w:tc>
        <w:tc>
          <w:tcPr>
            <w:tcW w:w="91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Sales Agreement, dated as of May 9, 2024, by and between Larimar Therapeutics, Inc. and Guggenheim Securities, LLC (filed</w:t>
            </w:r>
          </w:p>
        </w:tc>
        <w:tc>
          <w:tcPr>
            <w:tcW w:w="7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herewith).</w:t>
            </w:r>
          </w:p>
        </w:tc>
        <w:tc>
          <w:tcPr>
            <w:tcW w:w="916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2.1</w:t>
            </w:r>
          </w:p>
        </w:tc>
        <w:tc>
          <w:tcPr>
            <w:tcW w:w="560" w:type="dxa"/>
            <w:vAlign w:val="bottom"/>
          </w:tcPr>
          <w:p>
            <w:pPr>
              <w:spacing w:after="0"/>
              <w:rPr>
                <w:sz w:val="24"/>
                <w:szCs w:val="24"/>
                <w:color w:val="auto"/>
              </w:rPr>
            </w:pPr>
          </w:p>
        </w:tc>
        <w:tc>
          <w:tcPr>
            <w:tcW w:w="96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Agreement and Plan of Merger, dated as of December 17, 2019, by and among Zafgen, Inc., Chondrial Therapeutics, Inc., Chondrial</w:t>
              </w:r>
            </w:hyperlink>
          </w:p>
        </w:tc>
        <w:tc>
          <w:tcPr>
            <w:tcW w:w="3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00" w:type="dxa"/>
            <w:vAlign w:val="bottom"/>
            <w:gridSpan w:val="23"/>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Therapeutics Holdings, LLC, and Zordich Merger Sub, Inc. (incorporated by reference to Exhibit 2.1 of the Company’s Current Report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2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on Form 8-K (File No. 001-35610) filed on December 18, 2019).</w:t>
              </w:r>
            </w:hyperlink>
          </w:p>
        </w:tc>
        <w:tc>
          <w:tcPr>
            <w:tcW w:w="1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2.2</w:t>
            </w:r>
          </w:p>
        </w:tc>
        <w:tc>
          <w:tcPr>
            <w:tcW w:w="560" w:type="dxa"/>
            <w:vAlign w:val="bottom"/>
          </w:tcPr>
          <w:p>
            <w:pPr>
              <w:spacing w:after="0"/>
              <w:rPr>
                <w:sz w:val="24"/>
                <w:szCs w:val="24"/>
                <w:color w:val="auto"/>
              </w:rPr>
            </w:pPr>
          </w:p>
        </w:tc>
        <w:tc>
          <w:tcPr>
            <w:tcW w:w="9900" w:type="dxa"/>
            <w:vAlign w:val="bottom"/>
            <w:gridSpan w:val="23"/>
          </w:tcPr>
          <w:p>
            <w:pPr>
              <w:spacing w:after="0"/>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Amendment No. 1 to Agreement and Plan of Merger, dated as of March 6, 2020, by and among Zafgen, Inc., Chondrial Therapeutics,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00" w:type="dxa"/>
            <w:vAlign w:val="bottom"/>
            <w:gridSpan w:val="23"/>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Inc., Chondrial Therapeutics Holdings, LLC, and Zordich Merger Sub, Inc. (incorporated by reference to Exhibit 2.1 of the Company’s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Current Report on Form 8-K (File No. 001-35610) filed on March 6, 2020).</w:t>
              </w:r>
            </w:hyperlink>
          </w:p>
        </w:tc>
        <w:tc>
          <w:tcPr>
            <w:tcW w:w="4260" w:type="dxa"/>
            <w:vAlign w:val="bottom"/>
            <w:tcBorders>
              <w:top w:val="single" w:sz="8" w:color="0000EE"/>
            </w:tcBorders>
            <w:gridSpan w:val="11"/>
          </w:tcPr>
          <w:p>
            <w:pPr>
              <w:spacing w:after="0"/>
              <w:rPr>
                <w:sz w:val="17"/>
                <w:szCs w:val="17"/>
                <w:color w:val="auto"/>
              </w:rPr>
            </w:pPr>
          </w:p>
        </w:tc>
        <w:tc>
          <w:tcPr>
            <w:tcW w:w="1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3.1</w:t>
            </w:r>
          </w:p>
        </w:tc>
        <w:tc>
          <w:tcPr>
            <w:tcW w:w="560" w:type="dxa"/>
            <w:vAlign w:val="bottom"/>
          </w:tcPr>
          <w:p>
            <w:pPr>
              <w:spacing w:after="0"/>
              <w:rPr>
                <w:sz w:val="24"/>
                <w:szCs w:val="24"/>
                <w:color w:val="auto"/>
              </w:rPr>
            </w:pPr>
          </w:p>
        </w:tc>
        <w:tc>
          <w:tcPr>
            <w:tcW w:w="976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Ninth Amended and Restated Certificate of Incorporation of Larimar Therapeutics, Inc. (formerly Zafgen, Inc.) (incorporated herein by</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00" w:type="dxa"/>
            <w:vAlign w:val="bottom"/>
            <w:gridSpan w:val="23"/>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reference to Exhibit 3.1 to the Company’s Current Report on Form 8-K (File No. 001-35610) filed on June 24, 2014).</w:t>
              </w:r>
            </w:hyperlink>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3.2</w:t>
            </w:r>
          </w:p>
        </w:tc>
        <w:tc>
          <w:tcPr>
            <w:tcW w:w="560" w:type="dxa"/>
            <w:vAlign w:val="bottom"/>
          </w:tcPr>
          <w:p>
            <w:pPr>
              <w:spacing w:after="0"/>
              <w:rPr>
                <w:sz w:val="24"/>
                <w:szCs w:val="24"/>
                <w:color w:val="auto"/>
              </w:rPr>
            </w:pPr>
          </w:p>
        </w:tc>
        <w:tc>
          <w:tcPr>
            <w:tcW w:w="990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Certificate of Amendment of Ninth Amended and Restated Certificate of Incorporation of Larimar Therapeutics, Inc. (formerly known as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00" w:type="dxa"/>
            <w:vAlign w:val="bottom"/>
            <w:gridSpan w:val="23"/>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Zafgen, Inc.) related to the Reverse Stock Split, dated May 28, 2020 (incorporated herein by reference to Exhibit 3.1 to the Company’s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32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Current Report on Form 8-K (File No. 001-35610) filed on June 2, 2020).</w:t>
              </w:r>
            </w:hyperlink>
          </w:p>
        </w:tc>
        <w:tc>
          <w:tcPr>
            <w:tcW w:w="4380" w:type="dxa"/>
            <w:vAlign w:val="bottom"/>
            <w:tcBorders>
              <w:top w:val="single" w:sz="8" w:color="0000EE"/>
            </w:tcBorders>
            <w:gridSpan w:val="11"/>
          </w:tcPr>
          <w:p>
            <w:pPr>
              <w:spacing w:after="0"/>
              <w:rPr>
                <w:sz w:val="17"/>
                <w:szCs w:val="17"/>
                <w:color w:val="auto"/>
              </w:rPr>
            </w:pPr>
          </w:p>
        </w:tc>
        <w:tc>
          <w:tcPr>
            <w:tcW w:w="2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3.3</w:t>
            </w:r>
          </w:p>
        </w:tc>
        <w:tc>
          <w:tcPr>
            <w:tcW w:w="560" w:type="dxa"/>
            <w:vAlign w:val="bottom"/>
          </w:tcPr>
          <w:p>
            <w:pPr>
              <w:spacing w:after="0"/>
              <w:rPr>
                <w:sz w:val="24"/>
                <w:szCs w:val="24"/>
                <w:color w:val="auto"/>
              </w:rPr>
            </w:pPr>
          </w:p>
        </w:tc>
        <w:tc>
          <w:tcPr>
            <w:tcW w:w="990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Certificate of Amendment of Ninth Amended and Restated Certificate of Incorporation of Larimar Therapeutics, Inc. (formerly known as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Zafgen, Inc.) related to the Name Change, dated May 28, 2020 (incorporated herein by reference to Exhibit 3.2 to the Company’s Current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00" w:type="dxa"/>
            <w:vAlign w:val="bottom"/>
            <w:gridSpan w:val="23"/>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Report on Form 8-K (File No. 001-35610) filed on June 2, 2020).</w:t>
              </w:r>
            </w:hyperlink>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3.4</w:t>
            </w:r>
          </w:p>
        </w:tc>
        <w:tc>
          <w:tcPr>
            <w:tcW w:w="560" w:type="dxa"/>
            <w:vAlign w:val="bottom"/>
          </w:tcPr>
          <w:p>
            <w:pPr>
              <w:spacing w:after="0"/>
              <w:rPr>
                <w:sz w:val="24"/>
                <w:szCs w:val="24"/>
                <w:color w:val="auto"/>
              </w:rPr>
            </w:pPr>
          </w:p>
        </w:tc>
        <w:tc>
          <w:tcPr>
            <w:tcW w:w="95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Amended and Restated Bylaws of Larimar Therapeutics, Inc. (formerly known as Zafgen, Inc.) (incorporated herein by reference to</w:t>
              </w:r>
            </w:hyperlink>
          </w:p>
        </w:tc>
        <w:tc>
          <w:tcPr>
            <w:tcW w:w="4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00" w:type="dxa"/>
            <w:vAlign w:val="bottom"/>
            <w:gridSpan w:val="23"/>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Exhibit 3.2 to the Company’s Current Report on Form 8-K (File No. 001-35610) filed on June 24, 2014).</w:t>
              </w:r>
            </w:hyperlink>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w:t>
            </w:r>
          </w:p>
        </w:tc>
        <w:tc>
          <w:tcPr>
            <w:tcW w:w="560" w:type="dxa"/>
            <w:vAlign w:val="bottom"/>
          </w:tcPr>
          <w:p>
            <w:pPr>
              <w:spacing w:after="0"/>
              <w:rPr>
                <w:sz w:val="24"/>
                <w:szCs w:val="24"/>
                <w:color w:val="auto"/>
              </w:rPr>
            </w:pPr>
          </w:p>
        </w:tc>
        <w:tc>
          <w:tcPr>
            <w:tcW w:w="97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Registration Rights Agreement, dated as of June 8, 2020, by and among the Company and certain Investors (incorporated by reference</w:t>
              </w:r>
            </w:hyperlink>
          </w:p>
        </w:tc>
        <w:tc>
          <w:tcPr>
            <w:tcW w:w="1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to Exhibit 10.3 of the Company’s Registration Statement on Form S-3 filed on June 26, 2020).</w:t>
              </w:r>
            </w:hyperlink>
          </w:p>
        </w:tc>
        <w:tc>
          <w:tcPr>
            <w:tcW w:w="31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4.2</w:t>
            </w:r>
          </w:p>
        </w:tc>
        <w:tc>
          <w:tcPr>
            <w:tcW w:w="560" w:type="dxa"/>
            <w:vAlign w:val="bottom"/>
          </w:tcPr>
          <w:p>
            <w:pPr>
              <w:spacing w:after="0"/>
              <w:rPr>
                <w:sz w:val="24"/>
                <w:szCs w:val="24"/>
                <w:color w:val="auto"/>
              </w:rPr>
            </w:pPr>
          </w:p>
        </w:tc>
        <w:tc>
          <w:tcPr>
            <w:tcW w:w="9900" w:type="dxa"/>
            <w:vAlign w:val="bottom"/>
            <w:gridSpan w:val="23"/>
          </w:tcPr>
          <w:p>
            <w:pPr>
              <w:spacing w:after="0"/>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Form of Common Stock certificate of the registrant (incorporated herein by reference to Exhibit 4.1 to the Company’s Registration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2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Statement on Form S-1 (File No. 333-195391) filed on June 2, 2014).</w:t>
              </w:r>
            </w:hyperlink>
          </w:p>
        </w:tc>
        <w:tc>
          <w:tcPr>
            <w:tcW w:w="4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    4.3*</w:t>
            </w:r>
          </w:p>
        </w:tc>
        <w:tc>
          <w:tcPr>
            <w:tcW w:w="560" w:type="dxa"/>
            <w:vAlign w:val="bottom"/>
          </w:tcPr>
          <w:p>
            <w:pPr>
              <w:spacing w:after="0"/>
              <w:rPr>
                <w:sz w:val="24"/>
                <w:szCs w:val="24"/>
                <w:color w:val="auto"/>
              </w:rPr>
            </w:pPr>
          </w:p>
        </w:tc>
        <w:tc>
          <w:tcPr>
            <w:tcW w:w="500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auto"/>
              </w:rPr>
              <w:t>Form of Preferred Stock Certificate.</w:t>
            </w:r>
          </w:p>
        </w:tc>
        <w:tc>
          <w:tcPr>
            <w:tcW w:w="49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4.4</w:t>
            </w:r>
          </w:p>
        </w:tc>
        <w:tc>
          <w:tcPr>
            <w:tcW w:w="560" w:type="dxa"/>
            <w:vAlign w:val="bottom"/>
          </w:tcPr>
          <w:p>
            <w:pPr>
              <w:spacing w:after="0"/>
              <w:rPr>
                <w:sz w:val="24"/>
                <w:szCs w:val="24"/>
                <w:color w:val="auto"/>
              </w:rPr>
            </w:pPr>
          </w:p>
        </w:tc>
        <w:tc>
          <w:tcPr>
            <w:tcW w:w="2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Form of Indenture (filed herewith).</w:t>
            </w:r>
          </w:p>
        </w:tc>
        <w:tc>
          <w:tcPr>
            <w:tcW w:w="736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    4.5*</w:t>
            </w:r>
          </w:p>
        </w:tc>
        <w:tc>
          <w:tcPr>
            <w:tcW w:w="560" w:type="dxa"/>
            <w:vAlign w:val="bottom"/>
          </w:tcPr>
          <w:p>
            <w:pPr>
              <w:spacing w:after="0"/>
              <w:rPr>
                <w:sz w:val="24"/>
                <w:szCs w:val="24"/>
                <w:color w:val="auto"/>
              </w:rPr>
            </w:pPr>
          </w:p>
        </w:tc>
        <w:tc>
          <w:tcPr>
            <w:tcW w:w="99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Form of Note.</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    4.6*</w:t>
            </w:r>
          </w:p>
        </w:tc>
        <w:tc>
          <w:tcPr>
            <w:tcW w:w="560" w:type="dxa"/>
            <w:vAlign w:val="bottom"/>
          </w:tcPr>
          <w:p>
            <w:pPr>
              <w:spacing w:after="0"/>
              <w:rPr>
                <w:sz w:val="24"/>
                <w:szCs w:val="24"/>
                <w:color w:val="auto"/>
              </w:rPr>
            </w:pPr>
          </w:p>
        </w:tc>
        <w:tc>
          <w:tcPr>
            <w:tcW w:w="99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Form of Warrant.</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    4.7*</w:t>
            </w:r>
          </w:p>
        </w:tc>
        <w:tc>
          <w:tcPr>
            <w:tcW w:w="560" w:type="dxa"/>
            <w:vAlign w:val="bottom"/>
          </w:tcPr>
          <w:p>
            <w:pPr>
              <w:spacing w:after="0"/>
              <w:rPr>
                <w:sz w:val="24"/>
                <w:szCs w:val="24"/>
                <w:color w:val="auto"/>
              </w:rPr>
            </w:pPr>
          </w:p>
        </w:tc>
        <w:tc>
          <w:tcPr>
            <w:tcW w:w="99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Form of Warrant Agreement.</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    4.8*</w:t>
            </w:r>
          </w:p>
        </w:tc>
        <w:tc>
          <w:tcPr>
            <w:tcW w:w="560" w:type="dxa"/>
            <w:vAlign w:val="bottom"/>
          </w:tcPr>
          <w:p>
            <w:pPr>
              <w:spacing w:after="0"/>
              <w:rPr>
                <w:sz w:val="24"/>
                <w:szCs w:val="24"/>
                <w:color w:val="auto"/>
              </w:rPr>
            </w:pPr>
          </w:p>
        </w:tc>
        <w:tc>
          <w:tcPr>
            <w:tcW w:w="99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Form of Unit Agreement.</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    4.9*</w:t>
            </w:r>
          </w:p>
        </w:tc>
        <w:tc>
          <w:tcPr>
            <w:tcW w:w="560" w:type="dxa"/>
            <w:vAlign w:val="bottom"/>
          </w:tcPr>
          <w:p>
            <w:pPr>
              <w:spacing w:after="0"/>
              <w:rPr>
                <w:sz w:val="24"/>
                <w:szCs w:val="24"/>
                <w:color w:val="auto"/>
              </w:rPr>
            </w:pPr>
          </w:p>
        </w:tc>
        <w:tc>
          <w:tcPr>
            <w:tcW w:w="99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Form of Subscription Rights Agreement.</w:t>
            </w:r>
          </w:p>
        </w:tc>
        <w:tc>
          <w:tcPr>
            <w:tcW w:w="0" w:type="dxa"/>
            <w:vAlign w:val="bottom"/>
          </w:tcPr>
          <w:p>
            <w:pPr>
              <w:spacing w:after="0"/>
              <w:rPr>
                <w:sz w:val="1"/>
                <w:szCs w:val="1"/>
                <w:color w:val="auto"/>
              </w:rPr>
            </w:pPr>
          </w:p>
        </w:tc>
      </w:tr>
      <w:tr>
        <w:trPr>
          <w:trHeight w:val="283"/>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5.1</w:t>
            </w:r>
          </w:p>
        </w:tc>
        <w:tc>
          <w:tcPr>
            <w:tcW w:w="560" w:type="dxa"/>
            <w:vAlign w:val="bottom"/>
          </w:tcPr>
          <w:p>
            <w:pPr>
              <w:spacing w:after="0"/>
              <w:rPr>
                <w:sz w:val="24"/>
                <w:szCs w:val="24"/>
                <w:color w:val="auto"/>
              </w:rPr>
            </w:pPr>
          </w:p>
        </w:tc>
        <w:tc>
          <w:tcPr>
            <w:tcW w:w="99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Opinion of Goodwin Procter LLP (filed herewith).</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180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6260" w:type="dxa"/>
            <w:vAlign w:val="bottom"/>
            <w:gridSpan w:val="20"/>
          </w:tcPr>
          <w:p>
            <w:pPr>
              <w:ind w:left="620"/>
              <w:spacing w:after="0"/>
              <w:rPr>
                <w:sz w:val="20"/>
                <w:szCs w:val="20"/>
                <w:color w:val="auto"/>
              </w:rPr>
            </w:pPr>
            <w:r>
              <w:rPr>
                <w:rFonts w:ascii="Times New Roman" w:cs="Times New Roman" w:eastAsia="Times New Roman" w:hAnsi="Times New Roman"/>
                <w:sz w:val="18"/>
                <w:szCs w:val="18"/>
                <w:color w:val="auto"/>
              </w:rPr>
              <w:t>II-3</w:t>
            </w: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20" w:type="dxa"/>
            <w:vAlign w:val="bottom"/>
          </w:tcPr>
          <w:p>
            <w:pPr>
              <w:spacing w:after="0"/>
              <w:rPr>
                <w:sz w:val="13"/>
                <w:szCs w:val="13"/>
                <w:color w:val="auto"/>
              </w:rPr>
            </w:pPr>
          </w:p>
        </w:tc>
        <w:tc>
          <w:tcPr>
            <w:tcW w:w="9580" w:type="dxa"/>
            <w:vAlign w:val="bottom"/>
            <w:gridSpan w:val="6"/>
            <w:vMerge w:val="restart"/>
          </w:tcPr>
          <w:p>
            <w:pPr>
              <w:ind w:left="42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20" w:type="dxa"/>
            <w:vAlign w:val="bottom"/>
          </w:tcPr>
          <w:p>
            <w:pPr>
              <w:spacing w:after="0"/>
              <w:rPr>
                <w:sz w:val="15"/>
                <w:szCs w:val="15"/>
                <w:color w:val="auto"/>
              </w:rPr>
            </w:pPr>
          </w:p>
        </w:tc>
        <w:tc>
          <w:tcPr>
            <w:tcW w:w="958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300" w:type="dxa"/>
            <w:vAlign w:val="bottom"/>
            <w:tcBorders>
              <w:right w:val="single" w:sz="8" w:color="auto"/>
            </w:tcBorders>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5.2</w:t>
            </w:r>
          </w:p>
        </w:tc>
        <w:tc>
          <w:tcPr>
            <w:tcW w:w="520" w:type="dxa"/>
            <w:vAlign w:val="bottom"/>
          </w:tcPr>
          <w:p>
            <w:pPr>
              <w:spacing w:after="0"/>
              <w:rPr>
                <w:sz w:val="24"/>
                <w:szCs w:val="24"/>
                <w:color w:val="auto"/>
              </w:rPr>
            </w:pPr>
          </w:p>
        </w:tc>
        <w:tc>
          <w:tcPr>
            <w:tcW w:w="95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Opinion of Goodwin Procter LLP relating to sales agreement prospectus (filed herewith).</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300" w:type="dxa"/>
            <w:vAlign w:val="bottom"/>
            <w:tcBorders>
              <w:right w:val="single" w:sz="8" w:color="0000EE"/>
            </w:tcBorders>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23.1</w:t>
            </w:r>
          </w:p>
        </w:tc>
        <w:tc>
          <w:tcPr>
            <w:tcW w:w="520" w:type="dxa"/>
            <w:vAlign w:val="bottom"/>
          </w:tcPr>
          <w:p>
            <w:pPr>
              <w:spacing w:after="0"/>
              <w:rPr>
                <w:sz w:val="24"/>
                <w:szCs w:val="24"/>
                <w:color w:val="auto"/>
              </w:rPr>
            </w:pPr>
          </w:p>
        </w:tc>
        <w:tc>
          <w:tcPr>
            <w:tcW w:w="95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Consent of PricewaterhouseCoopers LLP, independent registered public accounting firm (filed herewith).</w:t>
            </w: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23.2</w:t>
            </w:r>
          </w:p>
        </w:tc>
        <w:tc>
          <w:tcPr>
            <w:tcW w:w="520" w:type="dxa"/>
            <w:vAlign w:val="bottom"/>
          </w:tcPr>
          <w:p>
            <w:pPr>
              <w:spacing w:after="0"/>
              <w:rPr>
                <w:sz w:val="24"/>
                <w:szCs w:val="24"/>
                <w:color w:val="auto"/>
              </w:rPr>
            </w:pPr>
          </w:p>
        </w:tc>
        <w:tc>
          <w:tcPr>
            <w:tcW w:w="43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Consent of Goodwin Procter LLP (included in Exhibit 5.1).</w:t>
            </w:r>
          </w:p>
        </w:tc>
        <w:tc>
          <w:tcPr>
            <w:tcW w:w="3280" w:type="dxa"/>
            <w:vAlign w:val="bottom"/>
            <w:tcBorders>
              <w:top w:val="single" w:sz="8" w:color="0000EE"/>
            </w:tcBorders>
            <w:gridSpan w:val="4"/>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23.3</w:t>
            </w:r>
          </w:p>
        </w:tc>
        <w:tc>
          <w:tcPr>
            <w:tcW w:w="520" w:type="dxa"/>
            <w:vAlign w:val="bottom"/>
          </w:tcPr>
          <w:p>
            <w:pPr>
              <w:spacing w:after="0"/>
              <w:rPr>
                <w:sz w:val="24"/>
                <w:szCs w:val="24"/>
                <w:color w:val="auto"/>
              </w:rPr>
            </w:pPr>
          </w:p>
        </w:tc>
        <w:tc>
          <w:tcPr>
            <w:tcW w:w="43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Consent of Goodwin Procter LLP (included in Exhibit 5.2).</w:t>
            </w:r>
          </w:p>
        </w:tc>
        <w:tc>
          <w:tcPr>
            <w:tcW w:w="52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24.1</w:t>
            </w:r>
          </w:p>
        </w:tc>
        <w:tc>
          <w:tcPr>
            <w:tcW w:w="520" w:type="dxa"/>
            <w:vAlign w:val="bottom"/>
          </w:tcPr>
          <w:p>
            <w:pPr>
              <w:spacing w:after="0"/>
              <w:rPr>
                <w:sz w:val="24"/>
                <w:szCs w:val="24"/>
                <w:color w:val="auto"/>
              </w:rPr>
            </w:pPr>
          </w:p>
        </w:tc>
        <w:tc>
          <w:tcPr>
            <w:tcW w:w="95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Powers of Attorney (incorporated by reference to the signature page hereto).</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500" w:type="dxa"/>
            <w:vAlign w:val="bottom"/>
            <w:gridSpan w:val="2"/>
            <w:shd w:val="clear" w:color="auto" w:fill="0000EE"/>
          </w:tcPr>
          <w:p>
            <w:pPr>
              <w:spacing w:after="0" w:line="20" w:lineRule="exact"/>
              <w:rPr>
                <w:sz w:val="1"/>
                <w:szCs w:val="1"/>
                <w:color w:val="auto"/>
              </w:rPr>
            </w:pPr>
          </w:p>
        </w:tc>
        <w:tc>
          <w:tcPr>
            <w:tcW w:w="40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25.1‡</w:t>
            </w:r>
          </w:p>
        </w:tc>
        <w:tc>
          <w:tcPr>
            <w:tcW w:w="520" w:type="dxa"/>
            <w:vAlign w:val="bottom"/>
          </w:tcPr>
          <w:p>
            <w:pPr>
              <w:spacing w:after="0"/>
              <w:rPr>
                <w:sz w:val="24"/>
                <w:szCs w:val="24"/>
                <w:color w:val="auto"/>
              </w:rPr>
            </w:pPr>
          </w:p>
        </w:tc>
        <w:tc>
          <w:tcPr>
            <w:tcW w:w="958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Statement of Eligibility on Form T-1 under the Trust Indenture Act of 1939, as amended, of the trustee, as trustee under the indenture</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5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220" w:hanging="1104"/>
        <w:spacing w:after="0"/>
        <w:tabs>
          <w:tab w:leader="none" w:pos="12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 (filed herewith).</w:t>
      </w:r>
    </w:p>
    <w:p>
      <w:pPr>
        <w:spacing w:after="0" w:line="252" w:lineRule="exact"/>
        <w:rPr>
          <w:sz w:val="20"/>
          <w:szCs w:val="20"/>
          <w:color w:val="auto"/>
        </w:rPr>
      </w:pPr>
    </w:p>
    <w:p>
      <w:pPr>
        <w:ind w:left="540" w:hanging="424"/>
        <w:spacing w:after="0"/>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 or incorporated by reference in connection with the offering of the securities.</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To be filed in accordance with the requirements of Item 601(b)(25) of Regulation S-K.</w:t>
      </w:r>
    </w:p>
    <w:p>
      <w:pPr>
        <w:spacing w:after="0" w:line="23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225" w:lineRule="exact"/>
        <w:rPr>
          <w:sz w:val="20"/>
          <w:szCs w:val="20"/>
          <w:color w:val="auto"/>
        </w:rPr>
      </w:pPr>
    </w:p>
    <w:p>
      <w:pPr>
        <w:ind w:left="820" w:hanging="264"/>
        <w:spacing w:after="0"/>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include any prospectus required by Section 10(a)(3) of the Securities Act of 1933;</w:t>
      </w:r>
    </w:p>
    <w:p>
      <w:pPr>
        <w:spacing w:after="0" w:line="225" w:lineRule="exact"/>
        <w:rPr>
          <w:sz w:val="20"/>
          <w:szCs w:val="20"/>
          <w:color w:val="auto"/>
        </w:rPr>
      </w:pPr>
    </w:p>
    <w:p>
      <w:pPr>
        <w:ind w:left="120" w:firstLine="436"/>
        <w:spacing w:after="0" w:line="256" w:lineRule="auto"/>
        <w:tabs>
          <w:tab w:leader="none" w:pos="82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87" w:lineRule="exact"/>
        <w:rPr>
          <w:rFonts w:ascii="Times New Roman" w:cs="Times New Roman" w:eastAsia="Times New Roman" w:hAnsi="Times New Roman"/>
          <w:sz w:val="18"/>
          <w:szCs w:val="18"/>
          <w:color w:val="auto"/>
        </w:rPr>
      </w:pPr>
    </w:p>
    <w:p>
      <w:pPr>
        <w:ind w:left="120" w:right="460" w:firstLine="436"/>
        <w:spacing w:after="0" w:line="282" w:lineRule="auto"/>
        <w:tabs>
          <w:tab w:leader="none" w:pos="8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paragraphs (a)(1)(i), (a)(1)(ii) and (a)(1)(iii) of this section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2" w:lineRule="exact"/>
        <w:rPr>
          <w:sz w:val="20"/>
          <w:szCs w:val="20"/>
          <w:color w:val="auto"/>
        </w:rPr>
      </w:pPr>
    </w:p>
    <w:p>
      <w:pPr>
        <w:ind w:left="120" w:right="20" w:firstLine="436"/>
        <w:spacing w:after="0" w:line="266" w:lineRule="auto"/>
        <w:tabs>
          <w:tab w:leader="none" w:pos="8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offering thereof.</w:t>
      </w:r>
    </w:p>
    <w:p>
      <w:pPr>
        <w:spacing w:after="0" w:line="175" w:lineRule="exact"/>
        <w:rPr>
          <w:rFonts w:ascii="Times New Roman" w:cs="Times New Roman" w:eastAsia="Times New Roman" w:hAnsi="Times New Roman"/>
          <w:sz w:val="18"/>
          <w:szCs w:val="18"/>
          <w:color w:val="auto"/>
        </w:rPr>
      </w:pPr>
    </w:p>
    <w:p>
      <w:pPr>
        <w:ind w:left="120" w:right="580" w:firstLine="436"/>
        <w:spacing w:after="0" w:line="282" w:lineRule="auto"/>
        <w:tabs>
          <w:tab w:leader="none" w:pos="8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060"/>
          </w:cols>
          <w:pgMar w:left="320" w:top="455" w:right="5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(5) That, for the purpose of determining liability under the Securities Act of 1933 to any purchaser:</w:t>
      </w:r>
    </w:p>
    <w:p>
      <w:pPr>
        <w:spacing w:after="0" w:line="225" w:lineRule="exact"/>
        <w:rPr>
          <w:sz w:val="20"/>
          <w:szCs w:val="20"/>
          <w:color w:val="auto"/>
        </w:rPr>
      </w:pPr>
    </w:p>
    <w:p>
      <w:pPr>
        <w:ind w:left="120" w:firstLine="436"/>
        <w:spacing w:after="0" w:line="276" w:lineRule="auto"/>
        <w:tabs>
          <w:tab w:leader="none" w:pos="77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filed by the registrant pursuant to Rule 424(b)(3) shall be deemed to be part of the registration statement as of the date the filed prospectus was deemed part of and included in the registration statement; and (ii) Each prospectus required to be filed pursuant to Rule 424(b)(2), (b)</w:t>
      </w:r>
    </w:p>
    <w:p>
      <w:pPr>
        <w:ind w:left="120" w:right="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no statement made in a registration statement or prospectus that is part of the registration statement or made in a document incorporated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3" w:lineRule="exact"/>
        <w:rPr>
          <w:sz w:val="20"/>
          <w:szCs w:val="20"/>
          <w:color w:val="auto"/>
        </w:rPr>
      </w:pPr>
    </w:p>
    <w:p>
      <w:pPr>
        <w:ind w:left="120" w:right="40" w:firstLine="436"/>
        <w:spacing w:after="0" w:line="258" w:lineRule="auto"/>
        <w:tabs>
          <w:tab w:leader="none" w:pos="8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5" w:lineRule="exact"/>
        <w:rPr>
          <w:sz w:val="20"/>
          <w:szCs w:val="20"/>
          <w:color w:val="auto"/>
        </w:rPr>
      </w:pPr>
    </w:p>
    <w:p>
      <w:pPr>
        <w:ind w:left="780" w:hanging="224"/>
        <w:spacing w:after="0"/>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25" w:lineRule="exact"/>
        <w:rPr>
          <w:rFonts w:ascii="Times New Roman" w:cs="Times New Roman" w:eastAsia="Times New Roman" w:hAnsi="Times New Roman"/>
          <w:sz w:val="18"/>
          <w:szCs w:val="18"/>
          <w:color w:val="auto"/>
        </w:rPr>
      </w:pPr>
    </w:p>
    <w:p>
      <w:pPr>
        <w:ind w:left="120" w:right="640" w:firstLine="436"/>
        <w:spacing w:after="0" w:line="282" w:lineRule="auto"/>
        <w:tabs>
          <w:tab w:leader="none" w:pos="82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120" w:right="20" w:firstLine="436"/>
        <w:spacing w:after="0" w:line="282" w:lineRule="auto"/>
        <w:tabs>
          <w:tab w:leader="none" w:pos="87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860" w:hanging="304"/>
        <w:spacing w:after="0"/>
        <w:tabs>
          <w:tab w:leader="none" w:pos="8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left="120" w:right="20" w:firstLine="436"/>
        <w:spacing w:after="0" w:line="258" w:lineRule="auto"/>
        <w:tabs>
          <w:tab w:leader="none" w:pos="8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83" w:lineRule="exact"/>
        <w:rPr>
          <w:sz w:val="20"/>
          <w:szCs w:val="20"/>
          <w:color w:val="auto"/>
        </w:rPr>
      </w:pPr>
    </w:p>
    <w:p>
      <w:pPr>
        <w:ind w:left="120" w:firstLine="436"/>
        <w:spacing w:after="0" w:line="256" w:lineRule="auto"/>
        <w:tabs>
          <w:tab w:leader="none" w:pos="8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6" w:lineRule="exact"/>
        <w:rPr>
          <w:sz w:val="20"/>
          <w:szCs w:val="20"/>
          <w:color w:val="auto"/>
        </w:rPr>
      </w:pPr>
    </w:p>
    <w:p>
      <w:pPr>
        <w:ind w:left="120" w:right="140" w:firstLine="436"/>
        <w:spacing w:after="0" w:line="266" w:lineRule="auto"/>
        <w:tabs>
          <w:tab w:leader="none" w:pos="77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file an application for the purpose of determining the eligibility of the trustee to act under subsection (a) of Section 310 of the Trust Indenture Act (the “Act”) in accordance with the rules and regulations prescribed by the SEC under section 305(b)(2) of the Act.</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000"/>
          </w:cols>
          <w:pgMar w:left="320" w:top="455" w:right="5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Unincorporated Community of Bala Cynwyd, Commonwealth of Pennsylvania, on May 9, 2024.</w:t>
      </w:r>
    </w:p>
    <w:p>
      <w:pPr>
        <w:spacing w:after="0" w:line="1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Carole S. Ben-Maimon, M.D.</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Carole S. Ben-Maimon, M.D.</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1140"/>
          </w:cols>
          <w:pgMar w:left="320" w:top="455"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POWER OF ATTORNEY</w:t>
      </w:r>
    </w:p>
    <w:p>
      <w:pPr>
        <w:spacing w:after="0" w:line="22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We, the undersigned officers and directors of Larimar Therapeutics, Inc., hereby severally constitute and appoint Carole S. Ben-Maimon, M.D. and Michael Celano, our true and lawful attorney-in-fact and agent, with full power of substitution and resubstitution in her or him for her or him and in her or his name, place and stead, and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attorney-in-fact and agent full power and authority to do and perform each and every act and thing requisite or necessary to be done in and about the premises, as full to all intents and purposes as she or he might or could do in person, hereby ratifying and confirming all that said attorney-in-fact and agent, or her or his substitute or substitutes, may lawfully do or cause to be done by virtue hereof.</w:t>
      </w:r>
    </w:p>
    <w:p>
      <w:pPr>
        <w:spacing w:after="0" w:line="18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Carole S. Ben-Maimon, M.D.</w:t>
            </w:r>
          </w:p>
        </w:tc>
        <w:tc>
          <w:tcPr>
            <w:tcW w:w="120" w:type="dxa"/>
            <w:vAlign w:val="bottom"/>
          </w:tcPr>
          <w:p>
            <w:pPr>
              <w:spacing w:after="0"/>
              <w:rPr>
                <w:sz w:val="24"/>
                <w:szCs w:val="24"/>
                <w:color w:val="auto"/>
              </w:rPr>
            </w:pPr>
          </w:p>
        </w:tc>
        <w:tc>
          <w:tcPr>
            <w:tcW w:w="4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President, Chief Executive Officer and 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9, 2024</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Carole S. Ben-Maimon, M.D.</w:t>
            </w:r>
          </w:p>
        </w:tc>
        <w:tc>
          <w:tcPr>
            <w:tcW w:w="120" w:type="dxa"/>
            <w:vAlign w:val="bottom"/>
          </w:tcPr>
          <w:p>
            <w:pPr>
              <w:spacing w:after="0"/>
              <w:rPr>
                <w:sz w:val="19"/>
                <w:szCs w:val="19"/>
                <w:color w:val="auto"/>
              </w:rPr>
            </w:pPr>
          </w:p>
        </w:tc>
        <w:tc>
          <w:tcPr>
            <w:tcW w:w="4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Celano</w:t>
            </w:r>
          </w:p>
        </w:tc>
        <w:tc>
          <w:tcPr>
            <w:tcW w:w="120" w:type="dxa"/>
            <w:vAlign w:val="bottom"/>
          </w:tcPr>
          <w:p>
            <w:pPr>
              <w:spacing w:after="0"/>
              <w:rPr>
                <w:sz w:val="24"/>
                <w:szCs w:val="24"/>
                <w:color w:val="auto"/>
              </w:rPr>
            </w:pPr>
          </w:p>
        </w:tc>
        <w:tc>
          <w:tcPr>
            <w:tcW w:w="4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9, 2024</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Michael Celano</w:t>
            </w:r>
          </w:p>
        </w:tc>
        <w:tc>
          <w:tcPr>
            <w:tcW w:w="120" w:type="dxa"/>
            <w:vAlign w:val="bottom"/>
          </w:tcPr>
          <w:p>
            <w:pPr>
              <w:spacing w:after="0"/>
              <w:rPr>
                <w:sz w:val="19"/>
                <w:szCs w:val="19"/>
                <w:color w:val="auto"/>
              </w:rPr>
            </w:pPr>
          </w:p>
        </w:tc>
        <w:tc>
          <w:tcPr>
            <w:tcW w:w="4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and Accounting Officer</w:t>
            </w:r>
            <w:r>
              <w:rPr>
                <w:rFonts w:ascii="Times New Roman" w:cs="Times New Roman" w:eastAsia="Times New Roman" w:hAnsi="Times New Roman"/>
                <w:sz w:val="18"/>
                <w:szCs w:val="18"/>
                <w:color w:val="auto"/>
                <w:w w:val="99"/>
              </w:rPr>
              <w:t>)</w:t>
            </w: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Joseph Truitt</w:t>
            </w:r>
          </w:p>
        </w:tc>
        <w:tc>
          <w:tcPr>
            <w:tcW w:w="120" w:type="dxa"/>
            <w:vAlign w:val="bottom"/>
          </w:tcPr>
          <w:p>
            <w:pPr>
              <w:spacing w:after="0"/>
              <w:rPr>
                <w:sz w:val="24"/>
                <w:szCs w:val="24"/>
                <w:color w:val="auto"/>
              </w:rPr>
            </w:pPr>
          </w:p>
        </w:tc>
        <w:tc>
          <w:tcPr>
            <w:tcW w:w="4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Chairman, Board of Directors</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9, 2024</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Joseph Truitt</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Thomas E. Hamilton</w:t>
            </w: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9, 2024</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Thomas E. Hamilton</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Jonathan Leff</w:t>
            </w: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9, 2024</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Jonathan Leff</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Jeffrey W. Sherman, M.D., FACP</w:t>
            </w: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9, 2024</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Jeffrey W. Sherman, M.D., FACP</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Frank Thomas</w:t>
            </w: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9, 2024</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Frank Thomas</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bl>
    <w:p>
      <w:pPr>
        <w:spacing w:after="0" w:line="1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II-8</w:t>
      </w:r>
    </w:p>
    <w:p>
      <w:pPr>
        <w:sectPr>
          <w:pgSz w:w="11900" w:h="16838" w:orient="portrait"/>
          <w:cols w:equalWidth="0" w:num="1">
            <w:col w:w="11140"/>
          </w:cols>
          <w:pgMar w:left="320" w:top="455" w:right="4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SALES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May 9,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Guggenheim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jc w:val="both"/>
        <w:ind w:right="20" w:firstLine="440"/>
        <w:spacing w:after="0" w:line="274" w:lineRule="auto"/>
        <w:rPr>
          <w:sz w:val="20"/>
          <w:szCs w:val="20"/>
          <w:color w:val="auto"/>
        </w:rPr>
      </w:pPr>
      <w:r>
        <w:rPr>
          <w:rFonts w:ascii="Times New Roman" w:cs="Times New Roman" w:eastAsia="Times New Roman" w:hAnsi="Times New Roman"/>
          <w:sz w:val="17"/>
          <w:szCs w:val="17"/>
          <w:color w:val="auto"/>
        </w:rPr>
        <w:t xml:space="preserve">As further set forth in this agreement (this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xml:space="preserve">), Larimar Therapeutics,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xml:space="preserve">), proposes to issue and sell from time to time through Guggenheim Securities, LLC (the </w:t>
      </w:r>
      <w:r>
        <w:rPr>
          <w:rFonts w:ascii="Times New Roman" w:cs="Times New Roman" w:eastAsia="Times New Roman" w:hAnsi="Times New Roman"/>
          <w:sz w:val="17"/>
          <w:szCs w:val="17"/>
          <w:b w:val="1"/>
          <w:bCs w:val="1"/>
          <w:i w:val="1"/>
          <w:iCs w:val="1"/>
          <w:color w:val="auto"/>
        </w:rPr>
        <w:t>“Agent”</w:t>
      </w:r>
      <w:r>
        <w:rPr>
          <w:rFonts w:ascii="Times New Roman" w:cs="Times New Roman" w:eastAsia="Times New Roman" w:hAnsi="Times New Roman"/>
          <w:sz w:val="17"/>
          <w:szCs w:val="17"/>
          <w:color w:val="auto"/>
        </w:rPr>
        <w:t xml:space="preserve">), as sales agent, shares of the Company’s common stock, par value $0.001 per share (the </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and such shares of Common Stock to be sold pursuant to this Agreement, the </w:t>
      </w:r>
      <w:r>
        <w:rPr>
          <w:rFonts w:ascii="Times New Roman" w:cs="Times New Roman" w:eastAsia="Times New Roman" w:hAnsi="Times New Roman"/>
          <w:sz w:val="17"/>
          <w:szCs w:val="17"/>
          <w:b w:val="1"/>
          <w:bCs w:val="1"/>
          <w:i w:val="1"/>
          <w:iCs w:val="1"/>
          <w:color w:val="auto"/>
        </w:rPr>
        <w:t>“Shares”</w:t>
      </w:r>
      <w:r>
        <w:rPr>
          <w:rFonts w:ascii="Times New Roman" w:cs="Times New Roman" w:eastAsia="Times New Roman" w:hAnsi="Times New Roman"/>
          <w:sz w:val="17"/>
          <w:szCs w:val="17"/>
          <w:color w:val="auto"/>
        </w:rPr>
        <w:t>), on terms set forth herein.</w:t>
      </w:r>
    </w:p>
    <w:p>
      <w:pPr>
        <w:spacing w:after="0" w:line="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Notwithstanding anything to the contrary contained herein, the parties hereto agree that compliance with the limitation set forth in Section 2 of this Agreement on the number of shares of Shares issued and sold under this Agreement shall be the sole responsibility of the Company, and the Agent shall have no obligation in connection with such compliance.</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hereby confirms its agreement with the Agent with respect to the sale of the Shares.</w:t>
      </w:r>
    </w:p>
    <w:p>
      <w:pPr>
        <w:spacing w:after="0" w:line="329" w:lineRule="exact"/>
        <w:rPr>
          <w:sz w:val="20"/>
          <w:szCs w:val="20"/>
          <w:color w:val="auto"/>
        </w:rPr>
      </w:pPr>
    </w:p>
    <w:p>
      <w:pPr>
        <w:ind w:left="620" w:hanging="184"/>
        <w:spacing w:after="0"/>
        <w:tabs>
          <w:tab w:leader="none" w:pos="620" w:val="left"/>
        </w:tabs>
        <w:numPr>
          <w:ilvl w:val="0"/>
          <w:numId w:val="5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Representations and Warranties of the Company.</w:t>
      </w:r>
    </w:p>
    <w:p>
      <w:pPr>
        <w:spacing w:after="0" w:line="229" w:lineRule="exact"/>
        <w:rPr>
          <w:rFonts w:ascii="Times New Roman" w:cs="Times New Roman" w:eastAsia="Times New Roman" w:hAnsi="Times New Roman"/>
          <w:sz w:val="18"/>
          <w:szCs w:val="18"/>
          <w:b w:val="1"/>
          <w:bCs w:val="1"/>
          <w:i w:val="1"/>
          <w:iCs w:val="1"/>
          <w:color w:val="auto"/>
        </w:rPr>
      </w:pPr>
    </w:p>
    <w:p>
      <w:pPr>
        <w:ind w:right="180" w:firstLine="987"/>
        <w:spacing w:after="0" w:line="261" w:lineRule="auto"/>
        <w:tabs>
          <w:tab w:leader="none" w:pos="123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and warrants to, and agrees with, the Agent that, unless such representation or warranty specifies otherwise, as of the date of this Agreement, each Representation Date (as defined in Section 3(o) below), each date on which a Placement Notice (as defined in Section 2(a)(i) below) is given (each, a “</w:t>
      </w:r>
      <w:r>
        <w:rPr>
          <w:rFonts w:ascii="Times New Roman" w:cs="Times New Roman" w:eastAsia="Times New Roman" w:hAnsi="Times New Roman"/>
          <w:sz w:val="18"/>
          <w:szCs w:val="18"/>
          <w:b w:val="1"/>
          <w:bCs w:val="1"/>
          <w:i w:val="1"/>
          <w:iCs w:val="1"/>
          <w:color w:val="auto"/>
        </w:rPr>
        <w:t>Notice Date</w:t>
      </w:r>
      <w:r>
        <w:rPr>
          <w:rFonts w:ascii="Times New Roman" w:cs="Times New Roman" w:eastAsia="Times New Roman" w:hAnsi="Times New Roman"/>
          <w:sz w:val="18"/>
          <w:szCs w:val="18"/>
          <w:color w:val="auto"/>
        </w:rPr>
        <w:t>”), each date on which Shares are sold hereunder (each, an “</w:t>
      </w:r>
      <w:r>
        <w:rPr>
          <w:rFonts w:ascii="Times New Roman" w:cs="Times New Roman" w:eastAsia="Times New Roman" w:hAnsi="Times New Roman"/>
          <w:sz w:val="18"/>
          <w:szCs w:val="18"/>
          <w:b w:val="1"/>
          <w:bCs w:val="1"/>
          <w:i w:val="1"/>
          <w:iCs w:val="1"/>
          <w:color w:val="auto"/>
        </w:rPr>
        <w:t>Applicable Time</w:t>
      </w:r>
      <w:r>
        <w:rPr>
          <w:rFonts w:ascii="Times New Roman" w:cs="Times New Roman" w:eastAsia="Times New Roman" w:hAnsi="Times New Roman"/>
          <w:sz w:val="18"/>
          <w:szCs w:val="18"/>
          <w:color w:val="auto"/>
        </w:rPr>
        <w:t>”), and each Settlement Date (as defined in Section 2(a)(vii) below) as follows:</w:t>
      </w:r>
    </w:p>
    <w:p>
      <w:pPr>
        <w:spacing w:after="0" w:line="69" w:lineRule="exact"/>
        <w:rPr>
          <w:rFonts w:ascii="Times New Roman" w:cs="Times New Roman" w:eastAsia="Times New Roman" w:hAnsi="Times New Roman"/>
          <w:sz w:val="18"/>
          <w:szCs w:val="18"/>
          <w:color w:val="auto"/>
        </w:rPr>
      </w:pPr>
    </w:p>
    <w:p>
      <w:pPr>
        <w:ind w:right="60" w:firstLine="1428"/>
        <w:spacing w:after="0" w:line="254" w:lineRule="auto"/>
        <w:tabs>
          <w:tab w:leader="none" w:pos="1647"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Statement and Prospectus</w:t>
      </w:r>
      <w:r>
        <w:rPr>
          <w:rFonts w:ascii="Times New Roman" w:cs="Times New Roman" w:eastAsia="Times New Roman" w:hAnsi="Times New Roman"/>
          <w:sz w:val="18"/>
          <w:szCs w:val="18"/>
          <w:color w:val="auto"/>
        </w:rPr>
        <w:t>. The Company will file, in accordance with the provisions of the Securities Act of 1933,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 amended, and the rules and regulations thereunder (collectively,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xml:space="preserve">),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one or more registration statements on Form S-3, including a base prospectus, relating to certain securities, including the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Stock,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The Company has prepared or will prepare a prospectus included as part of such registration statement or a prospectus supplement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be filed with the Commission together with the prospectus included as part of such registration statement, in each case specifically relating to the Shares (the </w:t>
      </w:r>
      <w:r>
        <w:rPr>
          <w:rFonts w:ascii="Times New Roman" w:cs="Times New Roman" w:eastAsia="Times New Roman" w:hAnsi="Times New Roman"/>
          <w:sz w:val="18"/>
          <w:szCs w:val="18"/>
          <w:b w:val="1"/>
          <w:bCs w:val="1"/>
          <w:i w:val="1"/>
          <w:iCs w:val="1"/>
          <w:color w:val="auto"/>
        </w:rPr>
        <w:t>“Sales Prospectus”</w:t>
      </w:r>
      <w:r>
        <w:rPr>
          <w:rFonts w:ascii="Times New Roman" w:cs="Times New Roman" w:eastAsia="Times New Roman" w:hAnsi="Times New Roman"/>
          <w:sz w:val="18"/>
          <w:szCs w:val="18"/>
          <w:color w:val="auto"/>
        </w:rPr>
        <w:t>). The Company has furnished to the Agent, for use by the Agent, copies of the Sales Prospectus included as part of such registration statement or filed with</w:t>
      </w:r>
    </w:p>
    <w:p>
      <w:pPr>
        <w:sectPr>
          <w:pgSz w:w="11900" w:h="16838" w:orient="portrait"/>
          <w:cols w:equalWidth="0" w:num="1">
            <w:col w:w="11020"/>
          </w:cols>
          <w:pgMar w:left="440" w:top="117" w:right="439" w:bottom="1440" w:gutter="0" w:footer="0" w:header="0"/>
        </w:sectPr>
      </w:pPr>
    </w:p>
    <w:bookmarkStart w:id="69" w:name="page70"/>
    <w:bookmarkEnd w:id="69"/>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Commission, as supplemented by any prospectus supplement, relating to the Shares. The Company may file one or more additional registration statements from time to time that will contain a base prospectus and related prospectus or prospectus supplement, if applicable (which shall be a Sales Prospectus), with respect to the Shares. Except where the context otherwise requires, each such registration statement, as amended when it becomes effective,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462(b) under the Securities Act, is herein called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xml:space="preserve"> The Sales Prospectus, including all documents incorporated therein by reference, included in the Registration Statement, as it may be supplemented by any prospectus supplement, in the form in which the Sales Prospectus, as supplemented by any prospectus supplement, if applicable, has most recently been filed by the Company with the Commission pursuant to Rule 424(b) under the Securities Act, together with any “</w:t>
      </w:r>
      <w:r>
        <w:rPr>
          <w:rFonts w:ascii="Times New Roman" w:cs="Times New Roman" w:eastAsia="Times New Roman" w:hAnsi="Times New Roman"/>
          <w:sz w:val="18"/>
          <w:szCs w:val="18"/>
          <w:b w:val="1"/>
          <w:bCs w:val="1"/>
          <w:i w:val="1"/>
          <w:iCs w:val="1"/>
          <w:color w:val="auto"/>
        </w:rPr>
        <w:t>issuer free writing prospectus</w:t>
      </w:r>
      <w:r>
        <w:rPr>
          <w:rFonts w:ascii="Times New Roman" w:cs="Times New Roman" w:eastAsia="Times New Roman" w:hAnsi="Times New Roman"/>
          <w:sz w:val="18"/>
          <w:szCs w:val="18"/>
          <w:color w:val="auto"/>
        </w:rPr>
        <w:t>,” as defined in Rule 433 under the Securities Act (</w:t>
      </w:r>
      <w:r>
        <w:rPr>
          <w:rFonts w:ascii="Times New Roman" w:cs="Times New Roman" w:eastAsia="Times New Roman" w:hAnsi="Times New Roman"/>
          <w:sz w:val="18"/>
          <w:szCs w:val="18"/>
          <w:b w:val="1"/>
          <w:bCs w:val="1"/>
          <w:i w:val="1"/>
          <w:iCs w:val="1"/>
          <w:color w:val="auto"/>
        </w:rPr>
        <w:t>“Rule 433”</w:t>
      </w:r>
      <w:r>
        <w:rPr>
          <w:rFonts w:ascii="Times New Roman" w:cs="Times New Roman" w:eastAsia="Times New Roman" w:hAnsi="Times New Roman"/>
          <w:sz w:val="18"/>
          <w:szCs w:val="18"/>
          <w:color w:val="auto"/>
        </w:rPr>
        <w:t xml:space="preserve">), relating to the Shares, if any, that (i) is required to be filed with the Commission by the Company or (ii) is exempt from filing pursuant to Rule 433(d)(5)(i), in each case in the form filed or required to be filed with the Commission or, if not required to be filed, in the form retained in the Company’s records pursuant to Rule 433(g), is herein called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xml:space="preserve">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the Electronic Data Gathering Analysis and Retrieval System (“</w:t>
      </w:r>
      <w:r>
        <w:rPr>
          <w:rFonts w:ascii="Times New Roman" w:cs="Times New Roman" w:eastAsia="Times New Roman" w:hAnsi="Times New Roman"/>
          <w:sz w:val="18"/>
          <w:szCs w:val="18"/>
          <w:b w:val="1"/>
          <w:bCs w:val="1"/>
          <w:i w:val="1"/>
          <w:iCs w:val="1"/>
          <w:color w:val="auto"/>
        </w:rPr>
        <w:t>EDGAR”</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ind w:right="20" w:firstLine="1428"/>
        <w:spacing w:after="0" w:line="270" w:lineRule="auto"/>
        <w:tabs>
          <w:tab w:leader="none" w:pos="1697"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Continuing Effectiveness of Registration Statement</w:t>
      </w:r>
      <w:r>
        <w:rPr>
          <w:rFonts w:ascii="Times New Roman" w:cs="Times New Roman" w:eastAsia="Times New Roman" w:hAnsi="Times New Roman"/>
          <w:sz w:val="17"/>
          <w:szCs w:val="17"/>
          <w:color w:val="auto"/>
        </w:rPr>
        <w:t>. The Registration Statement and any Rule 462(b) Registration Statement will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have been declared effective by the Commission under the Securities Act. The Company will have complied, to the Commission’s satisfaction, with all requests of the Commission for additional or supplemental information. No stop order suspending the effectiveness of the Registration Statement or any Rule 462(b) Registration Statement shall be in effect and no proceedings for such purpose shall have been instituted, be pending or, to the knowledge of the Company, be contemplated or threatened by the Commission. The Company meets the requirements for use of Form S-3 under the Securities Act.</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sale of the Shares hereunder meets the requirements of General Instruction I.B.1. or I.B.6 of Form S-3.</w:t>
      </w:r>
    </w:p>
    <w:p>
      <w:pPr>
        <w:spacing w:after="0" w:line="204" w:lineRule="exact"/>
        <w:rPr>
          <w:rFonts w:ascii="Times New Roman" w:cs="Times New Roman" w:eastAsia="Times New Roman" w:hAnsi="Times New Roman"/>
          <w:sz w:val="17"/>
          <w:szCs w:val="17"/>
          <w:color w:val="auto"/>
        </w:rPr>
      </w:pPr>
    </w:p>
    <w:p>
      <w:pPr>
        <w:ind w:firstLine="1428"/>
        <w:spacing w:after="0" w:line="258" w:lineRule="auto"/>
        <w:tabs>
          <w:tab w:leader="none" w:pos="174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Material Misstatements or Omissions</w:t>
      </w:r>
      <w:r>
        <w:rPr>
          <w:rFonts w:ascii="Times New Roman" w:cs="Times New Roman" w:eastAsia="Times New Roman" w:hAnsi="Times New Roman"/>
          <w:sz w:val="18"/>
          <w:szCs w:val="18"/>
          <w:color w:val="auto"/>
        </w:rPr>
        <w:t>. The Prospectus when filed, and as amended or supplemented, if applicable,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comply in all material respects with the Securities Act. Each of the Registration Statement, any Rule 462(b) Registration Statement, the Prospectus and any post-effective amendments or supplements thereto, at the time it becomes effective or its date, as applicable, and as of each Settlement Date (as defined in Section 2(a)(vii) below), complied in all material respects with the Securities Act, and as of each effective date and each Settlement Date, will not contain any untrue statement of a material fact or omit to state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70" w:name="page71"/>
    <w:bookmarkEnd w:id="70"/>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material fact required to be stated therein or necessary to make the statements therein not misleading. The Prospectus, as amended or supplemented, as of its date, and, as of each Settlement Date, will not contain any untrue statement of a material fact or omit to state a material fact necessary in order to make the statements therein, in the light of the circumstances under which they were made, not misleading. The representations and warranties set forth in the two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There are no contracts or other documents required to be described in the Prospectus or to be filed as exhibits to the Registration Statement which have not been described or filed as required.</w:t>
      </w:r>
    </w:p>
    <w:p>
      <w:pPr>
        <w:spacing w:after="0" w:line="190" w:lineRule="exact"/>
        <w:rPr>
          <w:sz w:val="20"/>
          <w:szCs w:val="20"/>
          <w:color w:val="auto"/>
        </w:rPr>
      </w:pPr>
    </w:p>
    <w:p>
      <w:pPr>
        <w:ind w:right="80" w:firstLine="1428"/>
        <w:spacing w:after="0" w:line="261" w:lineRule="auto"/>
        <w:tabs>
          <w:tab w:leader="none" w:pos="173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Eligible Issuer</w:t>
      </w:r>
      <w:r>
        <w:rPr>
          <w:rFonts w:ascii="Times New Roman" w:cs="Times New Roman" w:eastAsia="Times New Roman" w:hAnsi="Times New Roman"/>
          <w:sz w:val="18"/>
          <w:szCs w:val="18"/>
          <w:color w:val="auto"/>
        </w:rPr>
        <w:t>. The Company is not an “ineligible issuer” (as defined in Rule 405 under the Securities Act) as of the eligibility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determination date for purposes of Rules 164 and 433 under the Securities Act with respect to the offering of the Shares contemplated by the Registration Statement; the parties hereto agree and understand that the content of any and all “road shows” (as defined in Rule 433 under the Securities Act) related to the offering of the Shares contemplated hereby is solely the property of the Company.</w:t>
      </w:r>
    </w:p>
    <w:p>
      <w:pPr>
        <w:spacing w:after="0" w:line="181"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3" w:lineRule="exact"/>
        <w:rPr>
          <w:rFonts w:ascii="Times New Roman" w:cs="Times New Roman" w:eastAsia="Times New Roman" w:hAnsi="Times New Roman"/>
          <w:sz w:val="18"/>
          <w:szCs w:val="18"/>
          <w:color w:val="auto"/>
        </w:rPr>
      </w:pPr>
    </w:p>
    <w:p>
      <w:pPr>
        <w:ind w:firstLine="1428"/>
        <w:spacing w:after="0" w:line="253" w:lineRule="auto"/>
        <w:tabs>
          <w:tab w:leader="none" w:pos="173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The historical financial statements (including the related notes and supporting schedules) to be included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by reference, in the Registration Statement, and the Prospectus comply as to form in all material respects with the requirements of Regulation S-X under the Securities Act (</w:t>
      </w:r>
      <w:r>
        <w:rPr>
          <w:rFonts w:ascii="Times New Roman" w:cs="Times New Roman" w:eastAsia="Times New Roman" w:hAnsi="Times New Roman"/>
          <w:sz w:val="18"/>
          <w:szCs w:val="18"/>
          <w:b w:val="1"/>
          <w:bCs w:val="1"/>
          <w:i w:val="1"/>
          <w:iCs w:val="1"/>
          <w:color w:val="auto"/>
        </w:rPr>
        <w:t>“Regulation S-X”</w:t>
      </w:r>
      <w:r>
        <w:rPr>
          <w:rFonts w:ascii="Times New Roman" w:cs="Times New Roman" w:eastAsia="Times New Roman" w:hAnsi="Times New Roman"/>
          <w:sz w:val="18"/>
          <w:szCs w:val="18"/>
          <w:color w:val="auto"/>
        </w:rPr>
        <w:t>) and present fairly in all material respects the financial condition, results of operations and cash flows of the entities purported to be shown thereby at the dates and for the periods indicated and have been prepared in conformity with generally accepted accounting principles in the United States applied on a consistent basis throughout the periods involved (except (i) as may be otherwise indicated in such financial statements or the notes thereto, or (ii) in the case of unaudited interim statements, to the extent they may exclude footnotes and are subject to normal and recurring year-end adjustments that are not reasonably expected to be material in amount). All disclosures contained in the Registration Statement and Prospectus regarding “non-GAAP financial measures” (as such term is defined by the rules and regulations of the Commission) comply with Regulation G of the Exchange Act and Item 10 of Regulation S-K of the Act, to the extent applicable. There are no financial statements (historical or pro forma) that are required to be included in the Registration Statement or the Prospectus that are not so included as required. The interactive data in eXtensible Business Reporting Language (</w:t>
      </w:r>
      <w:r>
        <w:rPr>
          <w:rFonts w:ascii="Times New Roman" w:cs="Times New Roman" w:eastAsia="Times New Roman" w:hAnsi="Times New Roman"/>
          <w:sz w:val="18"/>
          <w:szCs w:val="18"/>
          <w:b w:val="1"/>
          <w:bCs w:val="1"/>
          <w:i w:val="1"/>
          <w:iCs w:val="1"/>
          <w:color w:val="auto"/>
        </w:rPr>
        <w:t>“XBRL”</w:t>
      </w:r>
      <w:r>
        <w:rPr>
          <w:rFonts w:ascii="Times New Roman" w:cs="Times New Roman" w:eastAsia="Times New Roman" w:hAnsi="Times New Roman"/>
          <w:sz w:val="18"/>
          <w:szCs w:val="18"/>
          <w:color w:val="auto"/>
        </w:rPr>
        <w:t>) included or incorporated by reference in the Registration Statement and the Prospectus fairly present the information called for in all material respects and have been prepared in accordance with the Commission’s rules and guidelines applicable thereto.</w:t>
      </w:r>
    </w:p>
    <w:p>
      <w:pPr>
        <w:spacing w:after="0" w:line="187" w:lineRule="exact"/>
        <w:rPr>
          <w:rFonts w:ascii="Times New Roman" w:cs="Times New Roman" w:eastAsia="Times New Roman" w:hAnsi="Times New Roman"/>
          <w:sz w:val="18"/>
          <w:szCs w:val="18"/>
          <w:color w:val="auto"/>
        </w:rPr>
      </w:pPr>
    </w:p>
    <w:p>
      <w:pPr>
        <w:ind w:right="100" w:firstLine="1428"/>
        <w:spacing w:after="0" w:line="267" w:lineRule="auto"/>
        <w:tabs>
          <w:tab w:leader="none" w:pos="178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Off-Balance Sheet Transactions</w:t>
      </w:r>
      <w:r>
        <w:rPr>
          <w:rFonts w:ascii="Times New Roman" w:cs="Times New Roman" w:eastAsia="Times New Roman" w:hAnsi="Times New Roman"/>
          <w:sz w:val="18"/>
          <w:szCs w:val="18"/>
          <w:color w:val="auto"/>
        </w:rPr>
        <w:t>. There are no transactions, arrangements and other relationships between and/or among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and/or, to the knowledge of the Company, any of its affiliates and any unconsolidated entity, including, but not limited to, any structural finance, special purpose or limited purpose entity (each, an “</w:t>
      </w:r>
      <w:r>
        <w:rPr>
          <w:rFonts w:ascii="Times New Roman" w:cs="Times New Roman" w:eastAsia="Times New Roman" w:hAnsi="Times New Roman"/>
          <w:sz w:val="18"/>
          <w:szCs w:val="18"/>
          <w:b w:val="1"/>
          <w:bCs w:val="1"/>
          <w:i w:val="1"/>
          <w:iCs w:val="1"/>
          <w:color w:val="auto"/>
        </w:rPr>
        <w:t>Off-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71" w:name="page72"/>
    <w:bookmarkEnd w:id="71"/>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Balance Sheet Transaction”</w:t>
      </w:r>
      <w:r>
        <w:rPr>
          <w:rFonts w:ascii="Times New Roman" w:cs="Times New Roman" w:eastAsia="Times New Roman" w:hAnsi="Times New Roman"/>
          <w:sz w:val="18"/>
          <w:szCs w:val="18"/>
          <w:color w:val="auto"/>
        </w:rPr>
        <w:t>) that could reasonably be expected to affect materially the Company’s liquidity or the availability of or requirements for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resources, including those Off Balance Sheet Transactions described in the Commission’s Statement about Management’s Discussion and Analysis of Financial Conditions and Results of Operations (Release Nos. 33-8056; 34-45321; FR-61), and are required to be described in the Prospectus, which have not been described as required.</w:t>
      </w:r>
    </w:p>
    <w:p>
      <w:pPr>
        <w:spacing w:after="0" w:line="178" w:lineRule="exact"/>
        <w:rPr>
          <w:sz w:val="20"/>
          <w:szCs w:val="20"/>
          <w:color w:val="auto"/>
        </w:rPr>
      </w:pPr>
    </w:p>
    <w:p>
      <w:pPr>
        <w:jc w:val="both"/>
        <w:ind w:right="140" w:firstLine="1428"/>
        <w:spacing w:after="0" w:line="267" w:lineRule="auto"/>
        <w:tabs>
          <w:tab w:leader="none" w:pos="183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Auditor Independence. </w:t>
      </w:r>
      <w:r>
        <w:rPr>
          <w:rFonts w:ascii="Times New Roman" w:cs="Times New Roman" w:eastAsia="Times New Roman" w:hAnsi="Times New Roman"/>
          <w:sz w:val="18"/>
          <w:szCs w:val="18"/>
          <w:color w:val="auto"/>
        </w:rPr>
        <w:t>PricewaterhouseCoopers LLP, who have certified certain financial statements of the Company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consolidated subsidiary (the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whose report appears in the Registration Statement and the Prospectus, are independent public accountants as required by the Securities Act and the Public Accounting Oversight Board.</w:t>
      </w:r>
    </w:p>
    <w:p>
      <w:pPr>
        <w:spacing w:after="0" w:line="173" w:lineRule="exact"/>
        <w:rPr>
          <w:rFonts w:ascii="Times New Roman" w:cs="Times New Roman" w:eastAsia="Times New Roman" w:hAnsi="Times New Roman"/>
          <w:sz w:val="18"/>
          <w:szCs w:val="18"/>
          <w:color w:val="auto"/>
        </w:rPr>
      </w:pPr>
    </w:p>
    <w:p>
      <w:pPr>
        <w:ind w:right="80" w:firstLine="1428"/>
        <w:spacing w:after="0" w:line="253" w:lineRule="auto"/>
        <w:tabs>
          <w:tab w:leader="none" w:pos="173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Material Adverse Effect</w:t>
      </w:r>
      <w:r>
        <w:rPr>
          <w:rFonts w:ascii="Times New Roman" w:cs="Times New Roman" w:eastAsia="Times New Roman" w:hAnsi="Times New Roman"/>
          <w:sz w:val="18"/>
          <w:szCs w:val="18"/>
          <w:color w:val="auto"/>
        </w:rPr>
        <w:t>. The Company and its Subsidiary (as listed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Schedule 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have been duly organized, and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validly existing as a corporation and in good standing under the laws of their respective jurisdictions of organization. The Company and its Subsidiary are, and will be, duly licensed or qualified as a foreign corporation for transaction of business and in good standing under the laws of each other jurisdiction in which their respective ownership or lease of property or the conduct of their respective businesses requires such license or qualification, and have all corporate power and authority necessary to own or hold their respective properties and to conduct their respective businesses as described in the Registration Statement and the Prospectus, except where the failure to be so qualified or in good standing or have such power or authority would not, individually or in the aggregate, reasonably be expected to have a Material Adverse Effect. “</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 xml:space="preserve">” shall mean any material adverse change or effect on or affecting (i) the business, earnings, assets, liabilities, prospects, condition (financial or otherwise), operations, general affairs, management, financial position, stockholders’ equity or results of operations of the Company and the Subsidiary taken as a whole, or (ii) the ability of the Company to perform its obligations under this Agreement, including this issuance and sale of the Shares, or to consummate the transactions contemplated by this Agreement. The Company does not own or control, directly or indirectly, any corporation, association or other entity other than the subsidiary listed in Exhibit 21.1 to the Company’s Annual Report on Form 10-K for the fiscal year ended December 31, 2023 except for subsidiaries that in the aggregate would not constitute a “significant subsidiary” (as defined in Rule 405 under the Securities Act). The Subsidiary is not a </w:t>
      </w:r>
      <w:r>
        <w:rPr>
          <w:rFonts w:ascii="Times New Roman" w:cs="Times New Roman" w:eastAsia="Times New Roman" w:hAnsi="Times New Roman"/>
          <w:sz w:val="18"/>
          <w:szCs w:val="18"/>
          <w:b w:val="1"/>
          <w:bCs w:val="1"/>
          <w:i w:val="1"/>
          <w:iCs w:val="1"/>
          <w:color w:val="auto"/>
        </w:rPr>
        <w:t>“significant subsidiary”</w:t>
      </w:r>
      <w:r>
        <w:rPr>
          <w:rFonts w:ascii="Times New Roman" w:cs="Times New Roman" w:eastAsia="Times New Roman" w:hAnsi="Times New Roman"/>
          <w:sz w:val="18"/>
          <w:szCs w:val="18"/>
          <w:color w:val="auto"/>
        </w:rPr>
        <w:t xml:space="preserve"> (as defined in Rule 405 under the Securities Act).</w:t>
      </w:r>
    </w:p>
    <w:p>
      <w:pPr>
        <w:spacing w:after="0" w:line="185" w:lineRule="exact"/>
        <w:rPr>
          <w:rFonts w:ascii="Times New Roman" w:cs="Times New Roman" w:eastAsia="Times New Roman" w:hAnsi="Times New Roman"/>
          <w:sz w:val="18"/>
          <w:szCs w:val="18"/>
          <w:color w:val="auto"/>
        </w:rPr>
      </w:pPr>
    </w:p>
    <w:p>
      <w:pPr>
        <w:ind w:firstLine="1428"/>
        <w:spacing w:after="0" w:line="273" w:lineRule="auto"/>
        <w:tabs>
          <w:tab w:leader="none" w:pos="1687"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Capitalization</w:t>
      </w:r>
      <w:r>
        <w:rPr>
          <w:rFonts w:ascii="Times New Roman" w:cs="Times New Roman" w:eastAsia="Times New Roman" w:hAnsi="Times New Roman"/>
          <w:sz w:val="17"/>
          <w:szCs w:val="17"/>
          <w:color w:val="auto"/>
        </w:rPr>
        <w:t>. The Company has an authorized capitalization as set forth in each of the Registration Statement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Prospectus, and all of the issued shares of the Company have been duly authorized and validly issued, are fully paid and non-assessable, conform in all material respects to the description thereof contained in the Registration Statement and the Prospectus and were not issued in violation of any preemptive right, resale right, right of first refusal or similar right. All of the Company’s options, warrants and other rights to purchase or exchange any securities for shares of the Company’s capital stock have been duly authorized and validly issued, and conform in all material respects to the description thereof contained in the Registration Statement and the Prospectus. All of the issued shares of capital stock or other ownership interest of the Company’s subsidiary have been duly authorized and validly issued, are fully paid and non-assessable and are owned directly or indirectly by the Company, free and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72" w:name="page73"/>
    <w:bookmarkEnd w:id="72"/>
    <w:p>
      <w:pPr>
        <w:ind w:left="4" w:right="7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clear of all liens, encumbrances, equities or claims, except for such liens, encumbrances, equities or claims as would not, individually or in the aggregate, reasonably be expected to have a Material Adverse Effect.</w:t>
      </w:r>
    </w:p>
    <w:p>
      <w:pPr>
        <w:spacing w:after="0" w:line="160" w:lineRule="exact"/>
        <w:rPr>
          <w:sz w:val="20"/>
          <w:szCs w:val="20"/>
          <w:color w:val="auto"/>
        </w:rPr>
      </w:pPr>
    </w:p>
    <w:p>
      <w:pPr>
        <w:ind w:left="4" w:firstLine="1428"/>
        <w:spacing w:after="0" w:line="258" w:lineRule="auto"/>
        <w:tabs>
          <w:tab w:leader="none" w:pos="174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Due Authorization, Valid Issuance and Non-Assessiblity of Shares</w:t>
      </w:r>
      <w:r>
        <w:rPr>
          <w:rFonts w:ascii="Times New Roman" w:cs="Times New Roman" w:eastAsia="Times New Roman" w:hAnsi="Times New Roman"/>
          <w:sz w:val="18"/>
          <w:szCs w:val="18"/>
          <w:color w:val="auto"/>
        </w:rPr>
        <w:t>. The Shares to be issued and sold by the Company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hereunder have been duly authorized and, upon payment and delivery in accordance with this Agreement, will be validly issued, fully paid and non-assessable, will conform in all material respects to the description thereof contained in the Registration Statement and the Prospectus, will be issued in compliance with federal and state securities laws and will be free of statutory and contractual preemptive rights, rights of first refusal and similar rights.</w:t>
      </w:r>
    </w:p>
    <w:p>
      <w:pPr>
        <w:spacing w:after="0" w:line="183" w:lineRule="exact"/>
        <w:rPr>
          <w:rFonts w:ascii="Times New Roman" w:cs="Times New Roman" w:eastAsia="Times New Roman" w:hAnsi="Times New Roman"/>
          <w:sz w:val="18"/>
          <w:szCs w:val="18"/>
          <w:color w:val="auto"/>
        </w:rPr>
      </w:pPr>
    </w:p>
    <w:p>
      <w:pPr>
        <w:ind w:left="4" w:right="240" w:firstLine="1428"/>
        <w:spacing w:after="0" w:line="284" w:lineRule="auto"/>
        <w:tabs>
          <w:tab w:leader="none" w:pos="179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Authority to Enter into this Agreement</w:t>
      </w:r>
      <w:r>
        <w:rPr>
          <w:rFonts w:ascii="Times New Roman" w:cs="Times New Roman" w:eastAsia="Times New Roman" w:hAnsi="Times New Roman"/>
          <w:sz w:val="18"/>
          <w:szCs w:val="18"/>
          <w:color w:val="auto"/>
        </w:rPr>
        <w:t>. The Company has all requisite corporate power and authority to execute, deliver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 its obligations under this Agreement. This Agreement has been duly and validly authorized, executed and delivered by the Company.</w:t>
      </w:r>
    </w:p>
    <w:p>
      <w:pPr>
        <w:spacing w:after="0" w:line="158" w:lineRule="exact"/>
        <w:rPr>
          <w:rFonts w:ascii="Times New Roman" w:cs="Times New Roman" w:eastAsia="Times New Roman" w:hAnsi="Times New Roman"/>
          <w:sz w:val="18"/>
          <w:szCs w:val="18"/>
          <w:color w:val="auto"/>
        </w:rPr>
      </w:pPr>
    </w:p>
    <w:p>
      <w:pPr>
        <w:ind w:left="4" w:right="40" w:firstLine="1428"/>
        <w:spacing w:after="0" w:line="268" w:lineRule="auto"/>
        <w:tabs>
          <w:tab w:leader="none" w:pos="1841"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Non-Contravention</w:t>
      </w:r>
      <w:r>
        <w:rPr>
          <w:rFonts w:ascii="Times New Roman" w:cs="Times New Roman" w:eastAsia="Times New Roman" w:hAnsi="Times New Roman"/>
          <w:sz w:val="17"/>
          <w:szCs w:val="17"/>
          <w:color w:val="auto"/>
        </w:rPr>
        <w:t>. The issue and sale of the Shares, the execution, delivery and performance of this Agreement by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the consummation of the transactions contemplated hereby and the application of the proceeds from the sale of the Shares as described under “Use of Proceeds” in the Registration Statement and the Prospectus will not (i) conflict with or result in a breach or violation of any of the terms or provisions of, impose any lien, charge or encumbrance upon any property or assets of the Company and its subsidiary, or constitute a default under, any indenture, mortgage, deed of trust, loan agreement, license, lease or other agreement or instrument to which the Company or its subsidiary is a party or by which the Company or its subsidiary is bound or to which any of the property or assets of the Company or its subsidiary is subject; (ii) result in any violation of the provisions of the certificate of incorporation or by-laws (or similar organizational documents) of the Company or its subsidiary; or</w:t>
      </w:r>
    </w:p>
    <w:p>
      <w:pPr>
        <w:spacing w:after="0" w:line="4" w:lineRule="exact"/>
        <w:rPr>
          <w:rFonts w:ascii="Times New Roman" w:cs="Times New Roman" w:eastAsia="Times New Roman" w:hAnsi="Times New Roman"/>
          <w:sz w:val="17"/>
          <w:szCs w:val="17"/>
          <w:color w:val="auto"/>
        </w:rPr>
      </w:pPr>
    </w:p>
    <w:p>
      <w:pPr>
        <w:jc w:val="both"/>
        <w:ind w:left="4" w:hanging="4"/>
        <w:spacing w:after="0" w:line="253" w:lineRule="auto"/>
        <w:tabs>
          <w:tab w:leader="none" w:pos="31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any violation of any statute or any judgment, order, decree, rule or regulation of any court or governmental agency or body having jurisdiction over the Company or its subsidiary or any of their properties or assets, except, with respect to clauses (i) and (iii), for such conflicts, breaches, violations, liens, charges, encumbrances or defaults that would not, individually or in the aggregate, reasonably be expected to have a Material Adverse Effect.</w:t>
      </w:r>
    </w:p>
    <w:p>
      <w:pPr>
        <w:spacing w:after="0" w:line="186" w:lineRule="exact"/>
        <w:rPr>
          <w:rFonts w:ascii="Times New Roman" w:cs="Times New Roman" w:eastAsia="Times New Roman" w:hAnsi="Times New Roman"/>
          <w:sz w:val="18"/>
          <w:szCs w:val="18"/>
          <w:color w:val="auto"/>
        </w:rPr>
      </w:pPr>
    </w:p>
    <w:p>
      <w:pPr>
        <w:ind w:left="4" w:firstLine="1428"/>
        <w:spacing w:after="0" w:line="255" w:lineRule="auto"/>
        <w:tabs>
          <w:tab w:leader="none" w:pos="183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Consent or Approval Required</w:t>
      </w:r>
      <w:r>
        <w:rPr>
          <w:rFonts w:ascii="Times New Roman" w:cs="Times New Roman" w:eastAsia="Times New Roman" w:hAnsi="Times New Roman"/>
          <w:sz w:val="18"/>
          <w:szCs w:val="18"/>
          <w:color w:val="auto"/>
        </w:rPr>
        <w:t>. No consent, approval, authorization or order of, or filing, registration or qualification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any court or governmental agency or body having jurisdiction over the Company or its subsidiary or any of their properties or assets is required for the issue and sale of the Shares, the execution, delivery and performance of this Agreement by the Company, the consummation of the transactions contemplated hereby, the application of the proceeds from the sale of the Shares as described under “Use of Proceeds” in the Registration Statement and the Prospectus, except for (i) the registration of the Shares under the Securities Act; (ii) such consents, approvals, authorizations, orders, filings, registrations or qualifications as may be required under the Exchange Act, and applicable state or foreign securities laws and/or the bylaws and rules of the Financial Industry Regulatory Authority (the </w:t>
      </w:r>
      <w:r>
        <w:rPr>
          <w:rFonts w:ascii="Times New Roman" w:cs="Times New Roman" w:eastAsia="Times New Roman" w:hAnsi="Times New Roman"/>
          <w:sz w:val="18"/>
          <w:szCs w:val="18"/>
          <w:b w:val="1"/>
          <w:bCs w:val="1"/>
          <w:i w:val="1"/>
          <w:iCs w:val="1"/>
          <w:color w:val="auto"/>
        </w:rPr>
        <w:t>“FINRA”</w:t>
      </w:r>
      <w:r>
        <w:rPr>
          <w:rFonts w:ascii="Times New Roman" w:cs="Times New Roman" w:eastAsia="Times New Roman" w:hAnsi="Times New Roman"/>
          <w:sz w:val="18"/>
          <w:szCs w:val="18"/>
          <w:color w:val="auto"/>
        </w:rPr>
        <w:t xml:space="preserve">) in connection with the sale of the Shares by the Agent; and (iii) the inclusion of the Shares on the Nasdaq Global Market (the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4"/>
          </w:cols>
          <w:pgMar w:left="436" w:top="270" w:right="499" w:bottom="1440" w:gutter="0" w:footer="0" w:header="0"/>
        </w:sectPr>
      </w:pPr>
    </w:p>
    <w:bookmarkStart w:id="73" w:name="page74"/>
    <w:bookmarkEnd w:id="73"/>
    <w:p>
      <w:pPr>
        <w:ind w:left="-20" w:firstLine="1428"/>
        <w:spacing w:after="0" w:line="252" w:lineRule="auto"/>
        <w:tabs>
          <w:tab w:leader="none" w:pos="175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Internal Controls</w:t>
      </w:r>
      <w:r>
        <w:rPr>
          <w:rFonts w:ascii="Times New Roman" w:cs="Times New Roman" w:eastAsia="Times New Roman" w:hAnsi="Times New Roman"/>
          <w:sz w:val="18"/>
          <w:szCs w:val="18"/>
          <w:color w:val="auto"/>
        </w:rPr>
        <w:t>. The Company and its subsidiary maintain a system of “internal controls over financial reporting” (as defined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Rule 13a-15(f) of the Exchange Act) designed to provide reasonable assurances regarding the reliability of financial reporting and the preparation of financial statements for external purposes in accordance with generally accepted accounting principles in the United States, including, but not limited to, internal accounting controls sufficient to provide reasonable assurance that (i) transactions are executed in accordance with management’s general or specific authorization, (ii) transactions are recorded as necessary to permit preparation of the Company’s financial statements in conformity with generally accepted accounting principles in the United States and to maintain accountability for its assets, (iii) access to the Company’s assets is permitted only in accordance with management’s general or specific authorization, (iv) the recorded accountability for the Company’s assets is compared with existing assets at reasonable intervals and appropriate action is taken with respect to any differences, and (v) the interactive data in eXtensible Business Reporting Language included or incorporated by reference in the Registration Statement and the Prospectus fairly present the information called for in all material respects and are prepared in accordance with the Commission’s rules and guidelines applicable thereto. Except as disclosed in the Registration Statement or the Prospectus, as of the date of the most recent balance sheet of the Company and its consolidated subsidiary audited by PricewaterhouseCoopers LLP, there were no “material weaknesses” (as defined by the Public Company Accounting Oversight Board) in the Company’s internal controls over financial reporting, or any fraud, whether or not material, that involves management or other employees of the Company and its subsidiary who have a significant role in the Company’s internal controls; and since the end of the latest audited fiscal year, there has been no change in the Company’s internal control over financial reporting (whether or not remediated) that has materially affected, or is reasonably likely to materially affect, the Company’s internal control over financial reporting. The Company’s board of directors has, subject to the exceptions, cure periods and the phase in periods specified in the Exchange rules (“</w:t>
      </w:r>
      <w:r>
        <w:rPr>
          <w:rFonts w:ascii="Times New Roman" w:cs="Times New Roman" w:eastAsia="Times New Roman" w:hAnsi="Times New Roman"/>
          <w:sz w:val="18"/>
          <w:szCs w:val="18"/>
          <w:b w:val="1"/>
          <w:bCs w:val="1"/>
          <w:i w:val="1"/>
          <w:iCs w:val="1"/>
          <w:color w:val="auto"/>
        </w:rPr>
        <w:t>Exchange Rules</w:t>
      </w:r>
      <w:r>
        <w:rPr>
          <w:rFonts w:ascii="Times New Roman" w:cs="Times New Roman" w:eastAsia="Times New Roman" w:hAnsi="Times New Roman"/>
          <w:sz w:val="18"/>
          <w:szCs w:val="18"/>
          <w:color w:val="auto"/>
        </w:rPr>
        <w:t>”), validly appointed an audit committee to oversee internal accounting controls whose composition satisfies the applicable requirements of the Exchange Rules and the Company’s board of directors and/or the audit committee has adopted a charter that satisfies the requirements of the Exchange Rules.</w:t>
      </w:r>
    </w:p>
    <w:p>
      <w:pPr>
        <w:spacing w:after="0" w:line="190" w:lineRule="exact"/>
        <w:rPr>
          <w:rFonts w:ascii="Times New Roman" w:cs="Times New Roman" w:eastAsia="Times New Roman" w:hAnsi="Times New Roman"/>
          <w:sz w:val="18"/>
          <w:szCs w:val="18"/>
          <w:color w:val="auto"/>
        </w:rPr>
      </w:pPr>
    </w:p>
    <w:p>
      <w:pPr>
        <w:ind w:left="-20" w:right="220" w:firstLine="1428"/>
        <w:spacing w:after="0" w:line="256" w:lineRule="auto"/>
        <w:tabs>
          <w:tab w:leader="none" w:pos="180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Controls</w:t>
      </w:r>
      <w:r>
        <w:rPr>
          <w:rFonts w:ascii="Times New Roman" w:cs="Times New Roman" w:eastAsia="Times New Roman" w:hAnsi="Times New Roman"/>
          <w:sz w:val="18"/>
          <w:szCs w:val="18"/>
          <w:color w:val="auto"/>
        </w:rPr>
        <w:t>. Except as disclosed in the Registration Statement or the Prospectus, the Company and its subsidiary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maintain “disclosure controls and procedures” (as defined in Rule 13a-15(e) of the Exchange Act) that comply with the requirements of the Exchange Act and that have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subsidiary have carried out evaluations of the effectiveness of their disclosure controls and procedures as required by Rule 13a-15 of the Exchange Act.</w:t>
      </w:r>
    </w:p>
    <w:p>
      <w:pPr>
        <w:spacing w:after="0" w:line="182" w:lineRule="exact"/>
        <w:rPr>
          <w:rFonts w:ascii="Times New Roman" w:cs="Times New Roman" w:eastAsia="Times New Roman" w:hAnsi="Times New Roman"/>
          <w:sz w:val="18"/>
          <w:szCs w:val="18"/>
          <w:color w:val="auto"/>
        </w:rPr>
      </w:pPr>
    </w:p>
    <w:p>
      <w:pPr>
        <w:ind w:left="-20" w:right="220" w:firstLine="1428"/>
        <w:spacing w:after="0" w:line="267" w:lineRule="auto"/>
        <w:tabs>
          <w:tab w:leader="none" w:pos="185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Critical Accounting Policies</w:t>
      </w:r>
      <w:r>
        <w:rPr>
          <w:rFonts w:ascii="Times New Roman" w:cs="Times New Roman" w:eastAsia="Times New Roman" w:hAnsi="Times New Roman"/>
          <w:sz w:val="18"/>
          <w:szCs w:val="18"/>
          <w:color w:val="auto"/>
        </w:rPr>
        <w:t>. The section entitled “Critical Accounting Policies and Significant Judgments and Estimates”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by reference in the Registration Statement and the Prospectus accurately describes in all material respects (i) the accounting policies that the Company believes are the most important in the portrayal of the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60" w:top="268" w:right="459" w:bottom="1440" w:gutter="0" w:footer="0" w:header="0"/>
        </w:sectPr>
      </w:pPr>
    </w:p>
    <w:bookmarkStart w:id="74" w:name="page75"/>
    <w:bookmarkEnd w:id="74"/>
    <w:p>
      <w:pPr>
        <w:ind w:right="480"/>
        <w:spacing w:after="0" w:line="29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Company’s financial condition and results of operations and that require management’s most difficult, subjective or complex judgments (“</w:t>
      </w:r>
      <w:r>
        <w:rPr>
          <w:rFonts w:ascii="Times New Roman" w:cs="Times New Roman" w:eastAsia="Times New Roman" w:hAnsi="Times New Roman"/>
          <w:sz w:val="17"/>
          <w:szCs w:val="17"/>
          <w:b w:val="1"/>
          <w:bCs w:val="1"/>
          <w:i w:val="1"/>
          <w:iCs w:val="1"/>
          <w:color w:val="auto"/>
        </w:rPr>
        <w:t>Critical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Accounting Policies</w:t>
      </w:r>
      <w:r>
        <w:rPr>
          <w:rFonts w:ascii="Times New Roman" w:cs="Times New Roman" w:eastAsia="Times New Roman" w:hAnsi="Times New Roman"/>
          <w:sz w:val="17"/>
          <w:szCs w:val="17"/>
          <w:color w:val="auto"/>
        </w:rPr>
        <w:t>”); (ii) the judgments and uncertainties affecting the application of Critical Accounting Policies; and (iii) the likelihood that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materially different amounts would be reported under different conditions or using different assumptions, and an explanation thereof.</w:t>
      </w:r>
    </w:p>
    <w:p>
      <w:pPr>
        <w:spacing w:after="0" w:line="155" w:lineRule="exact"/>
        <w:rPr>
          <w:sz w:val="20"/>
          <w:szCs w:val="20"/>
          <w:color w:val="auto"/>
        </w:rPr>
      </w:pPr>
    </w:p>
    <w:p>
      <w:pPr>
        <w:ind w:right="180" w:firstLine="1428"/>
        <w:spacing w:after="0" w:line="261" w:lineRule="auto"/>
        <w:tabs>
          <w:tab w:leader="none" w:pos="192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Sarbanes-Oxley Compliance</w:t>
      </w:r>
      <w:r>
        <w:rPr>
          <w:rFonts w:ascii="Times New Roman" w:cs="Times New Roman" w:eastAsia="Times New Roman" w:hAnsi="Times New Roman"/>
          <w:sz w:val="18"/>
          <w:szCs w:val="18"/>
          <w:color w:val="auto"/>
        </w:rPr>
        <w:t>. There is and has been no failure on the part of the Company or, to the knowledge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any of the Company’s directors or officers, in their capacities as such, to comply with any provision of the Sarbanes-Oxley Act of 2002 and the rules and regulations promulgated in connection therewith that are applicable to the Company or its directors or officers in their capacities as directors or officers of the Company.</w:t>
      </w:r>
    </w:p>
    <w:p>
      <w:pPr>
        <w:spacing w:after="0" w:line="179" w:lineRule="exact"/>
        <w:rPr>
          <w:rFonts w:ascii="Times New Roman" w:cs="Times New Roman" w:eastAsia="Times New Roman" w:hAnsi="Times New Roman"/>
          <w:sz w:val="18"/>
          <w:szCs w:val="18"/>
          <w:color w:val="auto"/>
        </w:rPr>
      </w:pPr>
    </w:p>
    <w:p>
      <w:pPr>
        <w:ind w:firstLine="1428"/>
        <w:spacing w:after="0" w:line="253" w:lineRule="auto"/>
        <w:tabs>
          <w:tab w:leader="none" w:pos="182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Exceptions</w:t>
      </w:r>
      <w:r>
        <w:rPr>
          <w:rFonts w:ascii="Times New Roman" w:cs="Times New Roman" w:eastAsia="Times New Roman" w:hAnsi="Times New Roman"/>
          <w:sz w:val="18"/>
          <w:szCs w:val="18"/>
          <w:color w:val="auto"/>
        </w:rPr>
        <w:t>. Except as would not, in the aggregate, reasonably be expected to have a Material Adverse Effect, since the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latest audited financial statements included in the Registration Statement and the Prospectus, and, except as disclosed in the Registration Statement and the Prospectus, neither the Company nor its subsidiary has (i) sustained any loss or interference with its business from fire, explosion, flood or other calamity, whether or not covered by insurance, or from any labor dispute or court or governmental action, order or decree, (ii) issued or granted any securities (other than pursuant to employee benefit plans, qualified stock option plans or other equity compensation plans or arrangements existing on the date hereof and disclosed in the Registration Statement and the Prospectus (the </w:t>
      </w:r>
      <w:r>
        <w:rPr>
          <w:rFonts w:ascii="Times New Roman" w:cs="Times New Roman" w:eastAsia="Times New Roman" w:hAnsi="Times New Roman"/>
          <w:sz w:val="18"/>
          <w:szCs w:val="18"/>
          <w:b w:val="1"/>
          <w:bCs w:val="1"/>
          <w:i w:val="1"/>
          <w:iCs w:val="1"/>
          <w:color w:val="auto"/>
        </w:rPr>
        <w:t>“Specified Equity Plans”</w:t>
      </w:r>
      <w:r>
        <w:rPr>
          <w:rFonts w:ascii="Times New Roman" w:cs="Times New Roman" w:eastAsia="Times New Roman" w:hAnsi="Times New Roman"/>
          <w:sz w:val="18"/>
          <w:szCs w:val="18"/>
          <w:color w:val="auto"/>
        </w:rPr>
        <w:t>)), (iii) incurred any material liability or obligation, direct or contingent, other than liabilities and obligations that were incurred in the ordinary course of business, (iv) entered into any material transaction not in the ordinary course of business, or (v) declared or paid any dividend on its share capital; and since such date, except as disclosed in the Registration Statement and the Prospectus, there has not been any change in the share capital, long-term debt, net current assets or short-term debt of the Company or its subsidiary or any adverse change, or any development involving a prospective adverse change, in or affecting the condition (financial or otherwise), results of operations, shareholders’ equity, properties, management, business or prospects of the Company and its subsidiary taken as a whole.</w:t>
      </w:r>
    </w:p>
    <w:p>
      <w:pPr>
        <w:spacing w:after="0" w:line="189" w:lineRule="exact"/>
        <w:rPr>
          <w:rFonts w:ascii="Times New Roman" w:cs="Times New Roman" w:eastAsia="Times New Roman" w:hAnsi="Times New Roman"/>
          <w:sz w:val="18"/>
          <w:szCs w:val="18"/>
          <w:color w:val="auto"/>
        </w:rPr>
      </w:pPr>
    </w:p>
    <w:p>
      <w:pPr>
        <w:ind w:right="220" w:firstLine="1428"/>
        <w:spacing w:after="0" w:line="257" w:lineRule="auto"/>
        <w:tabs>
          <w:tab w:leader="none" w:pos="177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Valid Title</w:t>
      </w:r>
      <w:r>
        <w:rPr>
          <w:rFonts w:ascii="Times New Roman" w:cs="Times New Roman" w:eastAsia="Times New Roman" w:hAnsi="Times New Roman"/>
          <w:sz w:val="18"/>
          <w:szCs w:val="18"/>
          <w:color w:val="auto"/>
        </w:rPr>
        <w:t>. The Company and its subsidiary have good and marketable title in fee simple to all real property and good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marketable title to all personal property owned by them, that are material to the business of the Company, in each case free and clear of all liens, encumbrances and defects, except such liens, encumbrances and defects as do not materially affect the value of such property and do not materially interfere with the use made and proposed to be made of such property by the Company and its subsidiary. All assets held under lease by the Company and its subsidiary, that are material to the business of the Company, are held by them under valid, subsisting and enforceable leases, with such exceptions as do not materially interfere with the use made and proposed to be made of such assets by the Company and its subsidiary.</w:t>
      </w:r>
    </w:p>
    <w:p>
      <w:pPr>
        <w:spacing w:after="0" w:line="182" w:lineRule="exact"/>
        <w:rPr>
          <w:rFonts w:ascii="Times New Roman" w:cs="Times New Roman" w:eastAsia="Times New Roman" w:hAnsi="Times New Roman"/>
          <w:sz w:val="18"/>
          <w:szCs w:val="18"/>
          <w:color w:val="auto"/>
        </w:rPr>
      </w:pPr>
    </w:p>
    <w:p>
      <w:pPr>
        <w:ind w:right="60" w:firstLine="1428"/>
        <w:spacing w:after="0" w:line="267" w:lineRule="auto"/>
        <w:tabs>
          <w:tab w:leader="none" w:pos="182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The Company and its subsidiary owns, possesses, or can acquire on reasonable terms, all Intellectual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necessary for the conduct of the Company’s and its subsidiary’s business as now conducted or as proposed to be conducted, as described in the Registration Statement and the Prospectus. Furthermore, (A) to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75" w:name="page76"/>
    <w:bookmarkEnd w:id="75"/>
    <w:p>
      <w:pPr>
        <w:ind w:left="4"/>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knowledge of the Company, there is no infringement, misappropriation or violation by third parties of any such Intellectual Property; (B) there is no pending or, to the knowledge of the Company, threatened, action, suit, proceeding or claim by others challenging the Company’s or its subsidiary’s rights in or to any such Intellectual Property, and the Company is unaware of any facts which would form a reasonable basis for any such claim; (C) the Intellectual Property owned by the Company and its subsidiary, and to the knowledge of the Company, the Intellectual Property licensed to the Company and its subsidiary, in each case that is necessary for the conduct of the Company’s and its subsidiary’s business as now conducted or as proposed to be conducted, has not been adjudged invalid or unenforceable, in whole or in part, and there is no pending or, to the knowledge of the Company, threatened action, suit, proceeding or claim by others challenging the validity or scope of any such Intellectual Property and the Company is unaware of any facts which would form a reasonable basis for any such claim; (D) there is no pending or, to the knowledge of the Company, threatened action, suit, proceeding or claim by others that the Company or its subsidiary infringes, misappropriates or otherwise violates any Intellectual Property or other proprietary rights of others, and neither the Company nor its subsidiary has received any written notice of such claim and the Company is unaware of any other fact which would form a reasonable basis for any such claim; (E) to the Company’s knowledge, no employee of the Company or its subsidiary is in or has ever been in material violation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nor its subsidiary or actions undertaken by the employee while employed with the Company or its subsidiary; (F) with respect to the Intellectual Property that is necessary for the conduct of the Company’s and its subsidiary’s business as now conducted or as proposed to be conducted, there is no prior art or public or commercial activity of which the Company is aware that may render any patent included with respect to such Intellectual Property invalid or that would preclude the issuance of any patent on any patent application included in such Intellectual Property, which has not been disclosed to the U.S. Patent and Trademark Office or the relevant foreign patent authority, as the case may be; (G) to the Company’s knowledge, the issued patents included in the Intellectual Property that is necessary for the conduct of the Company’s and its subsidiary’s business as now conducted or as proposed to be conducted are valid and enforceable and the Company is unaware of any facts that would preclude the issuance of a valid and enforceable patent on any pending patent application included in such Intellectual Property;</w:t>
      </w:r>
    </w:p>
    <w:p>
      <w:pPr>
        <w:spacing w:after="0" w:line="205" w:lineRule="exact"/>
        <w:rPr>
          <w:sz w:val="20"/>
          <w:szCs w:val="20"/>
          <w:color w:val="auto"/>
        </w:rPr>
      </w:pPr>
    </w:p>
    <w:p>
      <w:pPr>
        <w:ind w:left="4" w:right="80" w:hanging="4"/>
        <w:spacing w:after="0" w:line="251" w:lineRule="auto"/>
        <w:tabs>
          <w:tab w:leader="none" w:pos="29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Intellectual Property that is necessary for the conduct of the Company’s and its subsidiary’s business as now conducted or proposed to be conducted and that is owned or purported to be owned by the Company, the Company has taken reasonable steps necessary to secure the interests of the Company in such Intellectual Property from all employees, consultants, agents or contractors that developed (in whole or in part) such Intellectual Property; (I) no government funding, facilities or resources of a university, college, other educational institution or research center was used in the development of any Intellectual Property necessary for the conduct of the Company’s and its subsidiary’s business as now conducted or proposed to be conducted and that is owned or purported to be owned by the Company that would confer upon any governmental agency or body, university, college, other educational institution or research center any claim or right in or to any such Intellectual Property; and (J) to the Company’s knowledge, none of the technology employed by the Company has been obtained or is being used by the Company in violation of</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76" w:name="page77"/>
    <w:bookmarkEnd w:id="76"/>
    <w:p>
      <w:pPr>
        <w:ind w:right="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rights of any entity. “</w:t>
      </w:r>
      <w:r>
        <w:rPr>
          <w:rFonts w:ascii="Times New Roman" w:cs="Times New Roman" w:eastAsia="Times New Roman" w:hAnsi="Times New Roman"/>
          <w:sz w:val="18"/>
          <w:szCs w:val="18"/>
          <w:b w:val="1"/>
          <w:bCs w:val="1"/>
          <w:i w:val="1"/>
          <w:iCs w:val="1"/>
          <w:color w:val="auto"/>
        </w:rPr>
        <w:t>Intellectual Property</w:t>
      </w:r>
      <w:r>
        <w:rPr>
          <w:rFonts w:ascii="Times New Roman" w:cs="Times New Roman" w:eastAsia="Times New Roman" w:hAnsi="Times New Roman"/>
          <w:sz w:val="18"/>
          <w:szCs w:val="18"/>
          <w:color w:val="auto"/>
        </w:rPr>
        <w:t>” shall mean all patents, patent applications, trade and service marks, trade and service mark registrations, trade names, copyrights, licenses, inventions, trade secrets, domain names, technology, know-how and other intellectual property in the United States and foreign jurisdictions.</w:t>
      </w:r>
    </w:p>
    <w:p>
      <w:pPr>
        <w:spacing w:after="0" w:line="173" w:lineRule="exact"/>
        <w:rPr>
          <w:sz w:val="20"/>
          <w:szCs w:val="20"/>
          <w:color w:val="auto"/>
        </w:rPr>
      </w:pPr>
    </w:p>
    <w:p>
      <w:pPr>
        <w:ind w:firstLine="1428"/>
        <w:spacing w:after="0" w:line="255" w:lineRule="auto"/>
        <w:tabs>
          <w:tab w:leader="none" w:pos="187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Health Care Authorizations</w:t>
      </w:r>
      <w:r>
        <w:rPr>
          <w:rFonts w:ascii="Times New Roman" w:cs="Times New Roman" w:eastAsia="Times New Roman" w:hAnsi="Times New Roman"/>
          <w:sz w:val="18"/>
          <w:szCs w:val="18"/>
          <w:color w:val="auto"/>
        </w:rPr>
        <w:t>. The Company has submitted and possesses, or qualifies for applicable exemptions to, such valid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current registrations, listings, approvals, clearances, licenses, certificates, authorizations or permits and supplements or amendments thereto issued or required by the appropriate state, federal or foreign regulatory agencies or bodies necessary to conduct their business (“</w:t>
      </w:r>
      <w:r>
        <w:rPr>
          <w:rFonts w:ascii="Times New Roman" w:cs="Times New Roman" w:eastAsia="Times New Roman" w:hAnsi="Times New Roman"/>
          <w:sz w:val="18"/>
          <w:szCs w:val="18"/>
          <w:b w:val="1"/>
          <w:bCs w:val="1"/>
          <w:i w:val="1"/>
          <w:iCs w:val="1"/>
          <w:color w:val="auto"/>
        </w:rPr>
        <w:t>Permits</w:t>
      </w:r>
      <w:r>
        <w:rPr>
          <w:rFonts w:ascii="Times New Roman" w:cs="Times New Roman" w:eastAsia="Times New Roman" w:hAnsi="Times New Roman"/>
          <w:sz w:val="18"/>
          <w:szCs w:val="18"/>
          <w:color w:val="auto"/>
        </w:rPr>
        <w:t>”), including, without limitation, all such Permits required by the U.S. Food and Drug Administration (the “</w:t>
      </w:r>
      <w:r>
        <w:rPr>
          <w:rFonts w:ascii="Times New Roman" w:cs="Times New Roman" w:eastAsia="Times New Roman" w:hAnsi="Times New Roman"/>
          <w:sz w:val="18"/>
          <w:szCs w:val="18"/>
          <w:b w:val="1"/>
          <w:bCs w:val="1"/>
          <w:i w:val="1"/>
          <w:iCs w:val="1"/>
          <w:color w:val="auto"/>
        </w:rPr>
        <w:t>FDA</w:t>
      </w:r>
      <w:r>
        <w:rPr>
          <w:rFonts w:ascii="Times New Roman" w:cs="Times New Roman" w:eastAsia="Times New Roman" w:hAnsi="Times New Roman"/>
          <w:sz w:val="18"/>
          <w:szCs w:val="18"/>
          <w:color w:val="auto"/>
        </w:rPr>
        <w:t>”), the U.S. Department of Health and Human Services (“</w:t>
      </w:r>
      <w:r>
        <w:rPr>
          <w:rFonts w:ascii="Times New Roman" w:cs="Times New Roman" w:eastAsia="Times New Roman" w:hAnsi="Times New Roman"/>
          <w:sz w:val="18"/>
          <w:szCs w:val="18"/>
          <w:b w:val="1"/>
          <w:bCs w:val="1"/>
          <w:i w:val="1"/>
          <w:iCs w:val="1"/>
          <w:color w:val="auto"/>
        </w:rPr>
        <w:t>HHS</w:t>
      </w:r>
      <w:r>
        <w:rPr>
          <w:rFonts w:ascii="Times New Roman" w:cs="Times New Roman" w:eastAsia="Times New Roman" w:hAnsi="Times New Roman"/>
          <w:sz w:val="18"/>
          <w:szCs w:val="18"/>
          <w:color w:val="auto"/>
        </w:rPr>
        <w:t>”), the U.S. Centers for Medicare &amp; Medicaid Services (“</w:t>
      </w:r>
      <w:r>
        <w:rPr>
          <w:rFonts w:ascii="Times New Roman" w:cs="Times New Roman" w:eastAsia="Times New Roman" w:hAnsi="Times New Roman"/>
          <w:sz w:val="18"/>
          <w:szCs w:val="18"/>
          <w:b w:val="1"/>
          <w:bCs w:val="1"/>
          <w:i w:val="1"/>
          <w:iCs w:val="1"/>
          <w:color w:val="auto"/>
        </w:rPr>
        <w:t>CMS</w:t>
      </w:r>
      <w:r>
        <w:rPr>
          <w:rFonts w:ascii="Times New Roman" w:cs="Times New Roman" w:eastAsia="Times New Roman" w:hAnsi="Times New Roman"/>
          <w:sz w:val="18"/>
          <w:szCs w:val="18"/>
          <w:color w:val="auto"/>
        </w:rPr>
        <w:t>”), the European Medicines Agency (“</w:t>
      </w:r>
      <w:r>
        <w:rPr>
          <w:rFonts w:ascii="Times New Roman" w:cs="Times New Roman" w:eastAsia="Times New Roman" w:hAnsi="Times New Roman"/>
          <w:sz w:val="18"/>
          <w:szCs w:val="18"/>
          <w:b w:val="1"/>
          <w:bCs w:val="1"/>
          <w:i w:val="1"/>
          <w:iCs w:val="1"/>
          <w:color w:val="auto"/>
        </w:rPr>
        <w:t>EMA</w:t>
      </w:r>
      <w:r>
        <w:rPr>
          <w:rFonts w:ascii="Times New Roman" w:cs="Times New Roman" w:eastAsia="Times New Roman" w:hAnsi="Times New Roman"/>
          <w:sz w:val="18"/>
          <w:szCs w:val="18"/>
          <w:color w:val="auto"/>
        </w:rPr>
        <w:t>”), Health Canada or any other comparable state, federal or foreign agencies or bodies to which it is subject, and the Company has not received any notice of proceedings relating to the revocation or modification of, or non-compliance with, any such Permit, except for such Permits, the lack of which would not, individually or in the aggregate, reasonably be expected to result in a Material Adverse Effect.</w:t>
      </w:r>
    </w:p>
    <w:p>
      <w:pPr>
        <w:spacing w:after="0" w:line="184" w:lineRule="exact"/>
        <w:rPr>
          <w:rFonts w:ascii="Times New Roman" w:cs="Times New Roman" w:eastAsia="Times New Roman" w:hAnsi="Times New Roman"/>
          <w:sz w:val="18"/>
          <w:szCs w:val="18"/>
          <w:color w:val="auto"/>
        </w:rPr>
      </w:pPr>
    </w:p>
    <w:p>
      <w:pPr>
        <w:ind w:right="140" w:firstLine="1428"/>
        <w:spacing w:after="0" w:line="256" w:lineRule="auto"/>
        <w:tabs>
          <w:tab w:leader="none" w:pos="192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Health Care Laws</w:t>
      </w:r>
      <w:r>
        <w:rPr>
          <w:rFonts w:ascii="Times New Roman" w:cs="Times New Roman" w:eastAsia="Times New Roman" w:hAnsi="Times New Roman"/>
          <w:sz w:val="18"/>
          <w:szCs w:val="18"/>
          <w:color w:val="auto"/>
        </w:rPr>
        <w:t>. The Company and, to the Company’s knowledge, its directors, employees and agents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(while acting in such capacity) are and at all times have been in material compliance with, all health care laws applicable to the Company, or any of its products or activities, including, but not limited to, the federal Anti-Kickback Statute (42 U.S.C. Section 1320a-7b(b)), the Anti-Inducement Law (42 U.S.C. Section 1320a-7a(a)(5)), the civil False Claims Act (31 U.S.C. Section 3729 et seq.), the administrative False Claims Law (42 U.S.C.</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1320a-7b(a)), the Stark law (42 U.S.C. Section 1395nn), the Health Insurance Portability and Accountability Act of 1996 (42 U.S.C.</w:t>
      </w:r>
    </w:p>
    <w:p>
      <w:pPr>
        <w:spacing w:after="0" w:line="9" w:lineRule="exact"/>
        <w:rPr>
          <w:rFonts w:ascii="Times New Roman" w:cs="Times New Roman" w:eastAsia="Times New Roman" w:hAnsi="Times New Roman"/>
          <w:sz w:val="18"/>
          <w:szCs w:val="18"/>
          <w:color w:val="auto"/>
        </w:rPr>
      </w:pPr>
    </w:p>
    <w:p>
      <w:pPr>
        <w:ind w:right="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1320d et seq.) as amended by the Health Information Technology for Economic and Clinical Health Act (42 U.S.C. Section 17921 et seq.), the exclusion laws (42 U.S.C. Section 1320a-7), the Federal Food, Drug, and Cosmetic Act (21 U.S.C. Section 301 et seq.), the Controlled Substances Act (21 U.S.C. Section 801 et seq.), the Public Health Service Act (42 U.S.C. Section 201 et seq.), the Clinical Laboratory Improvement Amendments of 1988 (42 U.S.C. Section 263a), Medicare (Title XVIII of the Social Security Act), Medicaid (Title XIX of the Social Security Act), and the Patient Protection and Affordable Care Act of 2010, as amended by the Health Care and Education Reconciliation Act of 2010, the regulations promulgated pursuant to such laws, and any other state, federal or foreign law, accreditation standards, regulation, memorandum, opinion letter, or other issuance which imposes legally binding requirements on manufacturing, development, testing, labeling, advertising, marketing, promotion, distribution, reporting, kickbacks, patient or program charges, recordkeeping, claims process, documentation requirements, medical necessity, referrals, the hiring of employees or acquisition of services or supplies from those who have been excluded from government health care programs, quality, safety, privacy, security, licensure, accreditation or any other aspect of providing health care, clinical laboratory or diagnostics products or services (collectively, “</w:t>
      </w:r>
      <w:r>
        <w:rPr>
          <w:rFonts w:ascii="Times New Roman" w:cs="Times New Roman" w:eastAsia="Times New Roman" w:hAnsi="Times New Roman"/>
          <w:sz w:val="18"/>
          <w:szCs w:val="18"/>
          <w:b w:val="1"/>
          <w:bCs w:val="1"/>
          <w:i w:val="1"/>
          <w:iCs w:val="1"/>
          <w:color w:val="auto"/>
        </w:rPr>
        <w:t>Health Care Laws</w:t>
      </w:r>
      <w:r>
        <w:rPr>
          <w:rFonts w:ascii="Times New Roman" w:cs="Times New Roman" w:eastAsia="Times New Roman" w:hAnsi="Times New Roman"/>
          <w:sz w:val="18"/>
          <w:szCs w:val="18"/>
          <w:color w:val="auto"/>
        </w:rPr>
        <w:t>”). The Company has not received any notification, correspondence or any other written or oral communication, including notification of any pending or threatened claim, suit, proceeding, hearing, enforcement, investigation, arbitration or other action from any governmental authority, including, without limitation, the FDA, the EMA, Health Canada, the U.S. Federal Trade Commission, the U.S. Drug Enforcement Administration (“</w:t>
      </w:r>
      <w:r>
        <w:rPr>
          <w:rFonts w:ascii="Times New Roman" w:cs="Times New Roman" w:eastAsia="Times New Roman" w:hAnsi="Times New Roman"/>
          <w:sz w:val="18"/>
          <w:szCs w:val="18"/>
          <w:b w:val="1"/>
          <w:bCs w:val="1"/>
          <w:i w:val="1"/>
          <w:iCs w:val="1"/>
          <w:color w:val="auto"/>
        </w:rPr>
        <w:t>DEA</w:t>
      </w:r>
      <w:r>
        <w:rPr>
          <w:rFonts w:ascii="Times New Roman" w:cs="Times New Roman" w:eastAsia="Times New Roman" w:hAnsi="Times New Roman"/>
          <w:sz w:val="18"/>
          <w:szCs w:val="18"/>
          <w:color w:val="auto"/>
        </w:rPr>
        <w:t>”), CMS, HHS’s Office of</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66" w:right="479" w:bottom="1440" w:gutter="0" w:footer="0" w:header="0"/>
        </w:sectPr>
      </w:pPr>
    </w:p>
    <w:bookmarkStart w:id="77" w:name="page78"/>
    <w:bookmarkEnd w:id="77"/>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Inspector General, the U.S. Department of Justice and state Attorneys General or similar agencies of potential or actual non-compliance by, or liability of, the Company under any Health Care Laws, except, with respect to any of the foregoing, such as would not, individually or in the aggregate, result in a Material Adverse Effect. To the Company’s knowledge, there are no facts or circumstances that would reasonably be expected to give rise to material liability of the Company under any Health Care Laws. The statements with respect to Health Care Laws and the Company’s compliance therewith included in the Registration Statement and in the Prospectus fairly summarize the matters therein described.</w:t>
      </w:r>
    </w:p>
    <w:p>
      <w:pPr>
        <w:spacing w:after="0" w:line="181" w:lineRule="exact"/>
        <w:rPr>
          <w:sz w:val="20"/>
          <w:szCs w:val="20"/>
          <w:color w:val="auto"/>
        </w:rPr>
      </w:pPr>
    </w:p>
    <w:p>
      <w:pPr>
        <w:ind w:firstLine="1428"/>
        <w:spacing w:after="0" w:line="252" w:lineRule="auto"/>
        <w:tabs>
          <w:tab w:leader="none" w:pos="191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Clinical Trials</w:t>
      </w:r>
      <w:r>
        <w:rPr>
          <w:rFonts w:ascii="Times New Roman" w:cs="Times New Roman" w:eastAsia="Times New Roman" w:hAnsi="Times New Roman"/>
          <w:sz w:val="18"/>
          <w:szCs w:val="18"/>
          <w:color w:val="auto"/>
        </w:rPr>
        <w:t>. The studies, tests and preclinical and clinical trials conducted by or on behalf of, or sponsored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or in which the Company has participated, that are described in the Registration Statement or the Prospectus, or the results of which are referred to in the Registration Statement or the Prospectus, were and, if still pending, are being conducted in all material respects in accordance with protocols, procedures and controls pursuant to, where applicable, accepted professional and scientific standards for products or product candidates comparable to those being developed by the Company and all applicable statutes, rules and regulations of the FDA, the EMA, Health Canada and other comparable regulatory agencies outside of the U.S. to which they are subject, including, without limitation, 21 C.F.R. Parts 50, 54, 56, 58, 312, and 812; the descriptions of the results of such studies, tests and trials contained in the Registration Statement or the Prospectus do not contain any misstatement of a material fact or omit a material fact necessary to make such statements not misleading; the Company has no knowledge of any studies, tests or trials not described in the Registration Statement or the Prospectus the results of which reasonably call into question in any material respect the results of the studies, tests and trials described in the Registration Statement or Prospectus; and the Company has not received any notices or other correspondence from the FDA, EMA, Health Canada or any other foreign, state or local governmental body exercising comparable authority or any Institutional Review Board or comparable authority requiring or threatening the termination, suspension or material modification of any studies, tests or preclinical or clinical trials conducted by or on behalf of, or sponsored by, the Company or in which the Company has participated, and, to the Company’s knowledge, there are no reasonable grounds for the same. Except as disclosed in the Registration Statement and the Prospectus, there has not been any violation of law or regulation by the Company in its respective product development efforts, submissions or reports to any regulatory authority that could reasonably be expected to require investigation, corrective action or enforcement action.</w:t>
      </w:r>
    </w:p>
    <w:p>
      <w:pPr>
        <w:spacing w:after="0" w:line="194" w:lineRule="exact"/>
        <w:rPr>
          <w:rFonts w:ascii="Times New Roman" w:cs="Times New Roman" w:eastAsia="Times New Roman" w:hAnsi="Times New Roman"/>
          <w:sz w:val="18"/>
          <w:szCs w:val="18"/>
          <w:color w:val="auto"/>
        </w:rPr>
      </w:pPr>
    </w:p>
    <w:p>
      <w:pPr>
        <w:jc w:val="both"/>
        <w:ind w:right="80" w:firstLine="1428"/>
        <w:spacing w:after="0" w:line="267" w:lineRule="auto"/>
        <w:tabs>
          <w:tab w:leader="none" w:pos="186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Settlement Agreements or Undertakings</w:t>
      </w:r>
      <w:r>
        <w:rPr>
          <w:rFonts w:ascii="Times New Roman" w:cs="Times New Roman" w:eastAsia="Times New Roman" w:hAnsi="Times New Roman"/>
          <w:sz w:val="18"/>
          <w:szCs w:val="18"/>
          <w:color w:val="auto"/>
        </w:rPr>
        <w:t>. Except as disclosed in the Registration Statement and the Prospectus,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is not a party to any corporate integrity agreements, monitoring agreements, consent decrees, settlement orders, or similar agreements with or imposed by any governmental authority.</w:t>
      </w:r>
    </w:p>
    <w:p>
      <w:pPr>
        <w:spacing w:after="0" w:line="173" w:lineRule="exact"/>
        <w:rPr>
          <w:rFonts w:ascii="Times New Roman" w:cs="Times New Roman" w:eastAsia="Times New Roman" w:hAnsi="Times New Roman"/>
          <w:sz w:val="18"/>
          <w:szCs w:val="18"/>
          <w:color w:val="auto"/>
        </w:rPr>
      </w:pPr>
    </w:p>
    <w:p>
      <w:pPr>
        <w:jc w:val="both"/>
        <w:ind w:right="40" w:firstLine="1428"/>
        <w:spacing w:after="0" w:line="261" w:lineRule="auto"/>
        <w:tabs>
          <w:tab w:leader="none" w:pos="191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Legal or Governmental Proceedings</w:t>
      </w:r>
      <w:r>
        <w:rPr>
          <w:rFonts w:ascii="Times New Roman" w:cs="Times New Roman" w:eastAsia="Times New Roman" w:hAnsi="Times New Roman"/>
          <w:sz w:val="18"/>
          <w:szCs w:val="18"/>
          <w:color w:val="auto"/>
        </w:rPr>
        <w:t>. Except as disclosed in the Registration Statement and the Prospectus, there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no legal or governmental proceedings pending to which the Company or its subsidiary is a party or of which any property or assets of the Company or its subsidiary is the subject that, if determined adversely to the Company, would, in the aggregate, reasonably be expected to have a Material Adverse Effect; and to the Company’s knowledge, no such proceedings are threatened in writing by governmental authorities or others.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78" w:name="page79"/>
    <w:bookmarkEnd w:id="78"/>
    <w:p>
      <w:pPr>
        <w:ind w:right="40" w:firstLine="1428"/>
        <w:spacing w:after="0" w:line="257" w:lineRule="auto"/>
        <w:tabs>
          <w:tab w:leader="none" w:pos="196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Material Contracts</w:t>
      </w:r>
      <w:r>
        <w:rPr>
          <w:rFonts w:ascii="Times New Roman" w:cs="Times New Roman" w:eastAsia="Times New Roman" w:hAnsi="Times New Roman"/>
          <w:sz w:val="18"/>
          <w:szCs w:val="18"/>
          <w:color w:val="auto"/>
        </w:rPr>
        <w:t>. There are no contracts or other documents required to be described in the Registration Statement or filed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exhibits to the Registration Statement that are not described and filed as required. The statements made in the Registration Statement and Prospectus, insofar as they purport to constitute summaries of the terms of the contracts and other documents described and filed, constitute accurate summaries of the terms of such contracts and documents in all material respects. Except as disclosed in the Registration Statement and the Prospectus, neither the Company nor its subsidiary has knowledge that any other party to any such contract or other document has any intention not to render full performance as contemplated by the terms thereof.</w:t>
      </w:r>
    </w:p>
    <w:p>
      <w:pPr>
        <w:spacing w:after="0" w:line="182" w:lineRule="exact"/>
        <w:rPr>
          <w:rFonts w:ascii="Times New Roman" w:cs="Times New Roman" w:eastAsia="Times New Roman" w:hAnsi="Times New Roman"/>
          <w:sz w:val="18"/>
          <w:szCs w:val="18"/>
          <w:color w:val="auto"/>
        </w:rPr>
      </w:pPr>
    </w:p>
    <w:p>
      <w:pPr>
        <w:ind w:firstLine="1428"/>
        <w:spacing w:after="0" w:line="254" w:lineRule="auto"/>
        <w:tabs>
          <w:tab w:leader="none" w:pos="201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The Company and its subsidiary maintain insurance from insurers of recognized financial responsibility in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and covering such risks is commercially reasonable in accordance with customary practices for companies engaged in similar businesses and similar industries for the conduct of their respective businesses and the value of their respective properties and as is customary for companies engaged in similar businesses in similar industries. All policies of insurance of the Company and its subsidiary are in full force and effect; the Company and its subsidiary are in compliance with the terms of such policies in all material respects; neither the Company nor its subsidiary has received notice from any insurer or agent of such insurer that capital improvements or other expenditures are required or necessary to be made in order to continue such insurance; there are no material claims by the Company or its subsidiary under any such policy or instrument as to which any insurance company is denying liability or defending under a reservation of rights clause;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w:t>
      </w:r>
    </w:p>
    <w:p>
      <w:pPr>
        <w:spacing w:after="0" w:line="185" w:lineRule="exact"/>
        <w:rPr>
          <w:rFonts w:ascii="Times New Roman" w:cs="Times New Roman" w:eastAsia="Times New Roman" w:hAnsi="Times New Roman"/>
          <w:sz w:val="18"/>
          <w:szCs w:val="18"/>
          <w:color w:val="auto"/>
        </w:rPr>
      </w:pPr>
    </w:p>
    <w:p>
      <w:pPr>
        <w:jc w:val="both"/>
        <w:ind w:right="60" w:firstLine="1428"/>
        <w:spacing w:after="0" w:line="267" w:lineRule="auto"/>
        <w:tabs>
          <w:tab w:leader="none" w:pos="191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Related Party Disclosure</w:t>
      </w:r>
      <w:r>
        <w:rPr>
          <w:rFonts w:ascii="Times New Roman" w:cs="Times New Roman" w:eastAsia="Times New Roman" w:hAnsi="Times New Roman"/>
          <w:sz w:val="18"/>
          <w:szCs w:val="18"/>
          <w:color w:val="auto"/>
        </w:rPr>
        <w:t>. No relationship, direct or indirect, exists between or among the Company, on the one hand,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officers, shareholders, customers or suppliers of the Company, on the other hand, that is required to be described in the Registration Statement or the Prospectus which is not so described.</w:t>
      </w:r>
    </w:p>
    <w:p>
      <w:pPr>
        <w:spacing w:after="0" w:line="173" w:lineRule="exact"/>
        <w:rPr>
          <w:rFonts w:ascii="Times New Roman" w:cs="Times New Roman" w:eastAsia="Times New Roman" w:hAnsi="Times New Roman"/>
          <w:sz w:val="18"/>
          <w:szCs w:val="18"/>
          <w:color w:val="auto"/>
        </w:rPr>
      </w:pPr>
    </w:p>
    <w:p>
      <w:pPr>
        <w:ind w:right="280" w:firstLine="1428"/>
        <w:spacing w:after="0" w:line="284" w:lineRule="auto"/>
        <w:tabs>
          <w:tab w:leader="none" w:pos="186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Labor Dispute</w:t>
      </w:r>
      <w:r>
        <w:rPr>
          <w:rFonts w:ascii="Times New Roman" w:cs="Times New Roman" w:eastAsia="Times New Roman" w:hAnsi="Times New Roman"/>
          <w:sz w:val="18"/>
          <w:szCs w:val="18"/>
          <w:color w:val="auto"/>
        </w:rPr>
        <w:t>. No labor disturbance by or dispute with the employees of the Company or its subsidiary exists 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knowledge of the Company, is imminent that could reasonably be expected to have a Material Adverse Effect.</w:t>
      </w:r>
    </w:p>
    <w:p>
      <w:pPr>
        <w:spacing w:after="0" w:line="158" w:lineRule="exact"/>
        <w:rPr>
          <w:rFonts w:ascii="Times New Roman" w:cs="Times New Roman" w:eastAsia="Times New Roman" w:hAnsi="Times New Roman"/>
          <w:sz w:val="18"/>
          <w:szCs w:val="18"/>
          <w:color w:val="auto"/>
        </w:rPr>
      </w:pPr>
    </w:p>
    <w:p>
      <w:pPr>
        <w:ind w:right="20" w:firstLine="1428"/>
        <w:spacing w:after="0" w:line="256" w:lineRule="auto"/>
        <w:tabs>
          <w:tab w:leader="none" w:pos="191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Violation or Default</w:t>
      </w:r>
      <w:r>
        <w:rPr>
          <w:rFonts w:ascii="Times New Roman" w:cs="Times New Roman" w:eastAsia="Times New Roman" w:hAnsi="Times New Roman"/>
          <w:sz w:val="18"/>
          <w:szCs w:val="18"/>
          <w:color w:val="auto"/>
        </w:rPr>
        <w:t>. Except as disclosed in the Registration Statement and the Prospectus, neither the Company nor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(i) is in violation of its certificate of incorporation or by-laws (or similar organizational documents), (ii) is in default, and no event has occurred that, with notice or lapse of time or both, would constitute such a default, in the due performance or observance of any term, covenant, condition or other obligation contained in any indenture, mortgage, deed of trust, loan agreement, license or other agreement or instrument to which it is a party or by which it is bound or to which any of its properties or assets is subject, or (iii) is in violation of any statute or any order, rule or regulation of any court or governmental agency or body having jurisdiction over it or its property or assets or has failed to obtain any license, permit, certificate, franchise or other governmental authorization or permit necessary to the ownership of its property or to the conduct of its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8" w:right="459" w:bottom="1440" w:gutter="0" w:footer="0" w:header="0"/>
        </w:sectPr>
      </w:pPr>
    </w:p>
    <w:bookmarkStart w:id="79" w:name="page80"/>
    <w:bookmarkEnd w:id="79"/>
    <w:p>
      <w:pPr>
        <w:ind w:left="4" w:right="7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business, except in the case of clauses (ii) and (iii), to the extent any such conflict, breach, violation or default would not, individually or in the aggregate, reasonably be expected to have a Material Adverse Effect.</w:t>
      </w:r>
    </w:p>
    <w:p>
      <w:pPr>
        <w:spacing w:after="0" w:line="160" w:lineRule="exact"/>
        <w:rPr>
          <w:sz w:val="20"/>
          <w:szCs w:val="20"/>
          <w:color w:val="auto"/>
        </w:rPr>
      </w:pPr>
    </w:p>
    <w:p>
      <w:pPr>
        <w:ind w:left="1964" w:hanging="532"/>
        <w:spacing w:after="0"/>
        <w:tabs>
          <w:tab w:leader="none" w:pos="196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Environmental Laws</w:t>
      </w:r>
      <w:r>
        <w:rPr>
          <w:rFonts w:ascii="Times New Roman" w:cs="Times New Roman" w:eastAsia="Times New Roman" w:hAnsi="Times New Roman"/>
          <w:sz w:val="18"/>
          <w:szCs w:val="18"/>
          <w:color w:val="auto"/>
        </w:rPr>
        <w:t>. Except as disclosed in the Registration Statement and the Prospectus, the Company and its subsidiary</w:t>
      </w:r>
    </w:p>
    <w:p>
      <w:pPr>
        <w:spacing w:after="0" w:line="29" w:lineRule="exact"/>
        <w:rPr>
          <w:rFonts w:ascii="Times New Roman" w:cs="Times New Roman" w:eastAsia="Times New Roman" w:hAnsi="Times New Roman"/>
          <w:sz w:val="18"/>
          <w:szCs w:val="18"/>
          <w:color w:val="auto"/>
        </w:rPr>
      </w:pPr>
    </w:p>
    <w:p>
      <w:pPr>
        <w:ind w:left="4" w:right="80" w:hanging="4"/>
        <w:spacing w:after="0" w:line="251" w:lineRule="auto"/>
        <w:tabs>
          <w:tab w:leader="none" w:pos="21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and at all times prior hereto were, in compliance with all laws, regulations, ordinances, rules, orders, judgments, decrees, permits or other legal requirements of any governmental authority, including without limitation any international, foreign, national, state, provincial, regional, or local authority, relating to pollution, the protection of human health or safety, the environment, or natural resources, or to use, handling, storage, manufacturing, transportation, treatment, discharge, disposal or release of hazardous or toxic substances or wastes, pollutants or contaminants (</w:t>
      </w:r>
      <w:r>
        <w:rPr>
          <w:rFonts w:ascii="Times New Roman" w:cs="Times New Roman" w:eastAsia="Times New Roman" w:hAnsi="Times New Roman"/>
          <w:sz w:val="18"/>
          <w:szCs w:val="18"/>
          <w:b w:val="1"/>
          <w:bCs w:val="1"/>
          <w:i w:val="1"/>
          <w:iCs w:val="1"/>
          <w:color w:val="auto"/>
        </w:rPr>
        <w:t>“Environmental Laws”</w:t>
      </w:r>
      <w:r>
        <w:rPr>
          <w:rFonts w:ascii="Times New Roman" w:cs="Times New Roman" w:eastAsia="Times New Roman" w:hAnsi="Times New Roman"/>
          <w:sz w:val="18"/>
          <w:szCs w:val="18"/>
          <w:color w:val="auto"/>
        </w:rPr>
        <w:t>) applicable to such entity, which compliance includes, without limitation, obtaining, maintaining and complying with all permits and authorizations and approvals required by Environmental Laws to conduct their respective businesses, and (ii) have not received written notice or otherwise have knowledge of any actual or alleged violation of Environmental Laws, or of any actual or potential liability for or other obligation concerning the presence, disposal or release of hazardous or toxic substances or wastes, pollutants or contaminants, except in the case of clauses (i) and (ii), to the extent any such non-compliance, violation, liability or other obligation would not, individually or in the aggregate, reasonably be expected to have a Material Adverse Effect. Except as described in the Registration Statement and the Prospectus, (x) there are no proceedings that are pending, or to the Company’s knowledge, threatened, against the Company or its subsidiary under Environmental Laws in which a governmental authority is also a party, other than such proceedings regarding which it is reasonably believed no monetary sanctions of $100,000 or more will be imposed, (y) the Company and its subsidiary are not aware of any issues regarding compliance with Environmental Laws, including any pending or proposed Environmental Laws, or liabilities or other obligations under Environmental Laws or concerning hazardous or toxic substances or wastes, pollutants or contaminants, that would reasonably be expected to have a Material Adverse Effect, and (z) none of the Company and its subsidiary anticipates material capital expenditures relating to Environmental Laws.</w:t>
      </w:r>
    </w:p>
    <w:p>
      <w:pPr>
        <w:spacing w:after="0" w:line="188" w:lineRule="exact"/>
        <w:rPr>
          <w:rFonts w:ascii="Times New Roman" w:cs="Times New Roman" w:eastAsia="Times New Roman" w:hAnsi="Times New Roman"/>
          <w:sz w:val="18"/>
          <w:szCs w:val="18"/>
          <w:color w:val="auto"/>
        </w:rPr>
      </w:pPr>
    </w:p>
    <w:p>
      <w:pPr>
        <w:ind w:left="4" w:right="80" w:firstLine="1428"/>
        <w:spacing w:after="0" w:line="258" w:lineRule="auto"/>
        <w:tabs>
          <w:tab w:leader="none" w:pos="202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The Company and its subsidiary have filed all federal, state, local and foreign tax returns required to be filed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date hereof, subject to permitted extensions, and have paid all taxes due except where the failure to file or pay would not, individually or in the aggregate, reasonably be expected to have a Material Adverse Effect, and no tax deficiency has been determined adversely to the Company or its subsidiary, nor does the Company have any knowledge of any tax deficiencies that have been, or would reasonably be expected to be asserted against the Company, that would, in the aggregate, reasonably be expected to have a Material Adverse Effect.</w:t>
      </w:r>
    </w:p>
    <w:p>
      <w:pPr>
        <w:spacing w:after="0" w:line="183" w:lineRule="exact"/>
        <w:rPr>
          <w:rFonts w:ascii="Times New Roman" w:cs="Times New Roman" w:eastAsia="Times New Roman" w:hAnsi="Times New Roman"/>
          <w:sz w:val="18"/>
          <w:szCs w:val="18"/>
          <w:color w:val="auto"/>
        </w:rPr>
      </w:pPr>
    </w:p>
    <w:p>
      <w:pPr>
        <w:ind w:left="4" w:firstLine="1428"/>
        <w:spacing w:after="0" w:line="261" w:lineRule="auto"/>
        <w:tabs>
          <w:tab w:leader="none" w:pos="201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ERISA Compliance</w:t>
      </w:r>
      <w:r>
        <w:rPr>
          <w:rFonts w:ascii="Times New Roman" w:cs="Times New Roman" w:eastAsia="Times New Roman" w:hAnsi="Times New Roman"/>
          <w:sz w:val="18"/>
          <w:szCs w:val="18"/>
          <w:color w:val="auto"/>
        </w:rPr>
        <w:t>. (i) Each “employee benefit plan” (within the meaning of Section 3(3) of the Employee Retirement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Act of 1974, as amended (</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xml:space="preserve">)) for which the Company or any member of its “Controlled Group” (defined as any organization which is a member of a controlled group of corporations within the meaning of Section 414 of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xml:space="preserve">)) would have any liability (each a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has been maintained in compliance in all material respects with its</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80" w:name="page81"/>
    <w:bookmarkEnd w:id="80"/>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terms and with the requirements of all applicable statutes, rules and regulations including ERISA and the Code; (ii) no prohibited transaction, within the meaning of Section 406 of ERISA or Section 4975 of the Code, has occurred with respect to any Plan excluding transactions effected pursuant to a statutory or administrative exemption; (iii) with respect to each Plan subject to Title IV of ERISA (A) no “reportable event” (within the meaning of Section 4043(c) of ERISA) has occurred or is reasonably expected to occur that would result in a material loss to the Company, (B) no “accumulated funding deficiency” (within the meaning of Section 302 of ERISA or Section 412 of the Code), whether or not waived, has occurred or is reasonably expected to occur, (C) the fair market value of the assets under each Plan that is required to be funded exceeds the present value of all benefits accrued under such Plan (determined based on those assumptions used to fund such Plan), and (D) neither the Company or any member of its Controlled Group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4001(c)(3) of ERISA); and (iv) each Plan that is intended to be qualified under Section 401(a) of the Code is so qualified and nothing has occurred, to the Company’s knowledge, whether by action or by failure to act, which would cause the loss of such qualification.</w:t>
      </w:r>
    </w:p>
    <w:p>
      <w:pPr>
        <w:spacing w:after="0" w:line="190" w:lineRule="exact"/>
        <w:rPr>
          <w:sz w:val="20"/>
          <w:szCs w:val="20"/>
          <w:color w:val="auto"/>
        </w:rPr>
      </w:pPr>
    </w:p>
    <w:p>
      <w:pPr>
        <w:ind w:right="120" w:firstLine="1428"/>
        <w:spacing w:after="0" w:line="267" w:lineRule="auto"/>
        <w:tabs>
          <w:tab w:leader="none" w:pos="195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Accuracy of Statistical and Market Data</w:t>
      </w:r>
      <w:r>
        <w:rPr>
          <w:rFonts w:ascii="Times New Roman" w:cs="Times New Roman" w:eastAsia="Times New Roman" w:hAnsi="Times New Roman"/>
          <w:sz w:val="18"/>
          <w:szCs w:val="18"/>
          <w:color w:val="auto"/>
        </w:rPr>
        <w:t>. The statistical and market-related data included in the Registration Statement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Prospectus and the consolidated financial statements of the Company and its subsidiary included or incorporated by reference in the Registration Statement and the Prospectus are based on or derived from sources that the Company believes to be reliable in all material respects.</w:t>
      </w:r>
    </w:p>
    <w:p>
      <w:pPr>
        <w:spacing w:after="0" w:line="173" w:lineRule="exact"/>
        <w:rPr>
          <w:rFonts w:ascii="Times New Roman" w:cs="Times New Roman" w:eastAsia="Times New Roman" w:hAnsi="Times New Roman"/>
          <w:sz w:val="18"/>
          <w:szCs w:val="18"/>
          <w:color w:val="auto"/>
        </w:rPr>
      </w:pPr>
    </w:p>
    <w:p>
      <w:pPr>
        <w:ind w:right="100" w:firstLine="1428"/>
        <w:spacing w:after="0" w:line="258" w:lineRule="auto"/>
        <w:tabs>
          <w:tab w:leader="none" w:pos="200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 an Investment Company</w:t>
      </w:r>
      <w:r>
        <w:rPr>
          <w:rFonts w:ascii="Times New Roman" w:cs="Times New Roman" w:eastAsia="Times New Roman" w:hAnsi="Times New Roman"/>
          <w:sz w:val="18"/>
          <w:szCs w:val="18"/>
          <w:color w:val="auto"/>
        </w:rPr>
        <w:t>. Neither the Company nor its subsidiary is, and as of the applicable Settlement Date and,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giving effect to the offer and sale of the Shares and the application of the proceeds therefrom as described under “Use of Proceeds” in the Registration Statement and the Prospectus, none of them will be, (i) an “investment company” or a company “controlled” by an “investment company” within the meaning of the Investment Company Act of 1940, as amended (the </w:t>
      </w:r>
      <w:r>
        <w:rPr>
          <w:rFonts w:ascii="Times New Roman" w:cs="Times New Roman" w:eastAsia="Times New Roman" w:hAnsi="Times New Roman"/>
          <w:sz w:val="18"/>
          <w:szCs w:val="18"/>
          <w:b w:val="1"/>
          <w:bCs w:val="1"/>
          <w:i w:val="1"/>
          <w:iCs w:val="1"/>
          <w:color w:val="auto"/>
        </w:rPr>
        <w:t>“Investment Company Act”</w:t>
      </w:r>
      <w:r>
        <w:rPr>
          <w:rFonts w:ascii="Times New Roman" w:cs="Times New Roman" w:eastAsia="Times New Roman" w:hAnsi="Times New Roman"/>
          <w:sz w:val="18"/>
          <w:szCs w:val="18"/>
          <w:color w:val="auto"/>
        </w:rPr>
        <w:t>), and the rules and regulations of the Commission thereunder, or (ii) a “business development company” (as defined in Section 2(a)(48) of the Investment Company Act).</w:t>
      </w:r>
    </w:p>
    <w:p>
      <w:pPr>
        <w:spacing w:after="0" w:line="183" w:lineRule="exact"/>
        <w:rPr>
          <w:rFonts w:ascii="Times New Roman" w:cs="Times New Roman" w:eastAsia="Times New Roman" w:hAnsi="Times New Roman"/>
          <w:sz w:val="18"/>
          <w:szCs w:val="18"/>
          <w:color w:val="auto"/>
        </w:rPr>
      </w:pPr>
    </w:p>
    <w:p>
      <w:pPr>
        <w:ind w:right="240" w:firstLine="1428"/>
        <w:spacing w:after="0" w:line="261" w:lineRule="auto"/>
        <w:tabs>
          <w:tab w:leader="none" w:pos="205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Accuracy of Certain Summaries and Statements</w:t>
      </w:r>
      <w:r>
        <w:rPr>
          <w:rFonts w:ascii="Times New Roman" w:cs="Times New Roman" w:eastAsia="Times New Roman" w:hAnsi="Times New Roman"/>
          <w:sz w:val="18"/>
          <w:szCs w:val="18"/>
          <w:color w:val="auto"/>
        </w:rPr>
        <w:t>. The statements set forth or incorporated by reference, as applicable,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of the Registration Statement and the Prospectus under the captions “Description of Capital Stock,” “Legal Proceedings” and “Certain Relationships and Related Transactions, and Director Independence”, insofar as they purport to summarize the provisions of the laws and documents referred to therein, are accurate summaries in all material respects.</w:t>
      </w:r>
    </w:p>
    <w:p>
      <w:pPr>
        <w:spacing w:after="0" w:line="179" w:lineRule="exact"/>
        <w:rPr>
          <w:rFonts w:ascii="Times New Roman" w:cs="Times New Roman" w:eastAsia="Times New Roman" w:hAnsi="Times New Roman"/>
          <w:sz w:val="18"/>
          <w:szCs w:val="18"/>
          <w:color w:val="auto"/>
        </w:rPr>
      </w:pPr>
    </w:p>
    <w:p>
      <w:pPr>
        <w:ind w:right="600" w:firstLine="1428"/>
        <w:spacing w:after="0" w:line="261" w:lineRule="auto"/>
        <w:tabs>
          <w:tab w:leader="none" w:pos="210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Rights</w:t>
      </w:r>
      <w:r>
        <w:rPr>
          <w:rFonts w:ascii="Times New Roman" w:cs="Times New Roman" w:eastAsia="Times New Roman" w:hAnsi="Times New Roman"/>
          <w:sz w:val="18"/>
          <w:szCs w:val="18"/>
          <w:color w:val="auto"/>
        </w:rPr>
        <w:t>. Except as disclosed in the Registration Statement and the Prospectus, there are no contracts,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or understandings between the Company and any person granting such person the right to require the Company to file a registration statement under the Securities Act with respect to any securities of the Company owned or to be owned by such person. There are no contracts, agreements or understandings to</w:t>
      </w:r>
    </w:p>
    <w:p>
      <w:pPr>
        <w:spacing w:after="0" w:line="1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440" w:top="270" w:right="5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require the Company to include any such securities in the securities proposed to be offered pursuant to this Agreement, except as have been waived.</w:t>
      </w:r>
    </w:p>
    <w:p>
      <w:pPr>
        <w:spacing w:after="0" w:line="223" w:lineRule="exact"/>
        <w:rPr>
          <w:sz w:val="20"/>
          <w:szCs w:val="20"/>
          <w:color w:val="auto"/>
        </w:rPr>
      </w:pPr>
    </w:p>
    <w:p>
      <w:pPr>
        <w:ind w:right="180" w:firstLine="1428"/>
        <w:spacing w:after="0" w:line="267" w:lineRule="auto"/>
        <w:tabs>
          <w:tab w:leader="none" w:pos="200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Other Brokers</w:t>
      </w:r>
      <w:r>
        <w:rPr>
          <w:rFonts w:ascii="Times New Roman" w:cs="Times New Roman" w:eastAsia="Times New Roman" w:hAnsi="Times New Roman"/>
          <w:sz w:val="18"/>
          <w:szCs w:val="18"/>
          <w:color w:val="auto"/>
        </w:rPr>
        <w:t>. Neither the Company nor its subsidiary is a party to any contract, agreement or understanding with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(other than this Agreement) that would give rise to a valid claim against any of them or the Agent for a brokerage commission, finder’s fee or like payment in connection with the offering and sale of the Shares.</w:t>
      </w:r>
    </w:p>
    <w:p>
      <w:pPr>
        <w:spacing w:after="0" w:line="173" w:lineRule="exact"/>
        <w:rPr>
          <w:sz w:val="20"/>
          <w:szCs w:val="20"/>
          <w:color w:val="auto"/>
        </w:rPr>
      </w:pPr>
    </w:p>
    <w:p>
      <w:pPr>
        <w:ind w:right="420" w:firstLine="1432"/>
        <w:spacing w:after="0" w:line="284" w:lineRule="auto"/>
        <w:rPr>
          <w:sz w:val="20"/>
          <w:szCs w:val="20"/>
          <w:color w:val="auto"/>
        </w:rPr>
      </w:pPr>
      <w:r>
        <w:rPr>
          <w:rFonts w:ascii="Times New Roman" w:cs="Times New Roman" w:eastAsia="Times New Roman" w:hAnsi="Times New Roman"/>
          <w:sz w:val="18"/>
          <w:szCs w:val="18"/>
          <w:color w:val="auto"/>
        </w:rPr>
        <w:t xml:space="preserve">(xl) </w:t>
      </w:r>
      <w:r>
        <w:rPr>
          <w:rFonts w:ascii="Times New Roman" w:cs="Times New Roman" w:eastAsia="Times New Roman" w:hAnsi="Times New Roman"/>
          <w:sz w:val="18"/>
          <w:szCs w:val="18"/>
          <w:i w:val="1"/>
          <w:iCs w:val="1"/>
          <w:color w:val="auto"/>
        </w:rPr>
        <w:t>No Integration</w:t>
      </w:r>
      <w:r>
        <w:rPr>
          <w:rFonts w:ascii="Times New Roman" w:cs="Times New Roman" w:eastAsia="Times New Roman" w:hAnsi="Times New Roman"/>
          <w:sz w:val="18"/>
          <w:szCs w:val="18"/>
          <w:color w:val="auto"/>
        </w:rPr>
        <w:t>. The Company has not sold or issued any securities that would be integrated with the offering of the Shares contemplated by this Agreement pursuant to the Securities Act or the interpretations thereof by the Commission.</w:t>
      </w:r>
    </w:p>
    <w:p>
      <w:pPr>
        <w:spacing w:after="0" w:line="158" w:lineRule="exact"/>
        <w:rPr>
          <w:sz w:val="20"/>
          <w:szCs w:val="20"/>
          <w:color w:val="auto"/>
        </w:rPr>
      </w:pPr>
    </w:p>
    <w:p>
      <w:pPr>
        <w:ind w:right="40" w:firstLine="1432"/>
        <w:spacing w:after="0" w:line="267" w:lineRule="auto"/>
        <w:rPr>
          <w:sz w:val="20"/>
          <w:szCs w:val="20"/>
          <w:color w:val="auto"/>
        </w:rPr>
      </w:pPr>
      <w:r>
        <w:rPr>
          <w:rFonts w:ascii="Times New Roman" w:cs="Times New Roman" w:eastAsia="Times New Roman" w:hAnsi="Times New Roman"/>
          <w:sz w:val="18"/>
          <w:szCs w:val="18"/>
          <w:color w:val="auto"/>
        </w:rPr>
        <w:t xml:space="preserve">(xli) </w:t>
      </w:r>
      <w:r>
        <w:rPr>
          <w:rFonts w:ascii="Times New Roman" w:cs="Times New Roman" w:eastAsia="Times New Roman" w:hAnsi="Times New Roman"/>
          <w:sz w:val="18"/>
          <w:szCs w:val="18"/>
          <w:i w:val="1"/>
          <w:iCs w:val="1"/>
          <w:color w:val="auto"/>
        </w:rPr>
        <w:t>Absence of Stabilization or Manipulation</w:t>
      </w:r>
      <w:r>
        <w:rPr>
          <w:rFonts w:ascii="Times New Roman" w:cs="Times New Roman" w:eastAsia="Times New Roman" w:hAnsi="Times New Roman"/>
          <w:sz w:val="18"/>
          <w:szCs w:val="18"/>
          <w:color w:val="auto"/>
        </w:rPr>
        <w:t>. The Company and its affiliates have not taken, directly or indirectly, any action designed to or that has constituted or that could reasonably be expected to cause or result in the stabilization or manipulation of the price of any security of the Company in connection with the offering of the Shares.</w:t>
      </w:r>
    </w:p>
    <w:p>
      <w:pPr>
        <w:spacing w:after="0" w:line="173" w:lineRule="exact"/>
        <w:rPr>
          <w:sz w:val="20"/>
          <w:szCs w:val="20"/>
          <w:color w:val="auto"/>
        </w:rPr>
      </w:pPr>
    </w:p>
    <w:p>
      <w:pPr>
        <w:ind w:right="100" w:firstLine="1432"/>
        <w:spacing w:after="0" w:line="261" w:lineRule="auto"/>
        <w:rPr>
          <w:sz w:val="20"/>
          <w:szCs w:val="20"/>
          <w:color w:val="auto"/>
        </w:rPr>
      </w:pPr>
      <w:r>
        <w:rPr>
          <w:rFonts w:ascii="Times New Roman" w:cs="Times New Roman" w:eastAsia="Times New Roman" w:hAnsi="Times New Roman"/>
          <w:sz w:val="18"/>
          <w:szCs w:val="18"/>
          <w:color w:val="auto"/>
        </w:rPr>
        <w:t xml:space="preserve">(xlii) </w:t>
      </w:r>
      <w:r>
        <w:rPr>
          <w:rFonts w:ascii="Times New Roman" w:cs="Times New Roman" w:eastAsia="Times New Roman" w:hAnsi="Times New Roman"/>
          <w:sz w:val="18"/>
          <w:szCs w:val="18"/>
          <w:i w:val="1"/>
          <w:iCs w:val="1"/>
          <w:color w:val="auto"/>
        </w:rPr>
        <w:t>Exchange Act Registration and Listing of the Common Stock</w:t>
      </w:r>
      <w:r>
        <w:rPr>
          <w:rFonts w:ascii="Times New Roman" w:cs="Times New Roman" w:eastAsia="Times New Roman" w:hAnsi="Times New Roman"/>
          <w:sz w:val="18"/>
          <w:szCs w:val="18"/>
          <w:color w:val="auto"/>
        </w:rPr>
        <w:t>. The shares of Common Stock are registered pursuant to Section 12(b) of the Exchange Act and listed on the Exchange; the Company has taken no action designed to, or reasonably likely to have the effect of, terminating the registration of the Common Stock under the Exchange Act or delisting the Common Stock from the Exchange, nor has the Company received any notification that the Commission or the Exchange is contemplating terminating such registration or listing.</w:t>
      </w:r>
    </w:p>
    <w:p>
      <w:pPr>
        <w:spacing w:after="0" w:line="180" w:lineRule="exact"/>
        <w:rPr>
          <w:sz w:val="20"/>
          <w:szCs w:val="20"/>
          <w:color w:val="auto"/>
        </w:rPr>
      </w:pPr>
    </w:p>
    <w:p>
      <w:pPr>
        <w:ind w:firstLine="1432"/>
        <w:spacing w:after="0" w:line="267" w:lineRule="auto"/>
        <w:rPr>
          <w:sz w:val="20"/>
          <w:szCs w:val="20"/>
          <w:color w:val="auto"/>
        </w:rPr>
      </w:pPr>
      <w:r>
        <w:rPr>
          <w:rFonts w:ascii="Times New Roman" w:cs="Times New Roman" w:eastAsia="Times New Roman" w:hAnsi="Times New Roman"/>
          <w:sz w:val="18"/>
          <w:szCs w:val="18"/>
          <w:color w:val="auto"/>
        </w:rPr>
        <w:t xml:space="preserve">(xliii) </w:t>
      </w:r>
      <w:r>
        <w:rPr>
          <w:rFonts w:ascii="Times New Roman" w:cs="Times New Roman" w:eastAsia="Times New Roman" w:hAnsi="Times New Roman"/>
          <w:sz w:val="18"/>
          <w:szCs w:val="18"/>
          <w:i w:val="1"/>
          <w:iCs w:val="1"/>
          <w:color w:val="auto"/>
        </w:rPr>
        <w:t>Offering Material</w:t>
      </w:r>
      <w:r>
        <w:rPr>
          <w:rFonts w:ascii="Times New Roman" w:cs="Times New Roman" w:eastAsia="Times New Roman" w:hAnsi="Times New Roman"/>
          <w:sz w:val="18"/>
          <w:szCs w:val="18"/>
          <w:color w:val="auto"/>
        </w:rPr>
        <w:t>. The Company has not distributed and prior to any Settlement Date, will not distribute any offering material in connection with any Placement (as defined in Section 2(a)(i) below), other than the Prospectus and any Permitted Free Writing Prospectus to which the Agent has consented.</w:t>
      </w:r>
    </w:p>
    <w:p>
      <w:pPr>
        <w:spacing w:after="0" w:line="173" w:lineRule="exact"/>
        <w:rPr>
          <w:sz w:val="20"/>
          <w:szCs w:val="20"/>
          <w:color w:val="auto"/>
        </w:rPr>
      </w:pPr>
    </w:p>
    <w:p>
      <w:pPr>
        <w:ind w:right="140" w:firstLine="1432"/>
        <w:spacing w:after="0" w:line="261" w:lineRule="auto"/>
        <w:rPr>
          <w:sz w:val="20"/>
          <w:szCs w:val="20"/>
          <w:color w:val="auto"/>
        </w:rPr>
      </w:pPr>
      <w:r>
        <w:rPr>
          <w:rFonts w:ascii="Times New Roman" w:cs="Times New Roman" w:eastAsia="Times New Roman" w:hAnsi="Times New Roman"/>
          <w:sz w:val="18"/>
          <w:szCs w:val="18"/>
          <w:color w:val="auto"/>
        </w:rPr>
        <w:t xml:space="preserve">(xliv) </w:t>
      </w:r>
      <w:r>
        <w:rPr>
          <w:rFonts w:ascii="Times New Roman" w:cs="Times New Roman" w:eastAsia="Times New Roman" w:hAnsi="Times New Roman"/>
          <w:sz w:val="18"/>
          <w:szCs w:val="18"/>
          <w:i w:val="1"/>
          <w:iCs w:val="1"/>
          <w:color w:val="auto"/>
        </w:rPr>
        <w:t>Compliance with Labor Laws</w:t>
      </w:r>
      <w:r>
        <w:rPr>
          <w:rFonts w:ascii="Times New Roman" w:cs="Times New Roman" w:eastAsia="Times New Roman" w:hAnsi="Times New Roman"/>
          <w:sz w:val="18"/>
          <w:szCs w:val="18"/>
          <w:color w:val="auto"/>
        </w:rPr>
        <w:t>. Neither the Company nor any subsidiary is in violation of or has received notice of any violation with respect to any federal or state law relating to discrimination in the hiring, promotion or pay of employees, nor any applicable federal or state wage and hour laws, nor any state law precluding the denial of credit due to the neighborhood in which a property is situated, the violation of any of which could reasonably be expected to have a Material Adverse Effect.</w:t>
      </w:r>
    </w:p>
    <w:p>
      <w:pPr>
        <w:spacing w:after="0" w:line="180" w:lineRule="exact"/>
        <w:rPr>
          <w:sz w:val="20"/>
          <w:szCs w:val="20"/>
          <w:color w:val="auto"/>
        </w:rPr>
      </w:pPr>
    </w:p>
    <w:p>
      <w:pPr>
        <w:ind w:right="140" w:firstLine="1432"/>
        <w:spacing w:after="0" w:line="273" w:lineRule="auto"/>
        <w:rPr>
          <w:sz w:val="20"/>
          <w:szCs w:val="20"/>
          <w:color w:val="auto"/>
        </w:rPr>
      </w:pPr>
      <w:r>
        <w:rPr>
          <w:rFonts w:ascii="Times New Roman" w:cs="Times New Roman" w:eastAsia="Times New Roman" w:hAnsi="Times New Roman"/>
          <w:sz w:val="17"/>
          <w:szCs w:val="17"/>
          <w:color w:val="auto"/>
        </w:rPr>
        <w:t xml:space="preserve">(xlv) </w:t>
      </w:r>
      <w:r>
        <w:rPr>
          <w:rFonts w:ascii="Times New Roman" w:cs="Times New Roman" w:eastAsia="Times New Roman" w:hAnsi="Times New Roman"/>
          <w:sz w:val="17"/>
          <w:szCs w:val="17"/>
          <w:i w:val="1"/>
          <w:iCs w:val="1"/>
          <w:color w:val="auto"/>
        </w:rPr>
        <w:t>No Unlawful Payments</w:t>
      </w:r>
      <w:r>
        <w:rPr>
          <w:rFonts w:ascii="Times New Roman" w:cs="Times New Roman" w:eastAsia="Times New Roman" w:hAnsi="Times New Roman"/>
          <w:sz w:val="17"/>
          <w:szCs w:val="17"/>
          <w:color w:val="auto"/>
        </w:rPr>
        <w:t>. Neither the Company nor its subsidiary, nor, to the knowledge of the Company, any director, officer, agent, employee or other person acting on behalf of the Company or its subsidiary, has (i) used any corporate funds for any unlawful contribution, gift, entertainment or other unlawful expense relating to political activity; (ii) made any direct or indirect unlawful payment to any foreign or domestic government official or employee from corporate funds; (iii) violated or is in violation of any provision of the U.S. Foreign Corrupt Practices Act of 1977, the Organization for Economic Co-operation and Development Convention on Bribery of Foreign Public Officials in International Business Transactions, and the rules and regulations thereunder and any other similar foreign or domestic law or regulation; or (iv) made any bribe, rebate, payoff, influence payment, kickback or other unlawful payment. The Company has instituted and maintains policies and procedures designed</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70" w:right="4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ensure continued compliance with the laws and regulations referenced in clause (iii) of this paragraph.</w:t>
      </w:r>
    </w:p>
    <w:p>
      <w:pPr>
        <w:spacing w:after="0" w:line="223" w:lineRule="exact"/>
        <w:rPr>
          <w:sz w:val="20"/>
          <w:szCs w:val="20"/>
          <w:color w:val="auto"/>
        </w:rPr>
      </w:pPr>
    </w:p>
    <w:p>
      <w:pPr>
        <w:ind w:right="20" w:firstLine="1432"/>
        <w:spacing w:after="0" w:line="257" w:lineRule="auto"/>
        <w:rPr>
          <w:sz w:val="20"/>
          <w:szCs w:val="20"/>
          <w:color w:val="auto"/>
        </w:rPr>
      </w:pPr>
      <w:r>
        <w:rPr>
          <w:rFonts w:ascii="Times New Roman" w:cs="Times New Roman" w:eastAsia="Times New Roman" w:hAnsi="Times New Roman"/>
          <w:sz w:val="18"/>
          <w:szCs w:val="18"/>
          <w:color w:val="auto"/>
        </w:rPr>
        <w:t xml:space="preserve">(xlvi) </w:t>
      </w:r>
      <w:r>
        <w:rPr>
          <w:rFonts w:ascii="Times New Roman" w:cs="Times New Roman" w:eastAsia="Times New Roman" w:hAnsi="Times New Roman"/>
          <w:sz w:val="18"/>
          <w:szCs w:val="18"/>
          <w:i w:val="1"/>
          <w:iCs w:val="1"/>
          <w:color w:val="auto"/>
        </w:rPr>
        <w:t>Anti-Money Laundering Compliance</w:t>
      </w:r>
      <w:r>
        <w:rPr>
          <w:rFonts w:ascii="Times New Roman" w:cs="Times New Roman" w:eastAsia="Times New Roman" w:hAnsi="Times New Roman"/>
          <w:sz w:val="18"/>
          <w:szCs w:val="18"/>
          <w:color w:val="auto"/>
        </w:rPr>
        <w:t xml:space="preserve">. The operations of the Company and its subsidiary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applicable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i w:val="1"/>
          <w:iCs w:val="1"/>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its subsidiary with respect to the Money Laundering Laws is pending or, to the knowledge of the Company, threatened.</w:t>
      </w:r>
    </w:p>
    <w:p>
      <w:pPr>
        <w:spacing w:after="0" w:line="18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(xlvii) </w:t>
      </w:r>
      <w:r>
        <w:rPr>
          <w:rFonts w:ascii="Times New Roman" w:cs="Times New Roman" w:eastAsia="Times New Roman" w:hAnsi="Times New Roman"/>
          <w:sz w:val="18"/>
          <w:szCs w:val="18"/>
          <w:i w:val="1"/>
          <w:iCs w:val="1"/>
          <w:color w:val="auto"/>
        </w:rPr>
        <w:t>OFAC</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500" w:firstLine="1979"/>
        <w:spacing w:after="0" w:line="266" w:lineRule="auto"/>
        <w:tabs>
          <w:tab w:leader="none" w:pos="227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its subsidiary, nor any or their directors, officers or employees, nor, to the Company’s knowledge, any agent, affiliate or representative of the Company or its subsidiary, is an individual or entity that is, or is owned or controlled by an individual or entity that is:</w:t>
      </w:r>
    </w:p>
    <w:p>
      <w:pPr>
        <w:spacing w:after="0" w:line="67" w:lineRule="exact"/>
        <w:rPr>
          <w:rFonts w:ascii="Times New Roman" w:cs="Times New Roman" w:eastAsia="Times New Roman" w:hAnsi="Times New Roman"/>
          <w:sz w:val="18"/>
          <w:szCs w:val="18"/>
          <w:color w:val="auto"/>
        </w:rPr>
      </w:pPr>
    </w:p>
    <w:p>
      <w:pPr>
        <w:ind w:right="300" w:firstLine="2419"/>
        <w:spacing w:after="0" w:line="266" w:lineRule="auto"/>
        <w:tabs>
          <w:tab w:leader="none" w:pos="267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any sanctions administered or enforced by the U.S. Department of Treasury’s Office of Foreign Assets Control, the United Nations Security Council, the European Union, His Majesty’s Treasury, or other relevant sanctions authority (collectively, “</w:t>
      </w:r>
      <w:r>
        <w:rPr>
          <w:rFonts w:ascii="Times New Roman" w:cs="Times New Roman" w:eastAsia="Times New Roman" w:hAnsi="Times New Roman"/>
          <w:sz w:val="18"/>
          <w:szCs w:val="18"/>
          <w:b w:val="1"/>
          <w:bCs w:val="1"/>
          <w:i w:val="1"/>
          <w:iCs w:val="1"/>
          <w:color w:val="auto"/>
        </w:rPr>
        <w:t>Sanctions</w:t>
      </w:r>
      <w:r>
        <w:rPr>
          <w:rFonts w:ascii="Times New Roman" w:cs="Times New Roman" w:eastAsia="Times New Roman" w:hAnsi="Times New Roman"/>
          <w:sz w:val="18"/>
          <w:szCs w:val="18"/>
          <w:color w:val="auto"/>
        </w:rPr>
        <w:t>”), nor</w:t>
      </w:r>
    </w:p>
    <w:p>
      <w:pPr>
        <w:spacing w:after="0" w:line="175" w:lineRule="exact"/>
        <w:rPr>
          <w:rFonts w:ascii="Times New Roman" w:cs="Times New Roman" w:eastAsia="Times New Roman" w:hAnsi="Times New Roman"/>
          <w:sz w:val="18"/>
          <w:szCs w:val="18"/>
          <w:color w:val="auto"/>
        </w:rPr>
      </w:pPr>
    </w:p>
    <w:p>
      <w:pPr>
        <w:ind w:right="40" w:firstLine="2419"/>
        <w:spacing w:after="0" w:line="282" w:lineRule="auto"/>
        <w:tabs>
          <w:tab w:leader="none" w:pos="267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organized or resident in a country or territory that is the subject of Sanctions (including, without limitation, Cuba, Iran, North Korea, Sudan, Syria and the Crimea region of Ukraine claimed by Russia).</w:t>
      </w:r>
    </w:p>
    <w:p>
      <w:pPr>
        <w:spacing w:after="0" w:line="161" w:lineRule="exact"/>
        <w:rPr>
          <w:rFonts w:ascii="Times New Roman" w:cs="Times New Roman" w:eastAsia="Times New Roman" w:hAnsi="Times New Roman"/>
          <w:sz w:val="18"/>
          <w:szCs w:val="18"/>
          <w:color w:val="auto"/>
        </w:rPr>
      </w:pPr>
    </w:p>
    <w:p>
      <w:pPr>
        <w:ind w:right="80" w:firstLine="1979"/>
        <w:spacing w:after="0" w:line="282" w:lineRule="auto"/>
        <w:tabs>
          <w:tab w:leader="none" w:pos="226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its subsidiary will, directly or indirectly, use the proceeds of the offering, or lend, contribute or otherwise make available such proceeds to any subsidiary, joint venture partner or other individual or entity:</w:t>
      </w:r>
    </w:p>
    <w:p>
      <w:pPr>
        <w:spacing w:after="0" w:line="53" w:lineRule="exact"/>
        <w:rPr>
          <w:rFonts w:ascii="Times New Roman" w:cs="Times New Roman" w:eastAsia="Times New Roman" w:hAnsi="Times New Roman"/>
          <w:sz w:val="18"/>
          <w:szCs w:val="18"/>
          <w:color w:val="auto"/>
        </w:rPr>
      </w:pPr>
    </w:p>
    <w:p>
      <w:pPr>
        <w:ind w:right="160" w:firstLine="2419"/>
        <w:spacing w:after="0" w:line="282" w:lineRule="auto"/>
        <w:tabs>
          <w:tab w:leader="none" w:pos="267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activities or business of or with any individual or entity or in any country or territory that, at the time of such funding or facilitation, is the subject of Sanctions; or</w:t>
      </w:r>
    </w:p>
    <w:p>
      <w:pPr>
        <w:spacing w:after="0" w:line="161" w:lineRule="exact"/>
        <w:rPr>
          <w:rFonts w:ascii="Times New Roman" w:cs="Times New Roman" w:eastAsia="Times New Roman" w:hAnsi="Times New Roman"/>
          <w:sz w:val="18"/>
          <w:szCs w:val="18"/>
          <w:color w:val="auto"/>
        </w:rPr>
      </w:pPr>
    </w:p>
    <w:p>
      <w:pPr>
        <w:ind w:right="60" w:firstLine="2419"/>
        <w:spacing w:after="0" w:line="282" w:lineRule="auto"/>
        <w:tabs>
          <w:tab w:leader="none" w:pos="267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that will result in a violation of Sanctions by any individual or entity (including any individual or entity participating in the offering, whether as underwriter, advisor, investor or otherwise).</w:t>
      </w:r>
    </w:p>
    <w:p>
      <w:pPr>
        <w:spacing w:after="0" w:line="161" w:lineRule="exact"/>
        <w:rPr>
          <w:rFonts w:ascii="Times New Roman" w:cs="Times New Roman" w:eastAsia="Times New Roman" w:hAnsi="Times New Roman"/>
          <w:sz w:val="18"/>
          <w:szCs w:val="18"/>
          <w:color w:val="auto"/>
        </w:rPr>
      </w:pPr>
    </w:p>
    <w:p>
      <w:pPr>
        <w:ind w:firstLine="1979"/>
        <w:spacing w:after="0" w:line="266" w:lineRule="auto"/>
        <w:tabs>
          <w:tab w:leader="none" w:pos="226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past five years, neither the Company nor its subsidiary has knowingly engaged in, and is not now knowingly engaged in, any dealings or transactions with any individual or entity, or in any country or territory, that at the time of the dealing or transaction is or was the subject of Sanctions.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70" w:right="439" w:bottom="1440" w:gutter="0" w:footer="0" w:header="0"/>
        </w:sectPr>
      </w:pPr>
    </w:p>
    <w:bookmarkStart w:id="83" w:name="page84"/>
    <w:bookmarkEnd w:id="83"/>
    <w:p>
      <w:pPr>
        <w:ind w:right="460" w:firstLine="1432"/>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(xlviii) </w:t>
      </w:r>
      <w:r>
        <w:rPr>
          <w:rFonts w:ascii="Times New Roman" w:cs="Times New Roman" w:eastAsia="Times New Roman" w:hAnsi="Times New Roman"/>
          <w:sz w:val="18"/>
          <w:szCs w:val="18"/>
          <w:i w:val="1"/>
          <w:iCs w:val="1"/>
          <w:color w:val="auto"/>
        </w:rPr>
        <w:t>Not a Passive Foreign Investment Company</w:t>
      </w:r>
      <w:r>
        <w:rPr>
          <w:rFonts w:ascii="Times New Roman" w:cs="Times New Roman" w:eastAsia="Times New Roman" w:hAnsi="Times New Roman"/>
          <w:sz w:val="18"/>
          <w:szCs w:val="18"/>
          <w:color w:val="auto"/>
        </w:rPr>
        <w:t>. Subject to the qualifications and assumptions set forth in the Registration Statement, the Company is not, and upon the sale of the Shares contemplated by this Agreement does not expect to become, a “passive foreign investment company” (as defined in Section 1297 of the Code, and the regulations promulgated thereunder).</w:t>
      </w:r>
    </w:p>
    <w:p>
      <w:pPr>
        <w:spacing w:after="0" w:line="173" w:lineRule="exact"/>
        <w:rPr>
          <w:sz w:val="20"/>
          <w:szCs w:val="20"/>
          <w:color w:val="auto"/>
        </w:rPr>
      </w:pPr>
    </w:p>
    <w:p>
      <w:pPr>
        <w:jc w:val="both"/>
        <w:ind w:right="100" w:firstLine="1432"/>
        <w:spacing w:after="0" w:line="267" w:lineRule="auto"/>
        <w:rPr>
          <w:sz w:val="20"/>
          <w:szCs w:val="20"/>
          <w:color w:val="auto"/>
        </w:rPr>
      </w:pPr>
      <w:r>
        <w:rPr>
          <w:rFonts w:ascii="Times New Roman" w:cs="Times New Roman" w:eastAsia="Times New Roman" w:hAnsi="Times New Roman"/>
          <w:sz w:val="18"/>
          <w:szCs w:val="18"/>
          <w:color w:val="auto"/>
        </w:rPr>
        <w:t xml:space="preserve">(xlix) </w:t>
      </w:r>
      <w:r>
        <w:rPr>
          <w:rFonts w:ascii="Times New Roman" w:cs="Times New Roman" w:eastAsia="Times New Roman" w:hAnsi="Times New Roman"/>
          <w:sz w:val="18"/>
          <w:szCs w:val="18"/>
          <w:i w:val="1"/>
          <w:iCs w:val="1"/>
          <w:color w:val="auto"/>
        </w:rPr>
        <w:t>No Taxes or Fees Due Upon Issuance</w:t>
      </w:r>
      <w:r>
        <w:rPr>
          <w:rFonts w:ascii="Times New Roman" w:cs="Times New Roman" w:eastAsia="Times New Roman" w:hAnsi="Times New Roman"/>
          <w:sz w:val="18"/>
          <w:szCs w:val="18"/>
          <w:color w:val="auto"/>
        </w:rPr>
        <w:t>. No stamp, issue, registration, documentary, transfer or other similar taxes and duties, including interest and penalties, are payable on or in connection with the issuance and sale of the Shares by the Company or the execution and delivery of this Agreement.</w:t>
      </w:r>
    </w:p>
    <w:p>
      <w:pPr>
        <w:spacing w:after="0" w:line="173" w:lineRule="exact"/>
        <w:rPr>
          <w:sz w:val="20"/>
          <w:szCs w:val="20"/>
          <w:color w:val="auto"/>
        </w:rPr>
      </w:pPr>
    </w:p>
    <w:p>
      <w:pPr>
        <w:ind w:right="20" w:firstLine="1428"/>
        <w:spacing w:after="0" w:line="267" w:lineRule="auto"/>
        <w:tabs>
          <w:tab w:leader="none" w:pos="164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Immunity</w:t>
      </w:r>
      <w:r>
        <w:rPr>
          <w:rFonts w:ascii="Times New Roman" w:cs="Times New Roman" w:eastAsia="Times New Roman" w:hAnsi="Times New Roman"/>
          <w:sz w:val="18"/>
          <w:szCs w:val="18"/>
          <w:color w:val="auto"/>
        </w:rPr>
        <w:t>. Neither the Company nor its subsidiary, nor any of their respective properties or assets, has any immunity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jurisdiction of any court or from any legal process (whether through service or notice, attachment to prior judgment, attachment in aid of execution or otherwise) under the laws of any jurisdiction in which it is organized, headquartered or doing business.</w:t>
      </w:r>
    </w:p>
    <w:p>
      <w:pPr>
        <w:spacing w:after="0" w:line="173" w:lineRule="exact"/>
        <w:rPr>
          <w:sz w:val="20"/>
          <w:szCs w:val="20"/>
          <w:color w:val="auto"/>
        </w:rPr>
      </w:pPr>
    </w:p>
    <w:p>
      <w:pPr>
        <w:ind w:right="180" w:firstLine="1432"/>
        <w:spacing w:after="0" w:line="284" w:lineRule="auto"/>
        <w:rPr>
          <w:sz w:val="20"/>
          <w:szCs w:val="20"/>
          <w:color w:val="auto"/>
        </w:rPr>
      </w:pPr>
      <w:r>
        <w:rPr>
          <w:rFonts w:ascii="Times New Roman" w:cs="Times New Roman" w:eastAsia="Times New Roman" w:hAnsi="Times New Roman"/>
          <w:sz w:val="18"/>
          <w:szCs w:val="18"/>
          <w:color w:val="auto"/>
        </w:rPr>
        <w:t xml:space="preserve">(li) </w:t>
      </w:r>
      <w:r>
        <w:rPr>
          <w:rFonts w:ascii="Times New Roman" w:cs="Times New Roman" w:eastAsia="Times New Roman" w:hAnsi="Times New Roman"/>
          <w:sz w:val="18"/>
          <w:szCs w:val="18"/>
          <w:i w:val="1"/>
          <w:iCs w:val="1"/>
          <w:color w:val="auto"/>
        </w:rPr>
        <w:t>No Legal, Accounting or Tax Advice</w:t>
      </w:r>
      <w:r>
        <w:rPr>
          <w:rFonts w:ascii="Times New Roman" w:cs="Times New Roman" w:eastAsia="Times New Roman" w:hAnsi="Times New Roman"/>
          <w:sz w:val="18"/>
          <w:szCs w:val="18"/>
          <w:color w:val="auto"/>
        </w:rPr>
        <w:t>. The Company has not relied upon the Agent or legal counsel for the Agent for any legal, tax or accounting advice in connection with the offering and sale of the Shares.</w:t>
      </w:r>
    </w:p>
    <w:p>
      <w:pPr>
        <w:spacing w:after="0" w:line="158" w:lineRule="exact"/>
        <w:rPr>
          <w:sz w:val="20"/>
          <w:szCs w:val="20"/>
          <w:color w:val="auto"/>
        </w:rPr>
      </w:pPr>
    </w:p>
    <w:p>
      <w:pPr>
        <w:jc w:val="both"/>
        <w:ind w:firstLine="1432"/>
        <w:spacing w:after="0" w:line="267" w:lineRule="auto"/>
        <w:rPr>
          <w:sz w:val="20"/>
          <w:szCs w:val="20"/>
          <w:color w:val="auto"/>
        </w:rPr>
      </w:pPr>
      <w:r>
        <w:rPr>
          <w:rFonts w:ascii="Times New Roman" w:cs="Times New Roman" w:eastAsia="Times New Roman" w:hAnsi="Times New Roman"/>
          <w:sz w:val="18"/>
          <w:szCs w:val="18"/>
          <w:color w:val="auto"/>
        </w:rPr>
        <w:t xml:space="preserve">(lii) </w:t>
      </w:r>
      <w:r>
        <w:rPr>
          <w:rFonts w:ascii="Times New Roman" w:cs="Times New Roman" w:eastAsia="Times New Roman" w:hAnsi="Times New Roman"/>
          <w:sz w:val="18"/>
          <w:szCs w:val="18"/>
          <w:i w:val="1"/>
          <w:iCs w:val="1"/>
          <w:color w:val="auto"/>
        </w:rPr>
        <w:t>Certificate as Representation and Warranty</w:t>
      </w:r>
      <w:r>
        <w:rPr>
          <w:rFonts w:ascii="Times New Roman" w:cs="Times New Roman" w:eastAsia="Times New Roman" w:hAnsi="Times New Roman"/>
          <w:sz w:val="18"/>
          <w:szCs w:val="18"/>
          <w:color w:val="auto"/>
        </w:rPr>
        <w:t>. Any certificate signed by any officer of the Company and delivered to the Agent or the Agent’s counsel in connection with the offering of the Shares shall be deemed a representation and warranty by the Company to the Agent as to the matters covered thereby.</w:t>
      </w:r>
    </w:p>
    <w:p>
      <w:pPr>
        <w:spacing w:after="0" w:line="173" w:lineRule="exact"/>
        <w:rPr>
          <w:sz w:val="20"/>
          <w:szCs w:val="20"/>
          <w:color w:val="auto"/>
        </w:rPr>
      </w:pPr>
    </w:p>
    <w:p>
      <w:pPr>
        <w:ind w:right="20" w:firstLine="1432"/>
        <w:spacing w:after="0" w:line="269" w:lineRule="auto"/>
        <w:rPr>
          <w:sz w:val="20"/>
          <w:szCs w:val="20"/>
          <w:color w:val="auto"/>
        </w:rPr>
      </w:pPr>
      <w:r>
        <w:rPr>
          <w:rFonts w:ascii="Times New Roman" w:cs="Times New Roman" w:eastAsia="Times New Roman" w:hAnsi="Times New Roman"/>
          <w:sz w:val="17"/>
          <w:szCs w:val="17"/>
          <w:color w:val="auto"/>
        </w:rPr>
        <w:t xml:space="preserve">(liii) </w:t>
      </w:r>
      <w:r>
        <w:rPr>
          <w:rFonts w:ascii="Times New Roman" w:cs="Times New Roman" w:eastAsia="Times New Roman" w:hAnsi="Times New Roman"/>
          <w:sz w:val="17"/>
          <w:szCs w:val="17"/>
          <w:i w:val="1"/>
          <w:iCs w:val="1"/>
          <w:color w:val="auto"/>
        </w:rPr>
        <w:t>Cybersecurity.</w:t>
      </w:r>
      <w:r>
        <w:rPr>
          <w:rFonts w:ascii="Times New Roman" w:cs="Times New Roman" w:eastAsia="Times New Roman" w:hAnsi="Times New Roman"/>
          <w:sz w:val="17"/>
          <w:szCs w:val="17"/>
          <w:color w:val="auto"/>
        </w:rPr>
        <w:t xml:space="preserve"> The Company and its subsidiary’s information technology assets and equipment, computers, systems, networks, hardware, software, websites, applications, and databases (collectively, “</w:t>
      </w:r>
      <w:r>
        <w:rPr>
          <w:rFonts w:ascii="Times New Roman" w:cs="Times New Roman" w:eastAsia="Times New Roman" w:hAnsi="Times New Roman"/>
          <w:sz w:val="17"/>
          <w:szCs w:val="17"/>
          <w:b w:val="1"/>
          <w:bCs w:val="1"/>
          <w:i w:val="1"/>
          <w:iCs w:val="1"/>
          <w:color w:val="auto"/>
        </w:rPr>
        <w:t>IT Systems</w:t>
      </w:r>
      <w:r>
        <w:rPr>
          <w:rFonts w:ascii="Times New Roman" w:cs="Times New Roman" w:eastAsia="Times New Roman" w:hAnsi="Times New Roman"/>
          <w:sz w:val="17"/>
          <w:szCs w:val="17"/>
          <w:color w:val="auto"/>
        </w:rPr>
        <w:t>”) are adequate for, and operate and perform in all material respects as required in connection with the operation of the business of the Company and its subsidiary as currently conducted, free and clear of all material bugs, errors, defects, Trojan horses, time bombs, malware and other corruptants. The Company and its subsidiary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w:t>
      </w:r>
      <w:r>
        <w:rPr>
          <w:rFonts w:ascii="Times New Roman" w:cs="Times New Roman" w:eastAsia="Times New Roman" w:hAnsi="Times New Roman"/>
          <w:sz w:val="17"/>
          <w:szCs w:val="17"/>
          <w:b w:val="1"/>
          <w:bCs w:val="1"/>
          <w:i w:val="1"/>
          <w:iCs w:val="1"/>
          <w:color w:val="auto"/>
        </w:rPr>
        <w:t>Personal Data</w:t>
      </w:r>
      <w:r>
        <w:rPr>
          <w:rFonts w:ascii="Times New Roman" w:cs="Times New Roman" w:eastAsia="Times New Roman" w:hAnsi="Times New Roman"/>
          <w:sz w:val="17"/>
          <w:szCs w:val="17"/>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 (as defined below); (iv) any information which would qualify as “protected health information” under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17"/>
          <w:szCs w:val="17"/>
          <w:b w:val="1"/>
          <w:bCs w:val="1"/>
          <w:i w:val="1"/>
          <w:iCs w:val="1"/>
          <w:color w:val="auto"/>
        </w:rPr>
        <w:t>HIPAA</w:t>
      </w:r>
      <w:r>
        <w:rPr>
          <w:rFonts w:ascii="Times New Roman" w:cs="Times New Roman" w:eastAsia="Times New Roman" w:hAnsi="Times New Roman"/>
          <w:sz w:val="17"/>
          <w:szCs w:val="17"/>
          <w:color w:val="auto"/>
        </w:rPr>
        <w:t>”); and (v) any other piece of information that allows the identification of such natural person, or his or her family, or permits the collection or analysis of any data related to an identified person’s health or sexual orientation. There have been no breaches, violations,</w:t>
      </w:r>
    </w:p>
    <w:p>
      <w:pPr>
        <w:spacing w:after="0" w:line="1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0"/>
          </w:cols>
          <w:pgMar w:left="440" w:top="268" w:right="499" w:bottom="1440" w:gutter="0" w:footer="0" w:header="0"/>
        </w:sectPr>
      </w:pPr>
    </w:p>
    <w:bookmarkStart w:id="84" w:name="page85"/>
    <w:bookmarkEnd w:id="84"/>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outages or unauthorized uses of or accesses to same, except for those that have been remedied without material cost or liability or the duty to notify any other person, nor any incidents under internal review or investigations relating to the same. The Company and its subsidiary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181" w:lineRule="exact"/>
        <w:rPr>
          <w:sz w:val="20"/>
          <w:szCs w:val="20"/>
          <w:color w:val="auto"/>
        </w:rPr>
      </w:pPr>
    </w:p>
    <w:p>
      <w:pPr>
        <w:ind w:firstLine="1432"/>
        <w:spacing w:after="0" w:line="253" w:lineRule="auto"/>
        <w:rPr>
          <w:sz w:val="20"/>
          <w:szCs w:val="20"/>
          <w:color w:val="auto"/>
        </w:rPr>
      </w:pPr>
      <w:r>
        <w:rPr>
          <w:rFonts w:ascii="Times New Roman" w:cs="Times New Roman" w:eastAsia="Times New Roman" w:hAnsi="Times New Roman"/>
          <w:sz w:val="18"/>
          <w:szCs w:val="18"/>
          <w:color w:val="auto"/>
        </w:rPr>
        <w:t xml:space="preserve">(liv) </w:t>
      </w:r>
      <w:r>
        <w:rPr>
          <w:rFonts w:ascii="Times New Roman" w:cs="Times New Roman" w:eastAsia="Times New Roman" w:hAnsi="Times New Roman"/>
          <w:sz w:val="18"/>
          <w:szCs w:val="18"/>
          <w:i w:val="1"/>
          <w:iCs w:val="1"/>
          <w:color w:val="auto"/>
        </w:rPr>
        <w:t>Compliance with Data Privacy Laws.</w:t>
      </w:r>
      <w:r>
        <w:rPr>
          <w:rFonts w:ascii="Times New Roman" w:cs="Times New Roman" w:eastAsia="Times New Roman" w:hAnsi="Times New Roman"/>
          <w:sz w:val="18"/>
          <w:szCs w:val="18"/>
          <w:color w:val="auto"/>
        </w:rPr>
        <w:t xml:space="preserve"> The Company and its subsidiary are, and at all prior times were, in material compliance with all applicable state and federal data privacy and security laws and regulations, including without limitation HIPAA, and the Company and its subsidiary have taken commercially reasonable actions to prepare to comply with, and since May 25, 2018, have been and currently are in compliance with, the European Union General Data Protection Regulation (“</w:t>
      </w:r>
      <w:r>
        <w:rPr>
          <w:rFonts w:ascii="Times New Roman" w:cs="Times New Roman" w:eastAsia="Times New Roman" w:hAnsi="Times New Roman"/>
          <w:sz w:val="18"/>
          <w:szCs w:val="18"/>
          <w:b w:val="1"/>
          <w:bCs w:val="1"/>
          <w:i w:val="1"/>
          <w:iCs w:val="1"/>
          <w:color w:val="auto"/>
        </w:rPr>
        <w:t>GDPR</w:t>
      </w:r>
      <w:r>
        <w:rPr>
          <w:rFonts w:ascii="Times New Roman" w:cs="Times New Roman" w:eastAsia="Times New Roman" w:hAnsi="Times New Roman"/>
          <w:sz w:val="18"/>
          <w:szCs w:val="18"/>
          <w:color w:val="auto"/>
        </w:rPr>
        <w:t>”) (EU 2016/679) (collectively, the “</w:t>
      </w:r>
      <w:r>
        <w:rPr>
          <w:rFonts w:ascii="Times New Roman" w:cs="Times New Roman" w:eastAsia="Times New Roman" w:hAnsi="Times New Roman"/>
          <w:sz w:val="18"/>
          <w:szCs w:val="18"/>
          <w:b w:val="1"/>
          <w:bCs w:val="1"/>
          <w:i w:val="1"/>
          <w:iCs w:val="1"/>
          <w:color w:val="auto"/>
        </w:rPr>
        <w:t>Privacy Laws</w:t>
      </w:r>
      <w:r>
        <w:rPr>
          <w:rFonts w:ascii="Times New Roman" w:cs="Times New Roman" w:eastAsia="Times New Roman" w:hAnsi="Times New Roman"/>
          <w:sz w:val="18"/>
          <w:szCs w:val="18"/>
          <w:color w:val="auto"/>
        </w:rPr>
        <w:t>”). To ensure compliance with the Privacy Laws, the Company and its subsidiary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Times New Roman" w:cs="Times New Roman" w:eastAsia="Times New Roman" w:hAnsi="Times New Roman"/>
          <w:sz w:val="18"/>
          <w:szCs w:val="18"/>
          <w:b w:val="1"/>
          <w:bCs w:val="1"/>
          <w:i w:val="1"/>
          <w:iCs w:val="1"/>
          <w:color w:val="auto"/>
        </w:rPr>
        <w:t>Policies</w:t>
      </w:r>
      <w:r>
        <w:rPr>
          <w:rFonts w:ascii="Times New Roman" w:cs="Times New Roman" w:eastAsia="Times New Roman" w:hAnsi="Times New Roman"/>
          <w:sz w:val="18"/>
          <w:szCs w:val="18"/>
          <w:color w:val="auto"/>
        </w:rPr>
        <w:t>”). The Company and its subsidiary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spacing w:after="0" w:line="187" w:lineRule="exact"/>
        <w:rPr>
          <w:sz w:val="20"/>
          <w:szCs w:val="20"/>
          <w:color w:val="auto"/>
        </w:rPr>
      </w:pPr>
    </w:p>
    <w:p>
      <w:pPr>
        <w:ind w:right="500" w:firstLine="1432"/>
        <w:spacing w:after="0" w:line="267" w:lineRule="auto"/>
        <w:rPr>
          <w:sz w:val="20"/>
          <w:szCs w:val="20"/>
          <w:color w:val="auto"/>
        </w:rPr>
      </w:pPr>
      <w:r>
        <w:rPr>
          <w:rFonts w:ascii="Times New Roman" w:cs="Times New Roman" w:eastAsia="Times New Roman" w:hAnsi="Times New Roman"/>
          <w:sz w:val="18"/>
          <w:szCs w:val="18"/>
          <w:color w:val="auto"/>
        </w:rPr>
        <w:t xml:space="preserve">(lv) </w:t>
      </w:r>
      <w:r>
        <w:rPr>
          <w:rFonts w:ascii="Times New Roman" w:cs="Times New Roman" w:eastAsia="Times New Roman" w:hAnsi="Times New Roman"/>
          <w:sz w:val="18"/>
          <w:szCs w:val="18"/>
          <w:i w:val="1"/>
          <w:iCs w:val="1"/>
          <w:color w:val="auto"/>
        </w:rPr>
        <w:t>eXtensible Business Reporting Language</w:t>
      </w:r>
      <w:r>
        <w:rPr>
          <w:rFonts w:ascii="Times New Roman" w:cs="Times New Roman" w:eastAsia="Times New Roman" w:hAnsi="Times New Roman"/>
          <w:sz w:val="18"/>
          <w:szCs w:val="18"/>
          <w:color w:val="auto"/>
        </w:rPr>
        <w:t>.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173" w:lineRule="exact"/>
        <w:rPr>
          <w:sz w:val="20"/>
          <w:szCs w:val="20"/>
          <w:color w:val="auto"/>
        </w:rPr>
      </w:pPr>
    </w:p>
    <w:p>
      <w:pPr>
        <w:ind w:right="80" w:firstLine="1432"/>
        <w:spacing w:after="0" w:line="257" w:lineRule="auto"/>
        <w:rPr>
          <w:sz w:val="20"/>
          <w:szCs w:val="20"/>
          <w:color w:val="auto"/>
        </w:rPr>
      </w:pPr>
      <w:r>
        <w:rPr>
          <w:rFonts w:ascii="Times New Roman" w:cs="Times New Roman" w:eastAsia="Times New Roman" w:hAnsi="Times New Roman"/>
          <w:sz w:val="18"/>
          <w:szCs w:val="18"/>
          <w:color w:val="auto"/>
        </w:rPr>
        <w:t xml:space="preserve">(lvi) </w:t>
      </w:r>
      <w:r>
        <w:rPr>
          <w:rFonts w:ascii="Times New Roman" w:cs="Times New Roman" w:eastAsia="Times New Roman" w:hAnsi="Times New Roman"/>
          <w:sz w:val="18"/>
          <w:szCs w:val="18"/>
          <w:i w:val="1"/>
          <w:iCs w:val="1"/>
          <w:color w:val="auto"/>
        </w:rPr>
        <w:t>No Shutdowns or Prohibitions</w:t>
      </w:r>
      <w:r>
        <w:rPr>
          <w:rFonts w:ascii="Times New Roman" w:cs="Times New Roman" w:eastAsia="Times New Roman" w:hAnsi="Times New Roman"/>
          <w:sz w:val="18"/>
          <w:szCs w:val="18"/>
          <w:color w:val="auto"/>
        </w:rPr>
        <w:t>. The Company has not had any product, clinical laboratory or manufacturing site (whether Company-owned or, to the Company’s knowledge, that of a third party manufacturer for the Company’s products) subject to a governmental authority (including FDA) shutdown or import or export prohibition, nor received any FDA Form 483 or other governmental authority notice of inspectional observations, “warning letters,” “untitled letters,” requests to make changes to the Company’s products, processes or operations, or similar correspondence or notice from the FDA or other governmental authority alleging or asserting material noncompliance with any applicable Health Care Laws. To the Company’s knowledge, neither the FDA nor any other governmental authority is considering such action.</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40"/>
          </w:cols>
          <w:pgMar w:left="440" w:top="270" w:right="519" w:bottom="1440" w:gutter="0" w:footer="0" w:header="0"/>
        </w:sectPr>
      </w:pPr>
    </w:p>
    <w:bookmarkStart w:id="85" w:name="page86"/>
    <w:bookmarkEnd w:id="85"/>
    <w:p>
      <w:pPr>
        <w:ind w:right="100" w:firstLine="1432"/>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(lvii) </w:t>
      </w:r>
      <w:r>
        <w:rPr>
          <w:rFonts w:ascii="Times New Roman" w:cs="Times New Roman" w:eastAsia="Times New Roman" w:hAnsi="Times New Roman"/>
          <w:sz w:val="18"/>
          <w:szCs w:val="18"/>
          <w:i w:val="1"/>
          <w:iCs w:val="1"/>
          <w:color w:val="auto"/>
        </w:rPr>
        <w:t>No Safety Notices</w:t>
      </w:r>
      <w:r>
        <w:rPr>
          <w:rFonts w:ascii="Times New Roman" w:cs="Times New Roman" w:eastAsia="Times New Roman" w:hAnsi="Times New Roman"/>
          <w:sz w:val="18"/>
          <w:szCs w:val="18"/>
          <w:color w:val="auto"/>
        </w:rPr>
        <w:t>. (i) Except as disclosed in the Registration Statement and the Prospectus, there have been no recalls, field notifications, field corrections, market withdrawals or replacements, warnings, “dear doctor” letters, investigator notices, safety alerts or other notice of action relating to an alleged lack of safety, efficacy, or regulatory compliance of the Company’s products (“Safety Notices”) and (ii) to the Company’s knowledge, there are no facts that would be reasonably likely to result in (x) a Safety Notice with respect to the Company’s products or services, (y) a change in labeling of any of the Company’s respective products or services, or (z) a termination or suspension of marketing or testing of any of the Company’s products or services.</w:t>
      </w:r>
    </w:p>
    <w:p>
      <w:pPr>
        <w:spacing w:after="0" w:line="180" w:lineRule="exact"/>
        <w:rPr>
          <w:sz w:val="20"/>
          <w:szCs w:val="20"/>
          <w:color w:val="auto"/>
        </w:rPr>
      </w:pPr>
    </w:p>
    <w:p>
      <w:pPr>
        <w:ind w:left="620" w:hanging="184"/>
        <w:spacing w:after="0"/>
        <w:tabs>
          <w:tab w:leader="none" w:pos="620" w:val="left"/>
        </w:tabs>
        <w:numPr>
          <w:ilvl w:val="0"/>
          <w:numId w:val="6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Purchase, Sale and Delivery of Shares.</w:t>
      </w:r>
    </w:p>
    <w:p>
      <w:pPr>
        <w:spacing w:after="0" w:line="227" w:lineRule="exact"/>
        <w:rPr>
          <w:rFonts w:ascii="Times New Roman" w:cs="Times New Roman" w:eastAsia="Times New Roman" w:hAnsi="Times New Roman"/>
          <w:sz w:val="18"/>
          <w:szCs w:val="18"/>
          <w:b w:val="1"/>
          <w:bCs w:val="1"/>
          <w:i w:val="1"/>
          <w:iCs w:val="1"/>
          <w:color w:val="auto"/>
        </w:rPr>
      </w:pPr>
    </w:p>
    <w:p>
      <w:pPr>
        <w:ind w:firstLine="987"/>
        <w:spacing w:after="0" w:line="254" w:lineRule="auto"/>
        <w:tabs>
          <w:tab w:leader="none" w:pos="123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At-the-Market Sales. </w:t>
      </w:r>
      <w:r>
        <w:rPr>
          <w:rFonts w:ascii="Times New Roman" w:cs="Times New Roman" w:eastAsia="Times New Roman" w:hAnsi="Times New Roman"/>
          <w:sz w:val="18"/>
          <w:szCs w:val="18"/>
          <w:color w:val="auto"/>
        </w:rPr>
        <w:t>On the basis of the representations, warranties and agreements herein contained, but subject to the terms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conditions herein set forth, the Company agrees to issue and sell through the Agent as sales agent, and the Agent agrees to use its commercially reasonable efforts to sell for and on behalf of the Company, the Shares on the following terms and conditions;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obligation of the Agent to use such commercially reasonable efforts shall be subject to the continuing accuracy of the representations and warranties of the Company herein, the performance by the Company of its covenants and obligations hereunder and the continuing satisfaction of the additional conditions specified in Section 4 of this Agreement. The Company acknowledges and agrees that (i) there can be no assurance that the Agent will be successful in selling Shares, and (ii) the Agent will incur no liability or obligation to the Company or any other person or entity if it does not sell Shares for any reason other than a failure by the Agent to use its commercially reasonable efforts consistent with its normal trading and sales practices to sell such Shares as required under this Section 2.</w:t>
      </w:r>
    </w:p>
    <w:p>
      <w:pPr>
        <w:spacing w:after="0" w:line="186" w:lineRule="exact"/>
        <w:rPr>
          <w:rFonts w:ascii="Times New Roman" w:cs="Times New Roman" w:eastAsia="Times New Roman" w:hAnsi="Times New Roman"/>
          <w:sz w:val="18"/>
          <w:szCs w:val="18"/>
          <w:color w:val="auto"/>
        </w:rPr>
      </w:pPr>
    </w:p>
    <w:p>
      <w:pPr>
        <w:ind w:firstLine="1428"/>
        <w:spacing w:after="0" w:line="253" w:lineRule="auto"/>
        <w:tabs>
          <w:tab w:leader="none" w:pos="1647"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time that the Company wishes to issue and sell the Shares hereunder (each, a </w:t>
      </w:r>
      <w:r>
        <w:rPr>
          <w:rFonts w:ascii="Times New Roman" w:cs="Times New Roman" w:eastAsia="Times New Roman" w:hAnsi="Times New Roman"/>
          <w:sz w:val="18"/>
          <w:szCs w:val="18"/>
          <w:b w:val="1"/>
          <w:bCs w:val="1"/>
          <w:i w:val="1"/>
          <w:iCs w:val="1"/>
          <w:color w:val="auto"/>
        </w:rPr>
        <w:t>“Placement”</w:t>
      </w:r>
      <w:r>
        <w:rPr>
          <w:rFonts w:ascii="Times New Roman" w:cs="Times New Roman" w:eastAsia="Times New Roman" w:hAnsi="Times New Roman"/>
          <w:sz w:val="18"/>
          <w:szCs w:val="18"/>
          <w:color w:val="auto"/>
        </w:rPr>
        <w:t xml:space="preserve">), it will notify the Agent by email notice (or other method mutually agreed to in writing by the parties) (a </w:t>
      </w:r>
      <w:r>
        <w:rPr>
          <w:rFonts w:ascii="Times New Roman" w:cs="Times New Roman" w:eastAsia="Times New Roman" w:hAnsi="Times New Roman"/>
          <w:sz w:val="18"/>
          <w:szCs w:val="18"/>
          <w:b w:val="1"/>
          <w:bCs w:val="1"/>
          <w:i w:val="1"/>
          <w:iCs w:val="1"/>
          <w:color w:val="auto"/>
        </w:rPr>
        <w:t>“Placement Notice”</w:t>
      </w:r>
      <w:r>
        <w:rPr>
          <w:rFonts w:ascii="Times New Roman" w:cs="Times New Roman" w:eastAsia="Times New Roman" w:hAnsi="Times New Roman"/>
          <w:sz w:val="18"/>
          <w:szCs w:val="18"/>
          <w:color w:val="auto"/>
        </w:rPr>
        <w:t xml:space="preserve">) containing the parameters in accordance with which it desires the Shares to be sold, which shall at a minimum include the number of shares of Shares to be issued, the time period during which sales are requested to be made, any limitation on the number of Shares that may be sold in any one Trading Day (as defined below) and any minimum price below which sales may not be made, a form of which containing such minimum sales parameters necessary is attached hereto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The Placement Notice shall originate from any of the individuals from the Company set forth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(with a copy to each of the other individuals from the Company listed on such schedule), and shall be addressed to each of the individuals from the Agent set forth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as such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may be amended from time to time. The Placement Notice shall be effective upon receipt by the Agent unless and until (i) in accordance with the notice requirements set forth in Section 2(a)(iii) of this Agreement, the Agent declines to accept the terms contained therein for any reason, in its sole discretion, (ii) the entire amount of the Shares subject to the Placement Notice or set forth on the Sales Prospectus have been sold, (iii) the Company suspends or terminates the Placement Notice in accordance with the notice requirements set forth in Section 2(a)(iii) below, (iv) the Company issues a subsequent Placement Notice with parameters superseding those on the earlier dated Placement Notice, or (v) this Agreement has been terminated under the provisions of Section 7. The amount of any commission or other compensation to be paid by the Company to the Agent in connection with</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68" w:right="459" w:bottom="1440" w:gutter="0" w:footer="0" w:header="0"/>
        </w:sectPr>
      </w:pPr>
    </w:p>
    <w:bookmarkStart w:id="86" w:name="page87"/>
    <w:bookmarkEnd w:id="86"/>
    <w:p>
      <w:pPr>
        <w:ind w:left="4" w:right="2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sale of the Shares shall be calculated in accordance with the terms set forth in Section 2(a)(v) below. It is expressly acknowledged and agreed that neither the Company nor the Agent will have any obligation whatsoever with respect to a Placement or any Shares unless and until the Company delivers a Placement Notice to the Agent and the Agent does not decline such Placement Notice pursuant to the terms set forth above, and then only upon the terms specified therein and herein. In the event of a conflict between the terms of this Agreement and the terms of the Placement Notice, the terms of the Placement Notice will control. For the purposes hereof, </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xml:space="preserve"> means any day on which the Company’s Common Stock is purchased and sold on the principal market on which the Common Stock is listed or quoted.</w:t>
      </w:r>
    </w:p>
    <w:p>
      <w:pPr>
        <w:spacing w:after="0" w:line="187" w:lineRule="exact"/>
        <w:rPr>
          <w:sz w:val="20"/>
          <w:szCs w:val="20"/>
          <w:color w:val="auto"/>
        </w:rPr>
      </w:pPr>
    </w:p>
    <w:p>
      <w:pPr>
        <w:ind w:left="4" w:right="20" w:firstLine="1428"/>
        <w:spacing w:after="0" w:line="261" w:lineRule="auto"/>
        <w:tabs>
          <w:tab w:leader="none" w:pos="1701"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to be sold by the Agent on a daily basis or otherwise as shall be agreed to by the Company and the Agent on any day that is a Trading Day for the Exchange (other than a day on which the Exchange is scheduled to close prior to its regular weekday closing time). The gross sales price of the Shares sold under this Section 2(a) shall be the market price for the Company’s Common Stock sold by the Agent under this Section 2(a) at the time of such sale.</w:t>
      </w:r>
    </w:p>
    <w:p>
      <w:pPr>
        <w:spacing w:after="0" w:line="179" w:lineRule="exact"/>
        <w:rPr>
          <w:rFonts w:ascii="Times New Roman" w:cs="Times New Roman" w:eastAsia="Times New Roman" w:hAnsi="Times New Roman"/>
          <w:sz w:val="18"/>
          <w:szCs w:val="18"/>
          <w:color w:val="auto"/>
        </w:rPr>
      </w:pPr>
    </w:p>
    <w:p>
      <w:pPr>
        <w:ind w:left="4" w:right="60" w:firstLine="1428"/>
        <w:spacing w:after="0" w:line="252" w:lineRule="auto"/>
        <w:tabs>
          <w:tab w:leader="none" w:pos="1751"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the Company may instruct the Agent by telephone (confirmed promptly by email) not to sell the Shares if such sales cannot be effected at or above the price designated by the Company in any such instruction. Furthermore, the Company shall not authorize the issuance and sale of, and the Agent shall not be obligated to use its commercially reasonable efforts to sell, any Share at a price lower than the minimum price therefor designated from time to time by the Company’s board of directors and notified to the Agent in writing. In addition, the Company or the Agent may, upon notice to the other party hereto by telephone (confirmed promptly by email), suspend the offering of the Shares, whereupon the Agent shall so suspend the offering of Shares until further notice is provided to the other party to the contrary;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suspension or termination shall not affect or impair the parties’ respective obligations with respect to the Shares sold hereunder prior to the giving of such notice. Notwithstanding any other provision of this Agreement, during any period in which the Company is in possession of material non-public information, the Company and the Agent agree that (i) no sale of Shares will take place, (ii) the Company shall not request the sale of any Shares, and</w:t>
      </w:r>
    </w:p>
    <w:p>
      <w:pPr>
        <w:spacing w:after="0" w:line="6"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 be obligated to sell or offer to sell any Shares.</w:t>
      </w:r>
    </w:p>
    <w:p>
      <w:pPr>
        <w:spacing w:after="0" w:line="206" w:lineRule="exact"/>
        <w:rPr>
          <w:rFonts w:ascii="Times New Roman" w:cs="Times New Roman" w:eastAsia="Times New Roman" w:hAnsi="Times New Roman"/>
          <w:sz w:val="18"/>
          <w:szCs w:val="18"/>
          <w:color w:val="auto"/>
        </w:rPr>
      </w:pPr>
    </w:p>
    <w:p>
      <w:pPr>
        <w:ind w:left="4" w:right="140" w:firstLine="1428"/>
        <w:spacing w:after="0" w:line="261" w:lineRule="auto"/>
        <w:tabs>
          <w:tab w:leader="none" w:pos="1741"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Placement Notice, the Agent may sell the Shares by any method permitted by law deemed to be an “at the market offering” as defined in Rule 415(a)(4) under the Securities Act, including sales made directly on or through the Exchange. Subject to the terms of any Placement Notice, the Agent may also sell Shares in negotiated transactions at market prices prevailing at the time of sale or at prices related to such prevailing market prices and/or any other method permitted by law, subject to the prior written consent of the Company.</w:t>
      </w:r>
    </w:p>
    <w:p>
      <w:pPr>
        <w:spacing w:after="0" w:line="179" w:lineRule="exact"/>
        <w:rPr>
          <w:rFonts w:ascii="Times New Roman" w:cs="Times New Roman" w:eastAsia="Times New Roman" w:hAnsi="Times New Roman"/>
          <w:sz w:val="18"/>
          <w:szCs w:val="18"/>
          <w:color w:val="auto"/>
        </w:rPr>
      </w:pPr>
    </w:p>
    <w:p>
      <w:pPr>
        <w:ind w:left="4" w:firstLine="1428"/>
        <w:spacing w:after="0" w:line="261" w:lineRule="auto"/>
        <w:tabs>
          <w:tab w:leader="none" w:pos="1691"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compensation to the Agent for sales of the Shares, as an agent of the Company, shall be up to 3.0% of the gross sales price of the Shares sold pursuant to this Section 2(a), payable in cash (the </w:t>
      </w:r>
      <w:r>
        <w:rPr>
          <w:rFonts w:ascii="Times New Roman" w:cs="Times New Roman" w:eastAsia="Times New Roman" w:hAnsi="Times New Roman"/>
          <w:sz w:val="18"/>
          <w:szCs w:val="18"/>
          <w:b w:val="1"/>
          <w:bCs w:val="1"/>
          <w:i w:val="1"/>
          <w:iCs w:val="1"/>
          <w:color w:val="auto"/>
        </w:rPr>
        <w:t>“Sales Commission”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combined Sales Commission and reimbursement of the Agent for its out-of-pocket expenses pursuant to Section 3(g), including the reasonable and documented fees and disbursements of the Agent’s counsel, shall not exceed 8.0% of the gross sales price of the Shares. The remaining proceeds, after</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4"/>
          </w:cols>
          <w:pgMar w:left="436" w:top="270" w:right="439" w:bottom="1440" w:gutter="0" w:footer="0" w:header="0"/>
        </w:sectPr>
      </w:pPr>
    </w:p>
    <w:bookmarkStart w:id="87" w:name="page88"/>
    <w:bookmarkEnd w:id="87"/>
    <w:p>
      <w:pPr>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further deduction for any transaction fees imposed by any governmental or self-regulatory organization in respect of such sales, and reimbursement of expenses that the Agent may be entitled to pursuant to Section 3(g), shall constitute the net proceeds to the Company for such Shares (the “</w:t>
      </w:r>
      <w:r>
        <w:rPr>
          <w:rFonts w:ascii="Times New Roman" w:cs="Times New Roman" w:eastAsia="Times New Roman" w:hAnsi="Times New Roman"/>
          <w:sz w:val="18"/>
          <w:szCs w:val="18"/>
          <w:b w:val="1"/>
          <w:bCs w:val="1"/>
          <w:i w:val="1"/>
          <w:iCs w:val="1"/>
          <w:color w:val="auto"/>
        </w:rPr>
        <w:t>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Proceeds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00" w:firstLine="1428"/>
        <w:spacing w:after="0" w:line="261" w:lineRule="auto"/>
        <w:tabs>
          <w:tab w:leader="none" w:pos="1737"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Agent will provide written confirmation to the Company (including by email correspondence to each of the individuals of the Company set forth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no later than the opening of the Trading Day immediately following the Trading Day on which it has made sales of Shares hereunder, setting forth the number of Shares sold on such day, the volume-weighted average price of the Shares sold, and the Net Proceeds payable to the Company.</w:t>
      </w:r>
    </w:p>
    <w:p>
      <w:pPr>
        <w:spacing w:after="0" w:line="179" w:lineRule="exact"/>
        <w:rPr>
          <w:rFonts w:ascii="Times New Roman" w:cs="Times New Roman" w:eastAsia="Times New Roman" w:hAnsi="Times New Roman"/>
          <w:sz w:val="18"/>
          <w:szCs w:val="18"/>
          <w:color w:val="auto"/>
        </w:rPr>
      </w:pPr>
    </w:p>
    <w:p>
      <w:pPr>
        <w:ind w:firstLine="1428"/>
        <w:spacing w:after="0" w:line="253" w:lineRule="auto"/>
        <w:tabs>
          <w:tab w:leader="none" w:pos="1787"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sold pursuant to this Section 2(a) will be delivered by the Company to the Agent for the account of the Agent, against payment of the Net Proceeds therefor, by wire transfer of same-day funds payable to the order of the Company at the offices of Guggenheim Securities, LLC, 330 Madison Avenue, New York, NY 10017, fax no. 212-658-9689, or such other location as may be mutually acceptable, at 9:00 a.m. New York City time on the second full business day following the date on which such Shares are sold, or at such other time and date as the Agent and the Company determine pursuant to Rule 15c6-1(a) under the Exchange Act, each such time and date of delivery being herein referred to as a “</w:t>
      </w:r>
      <w:r>
        <w:rPr>
          <w:rFonts w:ascii="Times New Roman" w:cs="Times New Roman" w:eastAsia="Times New Roman" w:hAnsi="Times New Roman"/>
          <w:sz w:val="18"/>
          <w:szCs w:val="18"/>
          <w:b w:val="1"/>
          <w:bCs w:val="1"/>
          <w:i w:val="1"/>
          <w:iCs w:val="1"/>
          <w:color w:val="auto"/>
        </w:rPr>
        <w:t>Settlement Date</w:t>
      </w:r>
      <w:r>
        <w:rPr>
          <w:rFonts w:ascii="Times New Roman" w:cs="Times New Roman" w:eastAsia="Times New Roman" w:hAnsi="Times New Roman"/>
          <w:sz w:val="18"/>
          <w:szCs w:val="18"/>
          <w:color w:val="auto"/>
        </w:rPr>
        <w:t>.” If the Agent so elects, delivery of the Shares may be made by credit through full fast transfer to an account or accounts at The Depository Trust Company designated by the Agent. On each Settlement Date, the Agent will deliver the Net Proceeds in same day funds to an account designated by the Company on, or prior to, such Settlement Date. The Company agrees that if the Company, or its transfer agent (if applicable), defaults in its obligation to timely deliver duly authorized Shares on a Settlement Date, the Company agrees that in addition to and in no way limiting the rights and obligations set forth in Section 5 hereto, it will (i) hold the Agent harmless against any loss, claim, damage, or expense (including reasonable legal fees and expenses), as incurred, arising out of or in connection with such default by the Company, (ii) reimburse the Agent for any losses incurred by the Agent attributable, directly or indirectly, to such default and (iii) pay to the Agent any commission or other compensation to which the Agent would otherwise have been entitled absent such default.</w:t>
      </w:r>
    </w:p>
    <w:p>
      <w:pPr>
        <w:spacing w:after="0" w:line="185" w:lineRule="exact"/>
        <w:rPr>
          <w:rFonts w:ascii="Times New Roman" w:cs="Times New Roman" w:eastAsia="Times New Roman" w:hAnsi="Times New Roman"/>
          <w:sz w:val="18"/>
          <w:szCs w:val="18"/>
          <w:color w:val="auto"/>
        </w:rPr>
      </w:pPr>
    </w:p>
    <w:p>
      <w:pPr>
        <w:ind w:right="60" w:firstLine="987"/>
        <w:spacing w:after="0" w:line="256" w:lineRule="auto"/>
        <w:tabs>
          <w:tab w:leader="none" w:pos="124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Maximum Amount</w:t>
      </w:r>
      <w:r>
        <w:rPr>
          <w:rFonts w:ascii="Times New Roman" w:cs="Times New Roman" w:eastAsia="Times New Roman" w:hAnsi="Times New Roman"/>
          <w:sz w:val="18"/>
          <w:szCs w:val="18"/>
          <w:color w:val="auto"/>
        </w:rPr>
        <w:t>. Under no circumstances shall the aggregate number or aggregate value of the Shares sold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Agreement exceed: (i) the aggregate number and aggregate dollar amount of shares of Common Stock available for issuance under the currently effective Registration Statement, (ii) the aggregate number of authorized but unissued shares of Common Stock that are available for issuance under the Company’s certificate of incorporation or certificate of designation, (iii) the aggregate dollar amount of shares of Common Stock permitted to be sold under the Company’s effective Registration Statement (including any limit set forth in General Instruction I.B.6 thereof, if applicable) or (iv) the aggregate number or aggregate dollar amount of shares of Common Stock for which the Company has filed any Sales Prospectus in connection with the Shares (the lesser of (i), (ii), (iii) and (iv),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Maximum Amount</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Association or Partnership</w:t>
      </w:r>
      <w:r>
        <w:rPr>
          <w:rFonts w:ascii="Times New Roman" w:cs="Times New Roman" w:eastAsia="Times New Roman" w:hAnsi="Times New Roman"/>
          <w:sz w:val="17"/>
          <w:szCs w:val="17"/>
          <w:color w:val="auto"/>
        </w:rPr>
        <w:t>. Nothing herein contained shall constitute the Agent as an unincorporated association or partner with the</w:t>
      </w:r>
    </w:p>
    <w:p>
      <w:pPr>
        <w:spacing w:after="0" w:line="4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Company.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88" w:name="page89"/>
    <w:bookmarkEnd w:id="88"/>
    <w:p>
      <w:pPr>
        <w:ind w:left="4" w:right="400" w:firstLine="987"/>
        <w:spacing w:after="0" w:line="284" w:lineRule="auto"/>
        <w:tabs>
          <w:tab w:leader="none" w:pos="125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Duration</w:t>
      </w:r>
      <w:r>
        <w:rPr>
          <w:rFonts w:ascii="Times New Roman" w:cs="Times New Roman" w:eastAsia="Times New Roman" w:hAnsi="Times New Roman"/>
          <w:sz w:val="18"/>
          <w:szCs w:val="18"/>
          <w:color w:val="auto"/>
        </w:rPr>
        <w:t>. Under no circumstances shall any Shares be sold pursuant to this Agreement after the date which is three years after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is first declared effective by the Commission.</w:t>
      </w:r>
    </w:p>
    <w:p>
      <w:pPr>
        <w:spacing w:after="0" w:line="158" w:lineRule="exact"/>
        <w:rPr>
          <w:rFonts w:ascii="Times New Roman" w:cs="Times New Roman" w:eastAsia="Times New Roman" w:hAnsi="Times New Roman"/>
          <w:sz w:val="18"/>
          <w:szCs w:val="18"/>
          <w:color w:val="auto"/>
        </w:rPr>
      </w:pPr>
    </w:p>
    <w:p>
      <w:pPr>
        <w:ind w:left="4" w:firstLine="987"/>
        <w:spacing w:after="0" w:line="257" w:lineRule="auto"/>
        <w:tabs>
          <w:tab w:leader="none" w:pos="124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 Transactions by Agent</w:t>
      </w:r>
      <w:r>
        <w:rPr>
          <w:rFonts w:ascii="Times New Roman" w:cs="Times New Roman" w:eastAsia="Times New Roman" w:hAnsi="Times New Roman"/>
          <w:sz w:val="18"/>
          <w:szCs w:val="18"/>
          <w:color w:val="auto"/>
        </w:rPr>
        <w:t>. The Company acknowledges and agrees that the Agent has informed the Company that the Agent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the extent permitted under the Securities Act, the Exchange Act and this Agreement, purchase and sell shares of Common Stock for its own account while this Agreement is in effect,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 no sale for its own account shall take place while a Placement Notice is in effect (except to the extent the Agent may engage in sales of Shares purchased or deemed purchased from the Company as a “riskless principal” or in a similar capacity) and (ii) the Company shall not be deemed to have authorized or consented to any such purchases or sales by the Agent. The Company consents to the Agent trading in the Common Stock for the account of any of its clients at the same time as sales of the Shares occur pursuant to this Agreement.</w:t>
      </w:r>
    </w:p>
    <w:p>
      <w:pPr>
        <w:spacing w:after="0" w:line="288"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7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Covenants of the Company. The Company covenants and agrees with the Agent as follows:</w:t>
      </w:r>
    </w:p>
    <w:p>
      <w:pPr>
        <w:spacing w:after="0" w:line="227" w:lineRule="exact"/>
        <w:rPr>
          <w:rFonts w:ascii="Times New Roman" w:cs="Times New Roman" w:eastAsia="Times New Roman" w:hAnsi="Times New Roman"/>
          <w:sz w:val="18"/>
          <w:szCs w:val="18"/>
          <w:b w:val="1"/>
          <w:bCs w:val="1"/>
          <w:i w:val="1"/>
          <w:iCs w:val="1"/>
          <w:color w:val="auto"/>
        </w:rPr>
      </w:pPr>
    </w:p>
    <w:p>
      <w:pPr>
        <w:ind w:left="4" w:right="20" w:firstLine="987"/>
        <w:spacing w:after="0" w:line="252" w:lineRule="auto"/>
        <w:tabs>
          <w:tab w:leader="none" w:pos="1240"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Amendments to Registration Statement and Prospectus</w:t>
      </w:r>
      <w:r>
        <w:rPr>
          <w:rFonts w:ascii="Times New Roman" w:cs="Times New Roman" w:eastAsia="Times New Roman" w:hAnsi="Times New Roman"/>
          <w:sz w:val="18"/>
          <w:szCs w:val="18"/>
          <w:color w:val="auto"/>
        </w:rPr>
        <w:t>. After the date of this Agreement and during any period in which a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relating to any Shares is required to be delivered by the Agent under the Securities Act (including in circumstances where such requirement may be satisfied pursuant to Rule 172 under the Securities Act), the Company agrees that it will: (i) notify the Agent promptly of the time when any subsequent amendment to the Registration Statement, other than documents incorporated by reference or amendments not related to the Shares, has been filed with the Commission and/or has become effective or any subsequent supplement to the Prospectus related to the Shares has been filed and of any request by the Commission for any amendment or supplement to the Registration Statement (insofar as it relates to the transactions contemplated hereby) or Prospectus or for additional information; (ii) prepare and file with the Commission, promptly upon the Agent’s request, any amendments or supplements to the Registration Statement or Prospectus that, in the Agent’s reasonable opinion, may be necessary or advisable in connection with the sale of the Shares by the Agent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failure of the Agent to make such request shall not relieve the Company of any obligation or liability hereunder, or affect the Agent’s right to rely on the representations and warranties made by the Company in this Agreement); (iii) not file any amendment or supplement to the Registration Statement or Prospectus, other than documents incorporated by reference, relating to the Shares or a security convertible into the Shares unless a copy thereof has been submitted to the Agent within a reasonable period of time before the filing and the Agent has not reasonably objected thereto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the failure of the Agent to make such objection shall not relieve the Company of any obligation or liability hereunder, or affect the Agent’s right to rely on the representations and warranties made by the Company in this Agreement),</w:t>
      </w:r>
    </w:p>
    <w:p>
      <w:pPr>
        <w:spacing w:after="0" w:line="1" w:lineRule="exact"/>
        <w:rPr>
          <w:rFonts w:ascii="Times New Roman" w:cs="Times New Roman" w:eastAsia="Times New Roman" w:hAnsi="Times New Roman"/>
          <w:sz w:val="18"/>
          <w:szCs w:val="18"/>
          <w:color w:val="auto"/>
        </w:rPr>
      </w:pPr>
    </w:p>
    <w:p>
      <w:pPr>
        <w:ind w:left="4" w:right="20" w:hanging="4"/>
        <w:spacing w:after="0" w:line="253" w:lineRule="auto"/>
        <w:tabs>
          <w:tab w:leader="none" w:pos="28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obligation to provide the Agent any advance copy of such filing or to provide the Agent an opportunity to object to such filing if the filing does not name the Agent or does not relate to a Placement or other transaction contemplated hereunder, and (C) the only remedy that the Agent shall have with respect to the failure by the Company to provide the Agent with such copy or the filing of such amendment or supplement despite the Agent’s objection shall be to cease making sales under this Agreement; (iv) not file any new Registration Statement or new Prospectus relating to the Shares or a security convertible into the Shares</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68" w:right="459" w:bottom="1440" w:gutter="0" w:footer="0" w:header="0"/>
        </w:sectPr>
      </w:pPr>
    </w:p>
    <w:bookmarkStart w:id="89" w:name="page90"/>
    <w:bookmarkEnd w:id="89"/>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without the prior written consent of the Agent; (v) furnish to the Agent at the time of filing thereof a copy of any document that upon filing is deemed to be incorporated by reference into the Registration Statement or Prospectus, except for those documents available via EDGAR; and (vi) cause each amendment or supplement to the Prospectus, other than documents incorporated by reference, to be filed with the Commission as required pursuant to the applicable paragraph of Rule 424(b) of the Securities Act.</w:t>
      </w:r>
    </w:p>
    <w:p>
      <w:pPr>
        <w:spacing w:after="0" w:line="178" w:lineRule="exact"/>
        <w:rPr>
          <w:sz w:val="20"/>
          <w:szCs w:val="20"/>
          <w:color w:val="auto"/>
        </w:rPr>
      </w:pPr>
    </w:p>
    <w:p>
      <w:pPr>
        <w:ind w:right="160" w:firstLine="987"/>
        <w:spacing w:after="0" w:line="258" w:lineRule="auto"/>
        <w:tabs>
          <w:tab w:leader="none" w:pos="124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Stop Order</w:t>
      </w:r>
      <w:r>
        <w:rPr>
          <w:rFonts w:ascii="Times New Roman" w:cs="Times New Roman" w:eastAsia="Times New Roman" w:hAnsi="Times New Roman"/>
          <w:sz w:val="18"/>
          <w:szCs w:val="18"/>
          <w:color w:val="auto"/>
        </w:rPr>
        <w:t>. The Company will advise the Agent, promptly after it receives notice or obtains knowledge thereof, of the issuance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threatened issuance by the Commission of any stop order suspending the effectiveness of the Registration Statement, of the suspension of the qualification of the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w:t>
      </w:r>
    </w:p>
    <w:p>
      <w:pPr>
        <w:spacing w:after="0" w:line="183"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Continuing Amendments</w:t>
      </w:r>
      <w:r>
        <w:rPr>
          <w:rFonts w:ascii="Times New Roman" w:cs="Times New Roman" w:eastAsia="Times New Roman" w:hAnsi="Times New Roman"/>
          <w:sz w:val="18"/>
          <w:szCs w:val="18"/>
          <w:color w:val="auto"/>
        </w:rPr>
        <w:t>. During any period in which a Prospectus relating to the Shares is required to be delivered by the Agent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Securities Act with respect to any Placement or pending sale of the Shares, (including in circumstances where such requirement may be satisfied pursuant to Rule 172 under the Securities Act), the Company will comply with all requirements imposed upon it by the Securities Act, as from time to time in force, and to file on or before their respective due dates all reports (taking into account any extensions available under the Exchange Act)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Agent to suspend the offering of Shares during such period and the Company will promptly amend or supplement the Registration Statement or Prospectus (at the expense of the Company) so as to correct such statement or omission or effect such compliance.</w:t>
      </w:r>
    </w:p>
    <w:p>
      <w:pPr>
        <w:spacing w:after="0" w:line="191" w:lineRule="exact"/>
        <w:rPr>
          <w:rFonts w:ascii="Times New Roman" w:cs="Times New Roman" w:eastAsia="Times New Roman" w:hAnsi="Times New Roman"/>
          <w:sz w:val="18"/>
          <w:szCs w:val="18"/>
          <w:color w:val="auto"/>
        </w:rPr>
      </w:pPr>
    </w:p>
    <w:p>
      <w:pPr>
        <w:ind w:right="40" w:firstLine="987"/>
        <w:spacing w:after="0" w:line="257" w:lineRule="auto"/>
        <w:tabs>
          <w:tab w:leader="none" w:pos="124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Qualification of the Shares</w:t>
      </w:r>
      <w:r>
        <w:rPr>
          <w:rFonts w:ascii="Times New Roman" w:cs="Times New Roman" w:eastAsia="Times New Roman" w:hAnsi="Times New Roman"/>
          <w:sz w:val="18"/>
          <w:szCs w:val="18"/>
          <w:color w:val="auto"/>
        </w:rPr>
        <w:t>. The Company shall take or cause to be taken all necessary action to qualify the Shares for sale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laws of such jurisdictions as the Agent reasonably designates and to continue such qualifications in effect so long as required for the distribution of the Shares, except that the Company shall not be required in connection therewith to qualify as a foreign corporation or to execute a general consent to service of process in any state. The Company shall promptly advise the Agent of the receipt by the Company of any notification with respect to the suspension of the qualification of the Shares for offer or sale in any jurisdiction or the initiation or threatening of any proceeding for such purpose.</w:t>
      </w:r>
    </w:p>
    <w:p>
      <w:pPr>
        <w:spacing w:after="0" w:line="182" w:lineRule="exact"/>
        <w:rPr>
          <w:rFonts w:ascii="Times New Roman" w:cs="Times New Roman" w:eastAsia="Times New Roman" w:hAnsi="Times New Roman"/>
          <w:sz w:val="18"/>
          <w:szCs w:val="18"/>
          <w:color w:val="auto"/>
        </w:rPr>
      </w:pPr>
    </w:p>
    <w:p>
      <w:pPr>
        <w:jc w:val="both"/>
        <w:ind w:right="400" w:firstLine="987"/>
        <w:spacing w:after="0" w:line="267" w:lineRule="auto"/>
        <w:tabs>
          <w:tab w:leader="none" w:pos="123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Copies of Registration Statement and Prospectus</w:t>
      </w:r>
      <w:r>
        <w:rPr>
          <w:rFonts w:ascii="Times New Roman" w:cs="Times New Roman" w:eastAsia="Times New Roman" w:hAnsi="Times New Roman"/>
          <w:sz w:val="18"/>
          <w:szCs w:val="18"/>
          <w:color w:val="auto"/>
        </w:rPr>
        <w:t>. The Company will furnish to the Agent and counsel for the Agent copies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(which will include three complete manually signed copies of the Registration Statement and all consents and exhibits filed therewith), the Prospectus and all amendments and supplements to such</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60"/>
          </w:cols>
          <w:pgMar w:left="440" w:top="270" w:right="499" w:bottom="1440" w:gutter="0" w:footer="0" w:header="0"/>
        </w:sectPr>
      </w:pPr>
    </w:p>
    <w:bookmarkStart w:id="90" w:name="page91"/>
    <w:bookmarkEnd w:id="90"/>
    <w:p>
      <w:pPr>
        <w:ind w:left="4"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documents, in each case as soon as available and in such quantities as the Agent may from time to time reasonably request; provided, however, that the Company’s obligations to provide such copies shall not apply to any filing available via EDGAR.</w:t>
      </w:r>
    </w:p>
    <w:p>
      <w:pPr>
        <w:spacing w:after="0" w:line="160" w:lineRule="exact"/>
        <w:rPr>
          <w:sz w:val="20"/>
          <w:szCs w:val="20"/>
          <w:color w:val="auto"/>
        </w:rPr>
      </w:pPr>
    </w:p>
    <w:p>
      <w:pPr>
        <w:ind w:left="4" w:right="180" w:firstLine="987"/>
        <w:spacing w:after="0" w:line="267" w:lineRule="auto"/>
        <w:tabs>
          <w:tab w:leader="none" w:pos="12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Section 11(a)</w:t>
      </w:r>
      <w:r>
        <w:rPr>
          <w:rFonts w:ascii="Times New Roman" w:cs="Times New Roman" w:eastAsia="Times New Roman" w:hAnsi="Times New Roman"/>
          <w:sz w:val="18"/>
          <w:szCs w:val="18"/>
          <w:color w:val="auto"/>
        </w:rPr>
        <w:t>. The Company will make generally available to its security holders as soon as practicable an earnings statement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need not be audited) covering a 12-month period that shall satisfy the provisions of Section 11(a) of the Securities Act and Rule 158 promulgated thereunder.</w:t>
      </w:r>
    </w:p>
    <w:p>
      <w:pPr>
        <w:spacing w:after="0" w:line="173" w:lineRule="exact"/>
        <w:rPr>
          <w:rFonts w:ascii="Times New Roman" w:cs="Times New Roman" w:eastAsia="Times New Roman" w:hAnsi="Times New Roman"/>
          <w:sz w:val="18"/>
          <w:szCs w:val="18"/>
          <w:color w:val="auto"/>
        </w:rPr>
      </w:pPr>
    </w:p>
    <w:p>
      <w:pPr>
        <w:ind w:left="4" w:right="20" w:firstLine="987"/>
        <w:spacing w:after="0" w:line="267" w:lineRule="auto"/>
        <w:tabs>
          <w:tab w:leader="none" w:pos="1250"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Expenses</w:t>
      </w:r>
      <w:r>
        <w:rPr>
          <w:rFonts w:ascii="Times New Roman" w:cs="Times New Roman" w:eastAsia="Times New Roman" w:hAnsi="Times New Roman"/>
          <w:sz w:val="17"/>
          <w:szCs w:val="17"/>
          <w:color w:val="auto"/>
        </w:rPr>
        <w:t>. The Company, whether or not the transactions contemplated hereunder are consummated or this Agreement is terminated,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will pay or cause to be paid (i) all expenses (including stock or transfer taxes and stamp or similar duties allocated to the respective transferees) incurred in connection with the registration, issue, sale and delivery of the Shares, (ii) all expenses and fees (including, without limitation, fees and expenses of the Company’s accountants and counsel) in connection with the preparation, printing, filing, delivery, and shipping of the Registration Statement (including the financial statements therein and all amendments, schedules, and exhibits thereto), the Shares, the Prospectus and any amendment thereof or supplement thereto, and the producing, word-processing, printing, delivery, and shipping of this Agreement and other transaction documents or closing documents, including Blue Sky Memoranda (covering the states and other applicable jurisdictions) and including the cost to furnish copies of each thereof to the Agent, (iii) all filing fees, (iv) all fees and disbursements of the Agent’s counsel incurred in connection with the qualification of the Shares for offering and sale by the Agent or by dealers under the securities or blue sky laws of the states and other jurisdictions which the Agent shall designate, (v) the fees and expenses of any transfer agent or registrar, (vi) the filing fees and reasonable, actual and documented fees and disbursements of the Agent’s counsel incident to any required review and approval by FINRA of the terms of the sale of the Shares, (vii) listing fees, if any, (viii) the cost and expenses of the Company relating to investor presentations or any “roadshow” undertaken in connection with marketing of the Shares, and</w:t>
      </w:r>
    </w:p>
    <w:p>
      <w:pPr>
        <w:spacing w:after="0" w:line="2" w:lineRule="exact"/>
        <w:rPr>
          <w:rFonts w:ascii="Times New Roman" w:cs="Times New Roman" w:eastAsia="Times New Roman" w:hAnsi="Times New Roman"/>
          <w:sz w:val="17"/>
          <w:szCs w:val="17"/>
          <w:color w:val="auto"/>
        </w:rPr>
      </w:pPr>
    </w:p>
    <w:p>
      <w:pPr>
        <w:ind w:left="4" w:hanging="4"/>
        <w:spacing w:after="0" w:line="253" w:lineRule="auto"/>
        <w:tabs>
          <w:tab w:leader="none" w:pos="30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costs and expenses incident to the performance of its obligations hereunder that are not otherwise specifically provided for herein. In addition to (iv) and (vi) above, the Company shall reimburse the Agent for the out-of-pocket reasonable and documented expenses, including reasonable fees and disbursements of the Agent’s counsel (actually incurred in an amount which, taken together with the fees and disbursements of Agent’s counsel incurred pursuant to (iv) and (vi) above do not exceed $50,000).</w:t>
      </w:r>
    </w:p>
    <w:p>
      <w:pPr>
        <w:spacing w:after="0" w:line="186"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The Company will apply the net proceeds from the sale of the Shares in the manner disclosed in the Prospectus.</w:t>
      </w:r>
    </w:p>
    <w:p>
      <w:pPr>
        <w:spacing w:after="0" w:line="225" w:lineRule="exact"/>
        <w:rPr>
          <w:rFonts w:ascii="Times New Roman" w:cs="Times New Roman" w:eastAsia="Times New Roman" w:hAnsi="Times New Roman"/>
          <w:sz w:val="18"/>
          <w:szCs w:val="18"/>
          <w:color w:val="auto"/>
        </w:rPr>
      </w:pPr>
    </w:p>
    <w:p>
      <w:pPr>
        <w:ind w:left="4" w:right="100" w:firstLine="987"/>
        <w:spacing w:after="0" w:line="257" w:lineRule="auto"/>
        <w:tabs>
          <w:tab w:leader="none" w:pos="121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Restrictions on Future Sales</w:t>
      </w:r>
      <w:r>
        <w:rPr>
          <w:rFonts w:ascii="Times New Roman" w:cs="Times New Roman" w:eastAsia="Times New Roman" w:hAnsi="Times New Roman"/>
          <w:sz w:val="18"/>
          <w:szCs w:val="18"/>
          <w:color w:val="auto"/>
        </w:rPr>
        <w:t>. During the period beginning on the third Trading Day immediately prior to the date on which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Placement Notice is delivered to the Agent hereunder and ending on the third Trading Day immediately following the earlier of (x) the Settlement Date with respect to Shares sold pursuant to such Placement Notice and (y) the termination or suspension by the Company of such Placement Notice, the Company will not, without the prior written consent of the Agent, offer for sale, sell, contract to sell, pledge, grant any option for the sale of, enter into any transaction which is designed to, or might reasonably be expected to, result in the disposition of Common Stock (whether by actual disposition or effective economic disposition due to cash settlement or otherwise) by the Company or any</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4"/>
          </w:cols>
          <w:pgMar w:left="436" w:top="270" w:right="479" w:bottom="1440" w:gutter="0" w:footer="0" w:header="0"/>
        </w:sectPr>
      </w:pPr>
    </w:p>
    <w:bookmarkStart w:id="91" w:name="page92"/>
    <w:bookmarkEnd w:id="91"/>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affiliate, or otherwise issue or dispose of, directly or indirectly (or publicly disclose the intention to make any such offer, sale, pledge, grant, issuance or other disposition), any Common Stock or any securities convertible into or exchangeable for, or any options or rights to purchase or acquire, Common Stock, or permit the registration under the Securities Act of any Common Stock, such securities, options or rights, except for: (i) the registration of the Shares and the sales through the Agent pursuant to this Agreement, (ii) sales of shares through any dividend reinvestment and stock purchase plan of the Company, (iii) sales of shares of restricted stock, restricted stock units and options granted pursuant to employee benefit plans existing as of the date hereof, and the Common Stock issuable upon the exercise of such outstanding options or vesting of such restricted stock units, (iv) grants made pursuant to Nasdaq Listing Rule 5635(c)(4), (v) the issuance of shares pursuant to the exercise of warrants, options or other derivative securities, (vi) the filing of registration statements on Form S-8, and (vii) the filing of a registration statement pursuant to any registration rights granted prior to the date hereof as disclosed in the Registration Statement.</w:t>
      </w:r>
    </w:p>
    <w:p>
      <w:pPr>
        <w:spacing w:after="0" w:line="186" w:lineRule="exact"/>
        <w:rPr>
          <w:sz w:val="20"/>
          <w:szCs w:val="20"/>
          <w:color w:val="auto"/>
        </w:rPr>
      </w:pPr>
    </w:p>
    <w:p>
      <w:pPr>
        <w:ind w:right="60" w:firstLine="987"/>
        <w:spacing w:after="0" w:line="255" w:lineRule="auto"/>
        <w:tabs>
          <w:tab w:leader="none" w:pos="120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Stabilization or Manipulation</w:t>
      </w:r>
      <w:r>
        <w:rPr>
          <w:rFonts w:ascii="Times New Roman" w:cs="Times New Roman" w:eastAsia="Times New Roman" w:hAnsi="Times New Roman"/>
          <w:sz w:val="18"/>
          <w:szCs w:val="18"/>
          <w:color w:val="auto"/>
        </w:rPr>
        <w:t>. The Company has not taken and will not take, directly or indirectly, any action designed to, or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might reasonably be expected to cause or result in, or which constitutes: (i) the stabilization or manipulation of the price of the Common Stock or any other security of the Company to facilitate the sale or resale of the Shares, (ii) a violation of Regulation M. The Company shall notify the Agent of any violation of Regulation M by the Company or its subsidiary or any of their respective officers or directors promptly after the Company has received notice or obtained knowledge of any such violation. The Company shall not invest in futures contracts, options on futures contracts or options on commodities, unless the Company is exempt from the registration requirements of the Commodity Exchange Act, as amended (the </w:t>
      </w:r>
      <w:r>
        <w:rPr>
          <w:rFonts w:ascii="Times New Roman" w:cs="Times New Roman" w:eastAsia="Times New Roman" w:hAnsi="Times New Roman"/>
          <w:sz w:val="18"/>
          <w:szCs w:val="18"/>
          <w:b w:val="1"/>
          <w:bCs w:val="1"/>
          <w:i w:val="1"/>
          <w:iCs w:val="1"/>
          <w:color w:val="auto"/>
        </w:rPr>
        <w:t>“Commodity Act”</w:t>
      </w:r>
      <w:r>
        <w:rPr>
          <w:rFonts w:ascii="Times New Roman" w:cs="Times New Roman" w:eastAsia="Times New Roman" w:hAnsi="Times New Roman"/>
          <w:sz w:val="18"/>
          <w:szCs w:val="18"/>
          <w:color w:val="auto"/>
        </w:rPr>
        <w:t>), or otherwise complies with the Commodity Act. The Company will not engage in any activities bearing on the Commodity Act, unless such activities are exempt from the Commodity Act or otherwise comply with the Commodity Act.</w:t>
      </w:r>
    </w:p>
    <w:p>
      <w:pPr>
        <w:spacing w:after="0" w:line="184" w:lineRule="exact"/>
        <w:rPr>
          <w:rFonts w:ascii="Times New Roman" w:cs="Times New Roman" w:eastAsia="Times New Roman" w:hAnsi="Times New Roman"/>
          <w:sz w:val="18"/>
          <w:szCs w:val="18"/>
          <w:color w:val="auto"/>
        </w:rPr>
      </w:pPr>
    </w:p>
    <w:p>
      <w:pPr>
        <w:jc w:val="both"/>
        <w:ind w:right="140" w:firstLine="987"/>
        <w:spacing w:after="0" w:line="315" w:lineRule="auto"/>
        <w:tabs>
          <w:tab w:leader="none" w:pos="1246"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Other Broker</w:t>
      </w:r>
      <w:r>
        <w:rPr>
          <w:rFonts w:ascii="Times New Roman" w:cs="Times New Roman" w:eastAsia="Times New Roman" w:hAnsi="Times New Roman"/>
          <w:sz w:val="17"/>
          <w:szCs w:val="17"/>
          <w:color w:val="auto"/>
        </w:rPr>
        <w:t>. Except as contemplated by this Agreement, the Company will not incur any liability for any finder’s or broker’s fee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agent’s commission in connection with the execution and delivery of this Agreement, or the consummation of the transactions contemplated hereby.</w:t>
      </w:r>
    </w:p>
    <w:p>
      <w:pPr>
        <w:spacing w:after="0" w:line="134" w:lineRule="exact"/>
        <w:rPr>
          <w:rFonts w:ascii="Times New Roman" w:cs="Times New Roman" w:eastAsia="Times New Roman" w:hAnsi="Times New Roman"/>
          <w:sz w:val="17"/>
          <w:szCs w:val="17"/>
          <w:color w:val="auto"/>
        </w:rPr>
      </w:pPr>
    </w:p>
    <w:p>
      <w:pPr>
        <w:ind w:right="300" w:firstLine="987"/>
        <w:spacing w:after="0" w:line="267" w:lineRule="auto"/>
        <w:tabs>
          <w:tab w:leader="none" w:pos="120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Timely Securities Act and Exchange Act Reports</w:t>
      </w:r>
      <w:r>
        <w:rPr>
          <w:rFonts w:ascii="Times New Roman" w:cs="Times New Roman" w:eastAsia="Times New Roman" w:hAnsi="Times New Roman"/>
          <w:sz w:val="18"/>
          <w:szCs w:val="18"/>
          <w:color w:val="auto"/>
        </w:rPr>
        <w:t>. During any prospectus delivery period, the Company will use its commercially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reasonable efforts to file on a timely basis with the Commission such periodic and special reports as required by the Securities Act and the Exchange Act.</w:t>
      </w:r>
    </w:p>
    <w:p>
      <w:pPr>
        <w:spacing w:after="0" w:line="173" w:lineRule="exact"/>
        <w:rPr>
          <w:rFonts w:ascii="Times New Roman" w:cs="Times New Roman" w:eastAsia="Times New Roman" w:hAnsi="Times New Roman"/>
          <w:sz w:val="18"/>
          <w:szCs w:val="18"/>
          <w:color w:val="auto"/>
        </w:rPr>
      </w:pPr>
    </w:p>
    <w:p>
      <w:pPr>
        <w:ind w:right="80" w:firstLine="987"/>
        <w:spacing w:after="0" w:line="277" w:lineRule="auto"/>
        <w:tabs>
          <w:tab w:leader="none" w:pos="1296"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Internal Controls</w:t>
      </w:r>
      <w:r>
        <w:rPr>
          <w:rFonts w:ascii="Times New Roman" w:cs="Times New Roman" w:eastAsia="Times New Roman" w:hAnsi="Times New Roman"/>
          <w:sz w:val="17"/>
          <w:szCs w:val="17"/>
          <w:color w:val="auto"/>
        </w:rPr>
        <w:t>. The Company and its subsidiary will maintain such controls and other procedures, including without limitation,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those required by Sections 302 and 906 of the Sarbanes-Oxley Act and the applicable regulations thereunder, that are designed to provide reasonable assurances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92" w:name="page93"/>
    <w:bookmarkEnd w:id="92"/>
    <w:p>
      <w:pPr>
        <w:ind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accumulated and communicated to the Company’s management, including its principal executive officer and its principal financial officer, or persons performing similar functions, as appropriate to allow timely decisions regarding required disclosure, to ensure that material information relating to Company, including its subsidiary, is made known to them by others within those entities.</w:t>
      </w:r>
    </w:p>
    <w:p>
      <w:pPr>
        <w:spacing w:after="0" w:line="174" w:lineRule="exact"/>
        <w:rPr>
          <w:sz w:val="20"/>
          <w:szCs w:val="20"/>
          <w:color w:val="auto"/>
        </w:rPr>
      </w:pPr>
    </w:p>
    <w:p>
      <w:pPr>
        <w:ind w:right="40" w:firstLine="987"/>
        <w:spacing w:after="0" w:line="255" w:lineRule="auto"/>
        <w:tabs>
          <w:tab w:leader="none" w:pos="124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Permitted Free Writing Prospectus</w:t>
      </w:r>
      <w:r>
        <w:rPr>
          <w:rFonts w:ascii="Times New Roman" w:cs="Times New Roman" w:eastAsia="Times New Roman" w:hAnsi="Times New Roman"/>
          <w:sz w:val="18"/>
          <w:szCs w:val="18"/>
          <w:color w:val="auto"/>
        </w:rPr>
        <w:t>. The Company represents and agrees that, unless it obtains the prior written consent of the Agent,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the Agent severally represents and agrees that, unless it obtains the prior written consent of the Company, it has not made and will not make any offer relating to the Shares that would constitute an “issuer free writing prospectus,” as defined in Rule 433 under the Securities Act, or that would otherwise constitute a “free writing prospectus,” as defined in Rule 405 under the Securities Act, required to be filed with the Commission. Any such free writing prospectus consented to by the Company and the Agent is hereinafter referred to as a </w:t>
      </w:r>
      <w:r>
        <w:rPr>
          <w:rFonts w:ascii="Times New Roman" w:cs="Times New Roman" w:eastAsia="Times New Roman" w:hAnsi="Times New Roman"/>
          <w:sz w:val="18"/>
          <w:szCs w:val="18"/>
          <w:b w:val="1"/>
          <w:bCs w:val="1"/>
          <w:i w:val="1"/>
          <w:iCs w:val="1"/>
          <w:color w:val="auto"/>
        </w:rPr>
        <w:t>“Permitted Free Writing Prospectus.”</w:t>
      </w:r>
      <w:r>
        <w:rPr>
          <w:rFonts w:ascii="Times New Roman" w:cs="Times New Roman" w:eastAsia="Times New Roman" w:hAnsi="Times New Roman"/>
          <w:sz w:val="18"/>
          <w:szCs w:val="18"/>
          <w:color w:val="auto"/>
        </w:rPr>
        <w:t xml:space="preserve"> The Company represents that it has treated or agrees that it will treat each Permitted Free Writing Prospectus as an “issuer free writing prospectus,” as defined in Rule 433, and has complied and will comply with the requirements of Rule 433 applicable to any Permitted Free Writing Prospectus, including timely Commission filing where required, legending and record keeping.</w:t>
      </w:r>
    </w:p>
    <w:p>
      <w:pPr>
        <w:spacing w:after="0" w:line="184"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 Date and Opinions of Counsel</w:t>
      </w:r>
      <w:r>
        <w:rPr>
          <w:rFonts w:ascii="Times New Roman" w:cs="Times New Roman" w:eastAsia="Times New Roman" w:hAnsi="Times New Roman"/>
          <w:sz w:val="18"/>
          <w:szCs w:val="18"/>
          <w:color w:val="auto"/>
        </w:rPr>
        <w:t>. On or prior to the date of the first Placement Notice, and thereafter during the term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 each time the Company (A) files an amendment to the Registration Statement or Prospectus (other than relating solely to the offering of securities other than the Shares), (B) files an Annual Report on Form 10-K under the Exchange Act or files its Quarterly Reports on Form 10-Q under the Exchange Act; and (C) files a report on Form 8-K containing amended financial statements (other than an earnings release) under the Exchange Act, (each of the dates in (A), (B) and (C) are referred to herein as a “</w:t>
      </w:r>
      <w:r>
        <w:rPr>
          <w:rFonts w:ascii="Times New Roman" w:cs="Times New Roman" w:eastAsia="Times New Roman" w:hAnsi="Times New Roman"/>
          <w:sz w:val="18"/>
          <w:szCs w:val="18"/>
          <w:b w:val="1"/>
          <w:bCs w:val="1"/>
          <w:i w:val="1"/>
          <w:iCs w:val="1"/>
          <w:color w:val="auto"/>
        </w:rPr>
        <w:t>Representation Date</w:t>
      </w:r>
      <w:r>
        <w:rPr>
          <w:rFonts w:ascii="Times New Roman" w:cs="Times New Roman" w:eastAsia="Times New Roman" w:hAnsi="Times New Roman"/>
          <w:sz w:val="18"/>
          <w:szCs w:val="18"/>
          <w:color w:val="auto"/>
        </w:rPr>
        <w:t>”), the Company shall cause:</w:t>
      </w:r>
    </w:p>
    <w:p>
      <w:pPr>
        <w:spacing w:after="0" w:line="185" w:lineRule="exact"/>
        <w:rPr>
          <w:sz w:val="20"/>
          <w:szCs w:val="20"/>
          <w:color w:val="auto"/>
        </w:rPr>
      </w:pPr>
    </w:p>
    <w:p>
      <w:pPr>
        <w:ind w:right="240" w:firstLine="987"/>
        <w:spacing w:after="0" w:line="261" w:lineRule="auto"/>
        <w:tabs>
          <w:tab w:leader="none" w:pos="120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Goodwin Procter LLP, counsel for the Company, to furnish to the Agent the opinion and negative assurance letter of such counsel, dated as of such date and addressed to the Agent, in form and substance reasonably satisfactory to the Agent; provided however, the opinion of such counsel shall be required only prior to the date of the first Placement Notice and only a negative assurance letter of such counsel shall be required for each Representation Date.</w:t>
      </w:r>
    </w:p>
    <w:p>
      <w:pPr>
        <w:spacing w:after="0" w:line="179" w:lineRule="exact"/>
        <w:rPr>
          <w:rFonts w:ascii="Times New Roman" w:cs="Times New Roman" w:eastAsia="Times New Roman" w:hAnsi="Times New Roman"/>
          <w:sz w:val="18"/>
          <w:szCs w:val="18"/>
          <w:color w:val="auto"/>
        </w:rPr>
      </w:pPr>
    </w:p>
    <w:p>
      <w:pPr>
        <w:ind w:right="40" w:firstLine="987"/>
        <w:spacing w:after="0" w:line="266" w:lineRule="auto"/>
        <w:tabs>
          <w:tab w:leader="none" w:pos="125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McCarter &amp; English, LLP, intellectual property and patent counsel for the Company, to furnish to the Agent the opinion of such counsel, dated as of such date and addressed to the Agent, in form and substance reasonably satisfactory to the Agent; provided however, the opinion of counsel shall only be required for the first Settlement Date.</w:t>
      </w:r>
    </w:p>
    <w:p>
      <w:pPr>
        <w:spacing w:after="0" w:line="176"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foregoing and Sections 3(p), 3(q) and 3(v) hereof, the requirement to provide counsel opinions, a comfort letter, certificates and documents under this Section 3 shall be waived for any Representation Date occurring at a time at which no Placement Notice is pending, which waiver shall continue until the date the Company delivers a Placement Notice to the Agent. Notwithstanding the foregoing, if the Company subsequently decides to sell Shares following a Representation Date when the Company relied on such waiver and did not provide the Agent with the opinions, comfort letter, certificates and documents under this Section 3, then</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60"/>
          </w:cols>
          <w:pgMar w:left="440" w:top="270" w:right="499" w:bottom="1440" w:gutter="0" w:footer="0" w:header="0"/>
        </w:sectPr>
      </w:pPr>
    </w:p>
    <w:bookmarkStart w:id="93" w:name="page94"/>
    <w:bookmarkEnd w:id="93"/>
    <w:p>
      <w:pPr>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before the Agent sells any Shares pursuant to Section 2(a), the Company shall cause the opinions (including the opinion pursuant to Section 3(o) if not delivered on the date of the prior Form 10-K), comfort letter, certificates and documents that would be delivered on a Representation Date to be delivered.</w:t>
      </w:r>
    </w:p>
    <w:p>
      <w:pPr>
        <w:spacing w:after="0" w:line="174" w:lineRule="exact"/>
        <w:rPr>
          <w:sz w:val="20"/>
          <w:szCs w:val="20"/>
          <w:color w:val="auto"/>
        </w:rPr>
      </w:pPr>
    </w:p>
    <w:p>
      <w:pPr>
        <w:ind w:firstLine="987"/>
        <w:spacing w:after="0" w:line="256" w:lineRule="auto"/>
        <w:tabs>
          <w:tab w:leader="none" w:pos="124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 Date and Comfort Letter</w:t>
      </w:r>
      <w:r>
        <w:rPr>
          <w:rFonts w:ascii="Times New Roman" w:cs="Times New Roman" w:eastAsia="Times New Roman" w:hAnsi="Times New Roman"/>
          <w:sz w:val="18"/>
          <w:szCs w:val="18"/>
          <w:color w:val="auto"/>
        </w:rPr>
        <w:t>. On or prior to the date of the first Placement Notice and thereafter during the term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on each Representation Date to which a waiver does not apply, the Company shall cause PricewaterhouseCoopers LLP, or other independent accountants reasonably satisfactory to the Agent (the “</w:t>
      </w:r>
      <w:r>
        <w:rPr>
          <w:rFonts w:ascii="Times New Roman" w:cs="Times New Roman" w:eastAsia="Times New Roman" w:hAnsi="Times New Roman"/>
          <w:sz w:val="18"/>
          <w:szCs w:val="18"/>
          <w:b w:val="1"/>
          <w:bCs w:val="1"/>
          <w:i w:val="1"/>
          <w:iCs w:val="1"/>
          <w:color w:val="auto"/>
        </w:rPr>
        <w:t>Accountants</w:t>
      </w:r>
      <w:r>
        <w:rPr>
          <w:rFonts w:ascii="Times New Roman" w:cs="Times New Roman" w:eastAsia="Times New Roman" w:hAnsi="Times New Roman"/>
          <w:sz w:val="18"/>
          <w:szCs w:val="18"/>
          <w:color w:val="auto"/>
        </w:rPr>
        <w:t>”), to deliver to the Agent a letter, dated as of such date and addressed to the Agent, confirming that they are independent public accountants within the meaning of the Securities Act and are in compliance with the applicable requirements relating to the qualifications of accountants under Rule 2-01 of Regulation S-X of the Commission, and stating the conclusions and findings of said firm with respect to the financial information and other matters covered by its letter in form and substance satisfactory to the Agent of the same tenor as the first such letter received hereunder.</w:t>
      </w:r>
    </w:p>
    <w:p>
      <w:pPr>
        <w:spacing w:after="0" w:line="182" w:lineRule="exact"/>
        <w:rPr>
          <w:rFonts w:ascii="Times New Roman" w:cs="Times New Roman" w:eastAsia="Times New Roman" w:hAnsi="Times New Roman"/>
          <w:sz w:val="18"/>
          <w:szCs w:val="18"/>
          <w:color w:val="auto"/>
        </w:rPr>
      </w:pPr>
    </w:p>
    <w:p>
      <w:pPr>
        <w:ind w:right="160" w:firstLine="987"/>
        <w:spacing w:after="0" w:line="261" w:lineRule="auto"/>
        <w:tabs>
          <w:tab w:leader="none" w:pos="124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 Date and Representation Certificate</w:t>
      </w:r>
      <w:r>
        <w:rPr>
          <w:rFonts w:ascii="Times New Roman" w:cs="Times New Roman" w:eastAsia="Times New Roman" w:hAnsi="Times New Roman"/>
          <w:sz w:val="18"/>
          <w:szCs w:val="18"/>
          <w:color w:val="auto"/>
        </w:rPr>
        <w:t>. On or prior to the date of the First Placement Notice and thereafter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term of this Agreement, on each Representation Date to which a waiver does not apply, the Company shall furnish to the Agent a certificate (the </w:t>
      </w:r>
      <w:r>
        <w:rPr>
          <w:rFonts w:ascii="Times New Roman" w:cs="Times New Roman" w:eastAsia="Times New Roman" w:hAnsi="Times New Roman"/>
          <w:sz w:val="18"/>
          <w:szCs w:val="18"/>
          <w:b w:val="1"/>
          <w:bCs w:val="1"/>
          <w:i w:val="1"/>
          <w:iCs w:val="1"/>
          <w:color w:val="auto"/>
        </w:rPr>
        <w:t>“Representation Certificate”</w:t>
      </w:r>
      <w:r>
        <w:rPr>
          <w:rFonts w:ascii="Times New Roman" w:cs="Times New Roman" w:eastAsia="Times New Roman" w:hAnsi="Times New Roman"/>
          <w:sz w:val="18"/>
          <w:szCs w:val="18"/>
          <w:color w:val="auto"/>
        </w:rPr>
        <w:t>), substantially in the form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hereto and dated as of such date, addressed to the Agent and signed by the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and by the chief financial officer of the Company.</w:t>
      </w:r>
    </w:p>
    <w:p>
      <w:pPr>
        <w:spacing w:after="0" w:line="179" w:lineRule="exact"/>
        <w:rPr>
          <w:rFonts w:ascii="Times New Roman" w:cs="Times New Roman" w:eastAsia="Times New Roman" w:hAnsi="Times New Roman"/>
          <w:sz w:val="18"/>
          <w:szCs w:val="18"/>
          <w:color w:val="auto"/>
        </w:rPr>
      </w:pPr>
    </w:p>
    <w:p>
      <w:pPr>
        <w:ind w:right="120" w:firstLine="987"/>
        <w:spacing w:after="0" w:line="267" w:lineRule="auto"/>
        <w:tabs>
          <w:tab w:leader="none" w:pos="121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of Shares Sold</w:t>
      </w:r>
      <w:r>
        <w:rPr>
          <w:rFonts w:ascii="Times New Roman" w:cs="Times New Roman" w:eastAsia="Times New Roman" w:hAnsi="Times New Roman"/>
          <w:sz w:val="18"/>
          <w:szCs w:val="18"/>
          <w:color w:val="auto"/>
        </w:rPr>
        <w:t>. The Company shall disclose in its Quarterly Reports on Form 10-Q and in its Annual Report on Form 10-K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number of the Shares sold through the Agent under this Agreement, the net proceeds to the Company and the compensation paid by the Company with respect to sales of the Shares pursuant to this Agreement during the relevant quarter.</w:t>
      </w:r>
    </w:p>
    <w:p>
      <w:pPr>
        <w:spacing w:after="0" w:line="173" w:lineRule="exact"/>
        <w:rPr>
          <w:rFonts w:ascii="Times New Roman" w:cs="Times New Roman" w:eastAsia="Times New Roman" w:hAnsi="Times New Roman"/>
          <w:sz w:val="18"/>
          <w:szCs w:val="18"/>
          <w:color w:val="auto"/>
        </w:rPr>
      </w:pPr>
    </w:p>
    <w:p>
      <w:pPr>
        <w:ind w:right="160" w:firstLine="987"/>
        <w:spacing w:after="0" w:line="284" w:lineRule="auto"/>
        <w:tabs>
          <w:tab w:leader="none" w:pos="122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Continued Listing of Shares</w:t>
      </w:r>
      <w:r>
        <w:rPr>
          <w:rFonts w:ascii="Times New Roman" w:cs="Times New Roman" w:eastAsia="Times New Roman" w:hAnsi="Times New Roman"/>
          <w:sz w:val="18"/>
          <w:szCs w:val="18"/>
          <w:color w:val="auto"/>
        </w:rPr>
        <w:t>. The Company shall use its commercially reasonable efforts to maintain the listing of the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Exchange.</w:t>
      </w:r>
    </w:p>
    <w:p>
      <w:pPr>
        <w:spacing w:after="0" w:line="158" w:lineRule="exact"/>
        <w:rPr>
          <w:rFonts w:ascii="Times New Roman" w:cs="Times New Roman" w:eastAsia="Times New Roman" w:hAnsi="Times New Roman"/>
          <w:sz w:val="18"/>
          <w:szCs w:val="18"/>
          <w:color w:val="auto"/>
        </w:rPr>
      </w:pPr>
    </w:p>
    <w:p>
      <w:pPr>
        <w:ind w:right="220" w:firstLine="987"/>
        <w:spacing w:after="0" w:line="267" w:lineRule="auto"/>
        <w:tabs>
          <w:tab w:leader="none" w:pos="120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Changes</w:t>
      </w:r>
      <w:r>
        <w:rPr>
          <w:rFonts w:ascii="Times New Roman" w:cs="Times New Roman" w:eastAsia="Times New Roman" w:hAnsi="Times New Roman"/>
          <w:sz w:val="18"/>
          <w:szCs w:val="18"/>
          <w:color w:val="auto"/>
        </w:rPr>
        <w:t>. At any time during the term of this Agreement, as supplemented from time to time, the Company shall advise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as soon as practicable after it shall have received notice or obtain knowledge thereof, of any information or fact that would alter or affect any opinion, certificate, letter and other document provided to the Agent pursuant to this Section 3.</w:t>
      </w:r>
    </w:p>
    <w:p>
      <w:pPr>
        <w:spacing w:after="0" w:line="173" w:lineRule="exact"/>
        <w:rPr>
          <w:rFonts w:ascii="Times New Roman" w:cs="Times New Roman" w:eastAsia="Times New Roman" w:hAnsi="Times New Roman"/>
          <w:sz w:val="18"/>
          <w:szCs w:val="18"/>
          <w:color w:val="auto"/>
        </w:rPr>
      </w:pPr>
    </w:p>
    <w:p>
      <w:pPr>
        <w:ind w:right="200" w:firstLine="987"/>
        <w:spacing w:after="0" w:line="284" w:lineRule="auto"/>
        <w:tabs>
          <w:tab w:leader="none" w:pos="124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Maximum Amount</w:t>
      </w:r>
      <w:r>
        <w:rPr>
          <w:rFonts w:ascii="Times New Roman" w:cs="Times New Roman" w:eastAsia="Times New Roman" w:hAnsi="Times New Roman"/>
          <w:sz w:val="18"/>
          <w:szCs w:val="18"/>
          <w:color w:val="auto"/>
        </w:rPr>
        <w:t>. The Company will not instruct the Agent to sell or otherwise attempt to sell Shares pursuant to this Agreement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excess of the Maximum Amount.</w:t>
      </w:r>
    </w:p>
    <w:p>
      <w:pPr>
        <w:spacing w:after="0" w:line="156" w:lineRule="exact"/>
        <w:rPr>
          <w:rFonts w:ascii="Times New Roman" w:cs="Times New Roman" w:eastAsia="Times New Roman" w:hAnsi="Times New Roman"/>
          <w:sz w:val="18"/>
          <w:szCs w:val="18"/>
          <w:color w:val="auto"/>
        </w:rPr>
      </w:pPr>
    </w:p>
    <w:p>
      <w:pPr>
        <w:ind w:right="100" w:firstLine="436"/>
        <w:spacing w:after="0" w:line="262" w:lineRule="auto"/>
        <w:tabs>
          <w:tab w:leader="none" w:pos="620" w:val="left"/>
        </w:tabs>
        <w:numPr>
          <w:ilvl w:val="0"/>
          <w:numId w:val="8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Conditions of Agent’s Obligations</w:t>
      </w:r>
      <w:r>
        <w:rPr>
          <w:rFonts w:ascii="Times New Roman" w:cs="Times New Roman" w:eastAsia="Times New Roman" w:hAnsi="Times New Roman"/>
          <w:sz w:val="18"/>
          <w:szCs w:val="18"/>
          <w:color w:val="auto"/>
        </w:rPr>
        <w:t>. The obligations of the Agent hereunder are subject to (i) the accuracy, as of the date of this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Representation Date, each Notice Date, each Applicable Time, and each Settlement Date (in each case, as if made at such date) of and compliance with all representations, warranties and agreements of the Company contained herein, (ii) the performance by the Company of its obligations hereunder and (iii) the following additional conditions: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94" w:name="page95"/>
    <w:bookmarkEnd w:id="94"/>
    <w:p>
      <w:pPr>
        <w:ind w:left="-100" w:right="40" w:firstLine="987"/>
        <w:spacing w:after="0" w:line="255" w:lineRule="auto"/>
        <w:tabs>
          <w:tab w:leader="none" w:pos="113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Continuing Amendments; No Stop Order</w:t>
      </w:r>
      <w:r>
        <w:rPr>
          <w:rFonts w:ascii="Times New Roman" w:cs="Times New Roman" w:eastAsia="Times New Roman" w:hAnsi="Times New Roman"/>
          <w:sz w:val="18"/>
          <w:szCs w:val="18"/>
          <w:color w:val="auto"/>
        </w:rPr>
        <w:t>. If filing of the Prospectus, or any amendment or supplement thereto, or any Permitted Free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Writing Prospectus, is required under the Securities Act, the Company shall have filed the Prospectus (or such amendment or supplement) or such Permitted Free Writing Prospectus with the Commission in the manner and within the time period so required (without reliance on Rule 424(b)(8) or Rule 164(b) under the Securities Act); the Registration Statement shall be effective; no stop order suspending the effectiveness of the Registration Statement or any part thereof, any registration statement filed pursuant to Rule 462(b) under the Securities Act, or any amendment thereof, nor suspending or preventing the use of the Prospectus shall have been issued; no proceedings for the issuance of such an order shall have been initiated or threatened; and any request of the Commission for additional information (to be included in the Registration Statement, the Prospectus or otherwise) shall have been complied with to the Agent’s satisfaction.</w:t>
      </w:r>
    </w:p>
    <w:p>
      <w:pPr>
        <w:spacing w:after="0" w:line="184" w:lineRule="exact"/>
        <w:rPr>
          <w:rFonts w:ascii="Times New Roman" w:cs="Times New Roman" w:eastAsia="Times New Roman" w:hAnsi="Times New Roman"/>
          <w:sz w:val="18"/>
          <w:szCs w:val="18"/>
          <w:color w:val="auto"/>
        </w:rPr>
      </w:pPr>
    </w:p>
    <w:p>
      <w:pPr>
        <w:ind w:left="-100" w:firstLine="987"/>
        <w:spacing w:after="0" w:line="253" w:lineRule="auto"/>
        <w:tabs>
          <w:tab w:leader="none" w:pos="114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Certain Events</w:t>
      </w:r>
      <w:r>
        <w:rPr>
          <w:rFonts w:ascii="Times New Roman" w:cs="Times New Roman" w:eastAsia="Times New Roman" w:hAnsi="Times New Roman"/>
          <w:sz w:val="18"/>
          <w:szCs w:val="18"/>
          <w:color w:val="auto"/>
        </w:rPr>
        <w:t>. None of the following events shall have occurred and be continuing: (i) receipt by the Company or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Shares for sale in any jurisdiction or the initiation or threatening of any proceeding for such purpose; or (iv) 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related Prospectus or such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187" w:lineRule="exact"/>
        <w:rPr>
          <w:rFonts w:ascii="Times New Roman" w:cs="Times New Roman" w:eastAsia="Times New Roman" w:hAnsi="Times New Roman"/>
          <w:sz w:val="18"/>
          <w:szCs w:val="18"/>
          <w:color w:val="auto"/>
        </w:rPr>
      </w:pPr>
    </w:p>
    <w:p>
      <w:pPr>
        <w:ind w:left="-100" w:right="380" w:firstLine="987"/>
        <w:spacing w:after="0" w:line="267" w:lineRule="auto"/>
        <w:tabs>
          <w:tab w:leader="none" w:pos="113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Material Misstatement or Omission</w:t>
      </w:r>
      <w:r>
        <w:rPr>
          <w:rFonts w:ascii="Times New Roman" w:cs="Times New Roman" w:eastAsia="Times New Roman" w:hAnsi="Times New Roman"/>
          <w:sz w:val="18"/>
          <w:szCs w:val="18"/>
          <w:color w:val="auto"/>
        </w:rPr>
        <w:t>. The Agent shall not have advised the Company that the Registration Statement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contains an untrue statement of fact which, in the Agent’s opinion, is material, or omits to state a fact which, in the Agent’s opinion, is material and is required to be stated therein or necessary to make the statements therein not misleading.</w:t>
      </w:r>
    </w:p>
    <w:p>
      <w:pPr>
        <w:spacing w:after="0" w:line="173" w:lineRule="exact"/>
        <w:rPr>
          <w:rFonts w:ascii="Times New Roman" w:cs="Times New Roman" w:eastAsia="Times New Roman" w:hAnsi="Times New Roman"/>
          <w:sz w:val="18"/>
          <w:szCs w:val="18"/>
          <w:color w:val="auto"/>
        </w:rPr>
      </w:pPr>
    </w:p>
    <w:p>
      <w:pPr>
        <w:ind w:left="-100" w:right="20" w:firstLine="987"/>
        <w:spacing w:after="0" w:line="258" w:lineRule="auto"/>
        <w:tabs>
          <w:tab w:leader="none" w:pos="114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Adverse Changes</w:t>
      </w:r>
      <w:r>
        <w:rPr>
          <w:rFonts w:ascii="Times New Roman" w:cs="Times New Roman" w:eastAsia="Times New Roman" w:hAnsi="Times New Roman"/>
          <w:sz w:val="18"/>
          <w:szCs w:val="18"/>
          <w:color w:val="auto"/>
        </w:rPr>
        <w:t>. Except as disclosed in the Prospectus, subsequent to the respective dates as of which information is given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neither the Company nor its subsidiary shall have incurred any material liabilities or obligations, direct or contingent, or entered into any material transactions, or declared or paid any dividends or made any distribution of any kind with respect to its capital stock; and there shall not have been any material change in the capital stock (other than a change in the number of outstanding shares of Common Stock due to the issuance of shares of Common Stock upon the exercise of outstanding</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800"/>
          </w:cols>
          <w:pgMar w:left="540" w:top="268" w:right="559" w:bottom="1440" w:gutter="0" w:footer="0" w:header="0"/>
        </w:sectPr>
      </w:pPr>
    </w:p>
    <w:bookmarkStart w:id="95" w:name="page96"/>
    <w:bookmarkEnd w:id="95"/>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options or warrants), or any material change in the short-term or long-term debt of the Company, or any issuance of options, warrants, convertible securities or other rights to purchase the capital stock of the Company or its subsidiary, or any development involving a prospective Material Adverse Effect (whether or not arising in the ordinary course of business), or any loss by strike, fire, flood, earthquake, accident or other calamity, whether or not covered by insurance, incurred by the Company or its subsidiary, the effect of which, in any such case described above, in the Agent’s judgment, makes it impractical or inadvisable to offer or deliver the Shares on the terms and in the manner contemplated in the Prospectus.</w:t>
      </w:r>
    </w:p>
    <w:p>
      <w:pPr>
        <w:spacing w:after="0" w:line="181" w:lineRule="exact"/>
        <w:rPr>
          <w:sz w:val="20"/>
          <w:szCs w:val="20"/>
          <w:color w:val="auto"/>
        </w:rPr>
      </w:pPr>
    </w:p>
    <w:p>
      <w:pPr>
        <w:ind w:right="100" w:firstLine="987"/>
        <w:spacing w:after="0" w:line="261" w:lineRule="auto"/>
        <w:tabs>
          <w:tab w:leader="none" w:pos="123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Rating Downgrade</w:t>
      </w:r>
      <w:r>
        <w:rPr>
          <w:rFonts w:ascii="Times New Roman" w:cs="Times New Roman" w:eastAsia="Times New Roman" w:hAnsi="Times New Roman"/>
          <w:sz w:val="18"/>
          <w:szCs w:val="18"/>
          <w:color w:val="auto"/>
        </w:rPr>
        <w:t>. On or after each Applicable Time (i) no downgrading shall have occurred in the rating accorded any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securities by any “nationally recognized statistical organization,” as that term is defined by the Commission for purposes of Rule 436(g)(2) under the Securities Act, and (ii) no such organization shall have publicly announced that it has under surveillance or review, with possible negative implications, its rating of any of the Company’s securities.</w:t>
      </w:r>
    </w:p>
    <w:p>
      <w:pPr>
        <w:spacing w:after="0" w:line="179"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Certain Obligations</w:t>
      </w:r>
      <w:r>
        <w:rPr>
          <w:rFonts w:ascii="Times New Roman" w:cs="Times New Roman" w:eastAsia="Times New Roman" w:hAnsi="Times New Roman"/>
          <w:sz w:val="18"/>
          <w:szCs w:val="18"/>
          <w:color w:val="auto"/>
        </w:rPr>
        <w:t>. The Company shall have performed each of its obligations under Sections 3(o) – 3(q) and</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3(v).</w:t>
      </w:r>
    </w:p>
    <w:p>
      <w:pPr>
        <w:spacing w:after="0" w:line="204" w:lineRule="exact"/>
        <w:rPr>
          <w:rFonts w:ascii="Times New Roman" w:cs="Times New Roman" w:eastAsia="Times New Roman" w:hAnsi="Times New Roman"/>
          <w:sz w:val="18"/>
          <w:szCs w:val="18"/>
          <w:color w:val="auto"/>
        </w:rPr>
      </w:pPr>
    </w:p>
    <w:p>
      <w:pPr>
        <w:ind w:firstLine="987"/>
        <w:spacing w:after="0" w:line="257" w:lineRule="auto"/>
        <w:tabs>
          <w:tab w:leader="none" w:pos="124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Agent Counsel</w:t>
      </w:r>
      <w:r>
        <w:rPr>
          <w:rFonts w:ascii="Times New Roman" w:cs="Times New Roman" w:eastAsia="Times New Roman" w:hAnsi="Times New Roman"/>
          <w:sz w:val="18"/>
          <w:szCs w:val="18"/>
          <w:color w:val="auto"/>
        </w:rPr>
        <w:t>. On each Representation Date to which a waiver does not apply, there shall have been furnished to the Agent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opinion and negative assurance letter of Mintz, Levin, Cohn, Ferris, Glovsky and Popeo, P.C., counsel for the Agent, dated as of such Representation Date and addressed to the Agent, in a form reasonably satisfactory to the Agent, and such counsel shall have received such papers and information as they request to enable them to pass upon such matters; provided however, the opinion of Mintz, Levin, Cohn, Ferris, Glovsky and Popeo, P.C. shall only be required prior to the first Placement Notice, and thereafter, only a negative assurance letter of such counsel shall be required for each subsequent Representation Date.</w:t>
      </w:r>
    </w:p>
    <w:p>
      <w:pPr>
        <w:spacing w:after="0" w:line="182" w:lineRule="exact"/>
        <w:rPr>
          <w:rFonts w:ascii="Times New Roman" w:cs="Times New Roman" w:eastAsia="Times New Roman" w:hAnsi="Times New Roman"/>
          <w:sz w:val="18"/>
          <w:szCs w:val="18"/>
          <w:color w:val="auto"/>
        </w:rPr>
      </w:pPr>
    </w:p>
    <w:p>
      <w:pPr>
        <w:ind w:right="420" w:firstLine="987"/>
        <w:spacing w:after="0" w:line="284" w:lineRule="auto"/>
        <w:tabs>
          <w:tab w:leader="none" w:pos="124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 Certificate</w:t>
      </w:r>
      <w:r>
        <w:rPr>
          <w:rFonts w:ascii="Times New Roman" w:cs="Times New Roman" w:eastAsia="Times New Roman" w:hAnsi="Times New Roman"/>
          <w:sz w:val="18"/>
          <w:szCs w:val="18"/>
          <w:color w:val="auto"/>
        </w:rPr>
        <w:t>. On or prior to the first Placement Notice, the Agent shall have received the Representation Certificate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substantially in the form of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hereto.</w:t>
      </w:r>
    </w:p>
    <w:p>
      <w:pPr>
        <w:spacing w:after="0" w:line="158"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Objection by FINRA</w:t>
      </w:r>
      <w:r>
        <w:rPr>
          <w:rFonts w:ascii="Times New Roman" w:cs="Times New Roman" w:eastAsia="Times New Roman" w:hAnsi="Times New Roman"/>
          <w:sz w:val="18"/>
          <w:szCs w:val="18"/>
          <w:color w:val="auto"/>
        </w:rPr>
        <w:t>. FINRA shall have raised no objection to the fairness and reasonableness of the compensation terms and</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arrangements.</w:t>
      </w:r>
    </w:p>
    <w:p>
      <w:pPr>
        <w:spacing w:after="0" w:line="204" w:lineRule="exact"/>
        <w:rPr>
          <w:rFonts w:ascii="Times New Roman" w:cs="Times New Roman" w:eastAsia="Times New Roman" w:hAnsi="Times New Roman"/>
          <w:sz w:val="18"/>
          <w:szCs w:val="18"/>
          <w:color w:val="auto"/>
        </w:rPr>
      </w:pPr>
    </w:p>
    <w:p>
      <w:pPr>
        <w:ind w:right="80" w:firstLine="987"/>
        <w:spacing w:after="0" w:line="267" w:lineRule="auto"/>
        <w:tabs>
          <w:tab w:leader="none" w:pos="120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Timely Filing of Prospectus</w:t>
      </w:r>
      <w:r>
        <w:rPr>
          <w:rFonts w:ascii="Times New Roman" w:cs="Times New Roman" w:eastAsia="Times New Roman" w:hAnsi="Times New Roman"/>
          <w:sz w:val="18"/>
          <w:szCs w:val="18"/>
          <w:color w:val="auto"/>
        </w:rPr>
        <w:t>. All filings with the Commission required by Rule 424 under the Securities Act to have been filed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Settlement Date, as the case may be, shall have been made within the applicable time period prescribed for such filing by Rule 424 under the Securities Act.</w:t>
      </w:r>
    </w:p>
    <w:p>
      <w:pPr>
        <w:spacing w:after="0" w:line="173" w:lineRule="exact"/>
        <w:rPr>
          <w:rFonts w:ascii="Times New Roman" w:cs="Times New Roman" w:eastAsia="Times New Roman" w:hAnsi="Times New Roman"/>
          <w:sz w:val="18"/>
          <w:szCs w:val="18"/>
          <w:color w:val="auto"/>
        </w:rPr>
      </w:pPr>
    </w:p>
    <w:p>
      <w:pPr>
        <w:ind w:right="480" w:firstLine="987"/>
        <w:spacing w:after="0" w:line="284" w:lineRule="auto"/>
        <w:tabs>
          <w:tab w:leader="none" w:pos="124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Documents and Certificates</w:t>
      </w:r>
      <w:r>
        <w:rPr>
          <w:rFonts w:ascii="Times New Roman" w:cs="Times New Roman" w:eastAsia="Times New Roman" w:hAnsi="Times New Roman"/>
          <w:sz w:val="18"/>
          <w:szCs w:val="18"/>
          <w:color w:val="auto"/>
        </w:rPr>
        <w:t>. The Company shall have furnished to the Agent and the Agent’s counsel such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certificates and evidence as they may have reasonably requested.</w:t>
      </w:r>
    </w:p>
    <w:p>
      <w:pPr>
        <w:spacing w:after="0" w:line="160"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All opinions, certificates, letters and other documents described in this Section 4 will be in compliance with the provisions hereof only if they are reasonably satisfactory in form and substance to the Agent and the Agent’s counsel. The Company will furnish the Agent with such</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70" w:right="4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conformed copies of such opinions, certificates, letters and other documents as the Agent shall reasonably request.</w:t>
      </w:r>
    </w:p>
    <w:p>
      <w:pPr>
        <w:spacing w:after="0" w:line="329" w:lineRule="exact"/>
        <w:rPr>
          <w:sz w:val="20"/>
          <w:szCs w:val="20"/>
          <w:color w:val="auto"/>
        </w:rPr>
      </w:pPr>
    </w:p>
    <w:p>
      <w:pPr>
        <w:ind w:left="620" w:hanging="184"/>
        <w:spacing w:after="0"/>
        <w:tabs>
          <w:tab w:leader="none" w:pos="620" w:val="left"/>
        </w:tabs>
        <w:numPr>
          <w:ilvl w:val="0"/>
          <w:numId w:val="8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Indemnification and Contribution.</w:t>
      </w:r>
    </w:p>
    <w:p>
      <w:pPr>
        <w:spacing w:after="0" w:line="227" w:lineRule="exact"/>
        <w:rPr>
          <w:rFonts w:ascii="Times New Roman" w:cs="Times New Roman" w:eastAsia="Times New Roman" w:hAnsi="Times New Roman"/>
          <w:sz w:val="18"/>
          <w:szCs w:val="18"/>
          <w:b w:val="1"/>
          <w:bCs w:val="1"/>
          <w:i w:val="1"/>
          <w:iCs w:val="1"/>
          <w:color w:val="auto"/>
        </w:rPr>
      </w:pPr>
    </w:p>
    <w:p>
      <w:pPr>
        <w:jc w:val="both"/>
        <w:ind w:firstLine="987"/>
        <w:spacing w:after="0" w:line="258" w:lineRule="auto"/>
        <w:tabs>
          <w:tab w:leader="none" w:pos="123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Indemnification</w:t>
      </w:r>
      <w:r>
        <w:rPr>
          <w:rFonts w:ascii="Times New Roman" w:cs="Times New Roman" w:eastAsia="Times New Roman" w:hAnsi="Times New Roman"/>
          <w:sz w:val="18"/>
          <w:szCs w:val="18"/>
          <w:color w:val="auto"/>
        </w:rPr>
        <w:t>. The Company agrees to indemnify and hold harmless the Agent, its affiliates, and their respective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agents and employees, and each person, if any, who controls the Agent within the meaning of Section 15 of the Securities Act or Section 20 of the Exchange Act against any losses, claims, damages or liabilities, joint or several, to which the Agent may become subject, under the Securities Act or otherwise (including in settlement of any litigation), insofar as such losses, claims, damages or liabilities (or actions in respect thereof) arise out of or are based upon, in whole or in part:</w:t>
      </w:r>
    </w:p>
    <w:p>
      <w:pPr>
        <w:spacing w:after="0" w:line="185" w:lineRule="exact"/>
        <w:rPr>
          <w:rFonts w:ascii="Times New Roman" w:cs="Times New Roman" w:eastAsia="Times New Roman" w:hAnsi="Times New Roman"/>
          <w:sz w:val="18"/>
          <w:szCs w:val="18"/>
          <w:color w:val="auto"/>
        </w:rPr>
      </w:pPr>
    </w:p>
    <w:p>
      <w:pPr>
        <w:ind w:right="20" w:firstLine="1428"/>
        <w:spacing w:after="0" w:line="255" w:lineRule="auto"/>
        <w:tabs>
          <w:tab w:leader="none" w:pos="1647"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untrue statement or alleged untrue statement of a material fact contained in the Registration Statement, including the Rule 430B Information (as defined below) and at any subsequent time pursuant to Rules 430A and 430B promulgated under the Securities Act, and any other information deemed to be part of the Registration Statement at the time of effectiveness, and at any subsequent time pursuant to the Securities Act or the Exchange Act, and the Prospectus, or any amendment or supplement thereto (including any documents filed under the Exchange Act and deemed to be incorporated by reference into the Prospectus), any Permitted Free Writing Prospectus, or any roadshow as defined in Rule 433(h) under the Securities Act (a </w:t>
      </w:r>
      <w:r>
        <w:rPr>
          <w:rFonts w:ascii="Times New Roman" w:cs="Times New Roman" w:eastAsia="Times New Roman" w:hAnsi="Times New Roman"/>
          <w:sz w:val="18"/>
          <w:szCs w:val="18"/>
          <w:b w:val="1"/>
          <w:bCs w:val="1"/>
          <w:i w:val="1"/>
          <w:iCs w:val="1"/>
          <w:color w:val="auto"/>
        </w:rPr>
        <w:t>“road show”</w:t>
      </w:r>
      <w:r>
        <w:rPr>
          <w:rFonts w:ascii="Times New Roman" w:cs="Times New Roman" w:eastAsia="Times New Roman" w:hAnsi="Times New Roman"/>
          <w:sz w:val="18"/>
          <w:szCs w:val="18"/>
          <w:color w:val="auto"/>
        </w:rPr>
        <w:t>), or an omission or alleged omission to state therein a material fact required to be stated therein or necessary to make the statements therein not misleading,</w:t>
      </w:r>
    </w:p>
    <w:p>
      <w:pPr>
        <w:spacing w:after="0" w:line="188"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inaccuracy in the representations and warranties of the Company contained herein;</w:t>
      </w:r>
    </w:p>
    <w:p>
      <w:pPr>
        <w:spacing w:after="0" w:line="225" w:lineRule="exact"/>
        <w:rPr>
          <w:rFonts w:ascii="Times New Roman" w:cs="Times New Roman" w:eastAsia="Times New Roman" w:hAnsi="Times New Roman"/>
          <w:sz w:val="18"/>
          <w:szCs w:val="18"/>
          <w:color w:val="auto"/>
        </w:rPr>
      </w:pPr>
    </w:p>
    <w:p>
      <w:pPr>
        <w:ind w:right="140" w:firstLine="1428"/>
        <w:spacing w:after="0" w:line="282" w:lineRule="auto"/>
        <w:tabs>
          <w:tab w:leader="none" w:pos="1747"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investigation or proceeding by any governmental authority, commenced or threatened (whether or not the Agent is a target of or party to such investigation or proceeding); or</w:t>
      </w:r>
    </w:p>
    <w:p>
      <w:pPr>
        <w:spacing w:after="0" w:line="161"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the Company to perform its respective obligations hereunder or under law;</w:t>
      </w:r>
    </w:p>
    <w:p>
      <w:pPr>
        <w:spacing w:after="0" w:line="2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and will reimburse the Agent for any legal or other expenses reasonably incurred by it in connection with investigating or defending against such loss, claim, damage, liability or 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shall not be liable in any such case of (i) through (iv) to the extent that any such loss, claim, damage, liability or action arises out of or is based upon an untrue statement or alleged untrue statement or omission or alleged omission made in the Registration Statement, the Prospectus, or any such amendment or supplement, in reliance upon and in conformity with written information furnished to the Company by the Agent specifically for use in the preparation thereof. “</w:t>
      </w:r>
      <w:r>
        <w:rPr>
          <w:rFonts w:ascii="Times New Roman" w:cs="Times New Roman" w:eastAsia="Times New Roman" w:hAnsi="Times New Roman"/>
          <w:sz w:val="18"/>
          <w:szCs w:val="18"/>
          <w:b w:val="1"/>
          <w:bCs w:val="1"/>
          <w:i w:val="1"/>
          <w:iCs w:val="1"/>
          <w:color w:val="auto"/>
        </w:rPr>
        <w:t>Rule 430B Information</w:t>
      </w:r>
      <w:r>
        <w:rPr>
          <w:rFonts w:ascii="Times New Roman" w:cs="Times New Roman" w:eastAsia="Times New Roman" w:hAnsi="Times New Roman"/>
          <w:sz w:val="18"/>
          <w:szCs w:val="18"/>
          <w:color w:val="auto"/>
        </w:rPr>
        <w:t>,” as used herein, means information with respect to the Shares and the offering thereof permitted to be omitted from the Registration Statement when it becomes effective pursuant to Rule 430B.</w:t>
      </w:r>
    </w:p>
    <w:p>
      <w:pPr>
        <w:spacing w:after="0" w:line="189"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In addition to its other obligations under this Section 5(a), the Company agrees that, as an interim measure during the pendency of any claim, action, investigation, inquiry or other proceeding arising out of or based upon any statement or omission, or any alleged statement 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97" w:name="page98"/>
    <w:bookmarkEnd w:id="97"/>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omission, described in this Section 5(a), it will reimburse the Agent on a monthly basis for all reasonable, actual and documented legal fees or other expenses incurred in connection with investigating or defending any such claim, action, investigation, inquiry or other proceeding, notwithstanding the absence of a judicial determination as to the propriety and enforceability of the Company’s obligation to reimburse the Agent for such expenses and the possibility that such payments might later be held to have been improper by a court of competent jurisdiction. Any such interim reimbursement payments which are not made to the Agent within 30 days of a request for reimbursement shall bear interest at the WSJ Prime Rate (as published from time to time by the Wall Street Journal).</w:t>
      </w:r>
    </w:p>
    <w:p>
      <w:pPr>
        <w:spacing w:after="0" w:line="185" w:lineRule="exact"/>
        <w:rPr>
          <w:sz w:val="20"/>
          <w:szCs w:val="20"/>
          <w:color w:val="auto"/>
        </w:rPr>
      </w:pPr>
    </w:p>
    <w:p>
      <w:pPr>
        <w:ind w:right="20" w:firstLine="987"/>
        <w:spacing w:after="0" w:line="253" w:lineRule="auto"/>
        <w:tabs>
          <w:tab w:leader="none" w:pos="124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Agent Indemnification</w:t>
      </w:r>
      <w:r>
        <w:rPr>
          <w:rFonts w:ascii="Times New Roman" w:cs="Times New Roman" w:eastAsia="Times New Roman" w:hAnsi="Times New Roman"/>
          <w:sz w:val="18"/>
          <w:szCs w:val="18"/>
          <w:color w:val="auto"/>
        </w:rPr>
        <w:t>. The Agent will indemnify and hold harmless the Company against any losses, claims, damages or liabilities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 Company may become subject, under the Securities Act or otherwise (including in settlement of any litigation, if such settlement is effected with the written consent of the Agent), but only insofar as such losses, claims, damages or liabilities (or actions in respect thereof) arise out of or are based upon an untrue statement or alleged untrue statement of a material fact contained in the Registration Statement, the Prospectus,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conformity with written information furnished to the Company by the Agent specifically for use in the preparation thereof, it being understood and agreed that the only information furnished by the Agent for use in the Registration Statement or the Prospectus consists of the statements set forth in the seventh and ninth paragraphs under the caption “Plan of Distribution” in the Prospectus, and will reimburse the Company for any legal or other expenses reasonably incurred by the Company in connection with investigating or defending against any such loss, claim, damage, liability or action.</w:t>
      </w:r>
    </w:p>
    <w:p>
      <w:pPr>
        <w:spacing w:after="0" w:line="191"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and Procedures</w:t>
      </w:r>
      <w:r>
        <w:rPr>
          <w:rFonts w:ascii="Times New Roman" w:cs="Times New Roman" w:eastAsia="Times New Roman" w:hAnsi="Times New Roman"/>
          <w:sz w:val="18"/>
          <w:szCs w:val="18"/>
          <w:color w:val="auto"/>
        </w:rPr>
        <w:t>. Promptly after receipt by an indemnified party under subsection (a) or (b) above of notice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the indemnifying party from any liability that it may have to any indemnified party except to the extent such indemnifying party has been materially prejudiced by such failure. In case any such action shall be brought against any indemnified party, and it shall notify the indemnifying party of the commencement thereof, the indemnifying party shall be entitled to participate in, and, to the extent that it shall wish, jointly with any other indemnifying party similarly notified, to assume the defense thereof, with counsel reasonably satisfactory to such indemnified party, and after notice from the indemnifying party to such indemnified party of the indemnifying party’s election so to assume the defense thereof, the indemnifying party shall not be liable to such indemnified party under such subsection for any legal or other expenses subsequently incurred by such indemnified party in connection with the defense thereof other than reasonable costs of investigation;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in the sole judgment of the Agent, it is advisable for the Agent to be represented by separate counsel, the Agent shall have the right to employ a single counsel to represent the Agent, in which event the reasonable fees and expenses of such separate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98" w:name="page99"/>
    <w:bookmarkEnd w:id="98"/>
    <w:p>
      <w:pPr>
        <w:ind w:left="4" w:right="2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counsel shall be borne by the indemnifying party or parties and reimbursed to the Agent as incurred (in accordance with the provisions of the second paragraph in subsection (a) above).</w:t>
      </w:r>
    </w:p>
    <w:p>
      <w:pPr>
        <w:spacing w:after="0" w:line="162" w:lineRule="exact"/>
        <w:rPr>
          <w:sz w:val="20"/>
          <w:szCs w:val="20"/>
          <w:color w:val="auto"/>
        </w:rPr>
      </w:pPr>
    </w:p>
    <w:p>
      <w:pPr>
        <w:ind w:left="4" w:right="160" w:firstLine="440"/>
        <w:spacing w:after="0" w:line="253" w:lineRule="auto"/>
        <w:rPr>
          <w:sz w:val="20"/>
          <w:szCs w:val="20"/>
          <w:color w:val="auto"/>
        </w:rPr>
      </w:pPr>
      <w:r>
        <w:rPr>
          <w:rFonts w:ascii="Times New Roman" w:cs="Times New Roman" w:eastAsia="Times New Roman" w:hAnsi="Times New Roman"/>
          <w:sz w:val="18"/>
          <w:szCs w:val="18"/>
          <w:color w:val="auto"/>
        </w:rPr>
        <w:t>The indemnifying party under this Section 5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this Section 5, the indemnifying party agrees that it shall be liable for any settlement of any proceeding effected without its written consent if (i) such settlement is entered into more than 30 days after receipt by such indemnifying party of the aforesaid request, (ii) such indemnifying party shall have received notice of the terms of such settlement at least 30 days prior to such settlement being entered into, and (iii)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(a) includes an unconditional release of such indemnified party from all liability on claims that are the subject matter of such action, suit or proceeding and (b) does not include a statement as to or an admission of fault, culpability or a failure to act by or on behalf of any indemnified party.</w:t>
      </w:r>
    </w:p>
    <w:p>
      <w:pPr>
        <w:spacing w:after="0" w:line="185" w:lineRule="exact"/>
        <w:rPr>
          <w:sz w:val="20"/>
          <w:szCs w:val="20"/>
          <w:color w:val="auto"/>
        </w:rPr>
      </w:pPr>
    </w:p>
    <w:p>
      <w:pPr>
        <w:ind w:left="4" w:firstLine="987"/>
        <w:spacing w:after="0" w:line="271" w:lineRule="auto"/>
        <w:tabs>
          <w:tab w:leader="none" w:pos="125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Contribution; Limitations on Liability; Non-Exclusive Remedy</w:t>
      </w:r>
      <w:r>
        <w:rPr>
          <w:rFonts w:ascii="Times New Roman" w:cs="Times New Roman" w:eastAsia="Times New Roman" w:hAnsi="Times New Roman"/>
          <w:sz w:val="17"/>
          <w:szCs w:val="17"/>
          <w:color w:val="auto"/>
        </w:rPr>
        <w:t>. If the indemnification provided for in this Section 5 is unavailable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insufficient to hold harmless an indemnified party under subsection (a) or (b) above, then each indemnifying party shall contribute to the amount paid or payable by such indemnified party as a result of the losses, claims, damages or liabilities referred to in subsection (a) or (b) above, (i) in such proportion as is appropriate to reflect the relative benefits received by the Company on the one hand and the Agent on the other from the offering of the Shares, or</w:t>
      </w:r>
    </w:p>
    <w:p>
      <w:pPr>
        <w:spacing w:after="0" w:line="1" w:lineRule="exact"/>
        <w:rPr>
          <w:rFonts w:ascii="Times New Roman" w:cs="Times New Roman" w:eastAsia="Times New Roman" w:hAnsi="Times New Roman"/>
          <w:sz w:val="17"/>
          <w:szCs w:val="17"/>
          <w:color w:val="auto"/>
        </w:rPr>
      </w:pPr>
    </w:p>
    <w:p>
      <w:pPr>
        <w:ind w:left="4" w:right="20" w:hanging="4"/>
        <w:spacing w:after="0" w:line="251" w:lineRule="auto"/>
        <w:tabs>
          <w:tab w:leader="none" w:pos="26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allocation provided by clause (i) above is not permitted by applicable law, in such proportion as is appropriate to reflect not only the relative benefits referred to in clause (i) above but also the relative fault of the Company on the one hand and the Agent on the other in connection with the statements or omissions that resulted in such losses, claims, damages or liabilities, as well as any other relevant equitable considerations. The relative benefits received by the Company on the one hand and the Agent on the other shall be deemed to be in the same proportion as the total net proceeds from the offering (before deducting expenses) received by the Company bear to the total commissions received by the Agent (before deducting expenses) from the sale of the Shares. The relative fault shall be determined by reference to, among other things, whether the untrue or alleged untrue statement of a material fact or the omission or alleged omission to state a material fact relates to information supplied by the Company or the Agent, the intent of the parties and their relative knowledge, access to information and opportunity to correct or prevent such untrue statement or omission. The Company and the Agent agree that it would not be just and equitable if contributions pursuant to this subsection (d) were to be determined by pro rata allocation or by any other method of allocation which does not take account of the equitable considerations referred to in this subsection (d). The amount paid or payable by an indemnified party as a result</w:t>
      </w:r>
    </w:p>
    <w:p>
      <w:pPr>
        <w:spacing w:after="0" w:line="1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64"/>
          </w:cols>
          <w:pgMar w:left="436" w:top="270" w:right="499" w:bottom="1440" w:gutter="0" w:footer="0" w:header="0"/>
        </w:sectPr>
      </w:pPr>
    </w:p>
    <w:bookmarkStart w:id="99" w:name="page100"/>
    <w:bookmarkEnd w:id="99"/>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losses, claims, damages or liabilities referred to in this subsection (d) shall be deemed to include any legal or other expenses reasonably incurred by such indemnified party in connection with investigating or defending against any action or claim which is the subject of this subsection (d). Notwithstanding the provisions of this subsection (d), the Agent shall not be required to contribute any amount in excess of the commissions received by it under this Agreement. No person guilty of fraudulent misrepresentation (within the meaning of Section 11(f) of the Securities Act) shall be entitled to contribution from any person who was not guilty of such fraudulent misrepresentation.</w:t>
      </w:r>
    </w:p>
    <w:p>
      <w:pPr>
        <w:spacing w:after="0" w:line="179" w:lineRule="exact"/>
        <w:rPr>
          <w:sz w:val="20"/>
          <w:szCs w:val="20"/>
          <w:color w:val="auto"/>
        </w:rPr>
      </w:pPr>
    </w:p>
    <w:p>
      <w:pPr>
        <w:ind w:right="80" w:firstLine="436"/>
        <w:spacing w:after="0" w:line="259" w:lineRule="auto"/>
        <w:tabs>
          <w:tab w:leader="none" w:pos="620" w:val="left"/>
        </w:tabs>
        <w:numPr>
          <w:ilvl w:val="0"/>
          <w:numId w:val="9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Representations and Agreements to Survive Delivery</w:t>
      </w:r>
      <w:r>
        <w:rPr>
          <w:rFonts w:ascii="Times New Roman" w:cs="Times New Roman" w:eastAsia="Times New Roman" w:hAnsi="Times New Roman"/>
          <w:sz w:val="18"/>
          <w:szCs w:val="18"/>
          <w:color w:val="auto"/>
        </w:rPr>
        <w:t>. All representations, warranties, and agreements of the Company herein or in certificates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delivered pursuant hereto, including but not limited to the agreements of the Agent and the Company contained in Section 5 hereof, shall remain operative and in full force and effect regardless of any investigation made by or on behalf of the Agent or any controlling person thereof, or the Company or any of its officers, directors, or controlling persons, and shall survive delivery of, and payment for, the Shares to and by the Agent hereunder.</w:t>
      </w:r>
    </w:p>
    <w:p>
      <w:pPr>
        <w:spacing w:after="0" w:line="287" w:lineRule="exact"/>
        <w:rPr>
          <w:rFonts w:ascii="Times New Roman" w:cs="Times New Roman" w:eastAsia="Times New Roman" w:hAnsi="Times New Roman"/>
          <w:sz w:val="18"/>
          <w:szCs w:val="18"/>
          <w:b w:val="1"/>
          <w:bCs w:val="1"/>
          <w:i w:val="1"/>
          <w:iCs w:val="1"/>
          <w:color w:val="auto"/>
        </w:rPr>
      </w:pPr>
    </w:p>
    <w:p>
      <w:pPr>
        <w:ind w:left="620" w:hanging="184"/>
        <w:spacing w:after="0"/>
        <w:tabs>
          <w:tab w:leader="none" w:pos="620" w:val="left"/>
        </w:tabs>
        <w:numPr>
          <w:ilvl w:val="0"/>
          <w:numId w:val="9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Termination of this Agreement.</w:t>
      </w:r>
    </w:p>
    <w:p>
      <w:pPr>
        <w:spacing w:after="0" w:line="229" w:lineRule="exact"/>
        <w:rPr>
          <w:rFonts w:ascii="Times New Roman" w:cs="Times New Roman" w:eastAsia="Times New Roman" w:hAnsi="Times New Roman"/>
          <w:sz w:val="18"/>
          <w:szCs w:val="18"/>
          <w:b w:val="1"/>
          <w:bCs w:val="1"/>
          <w:i w:val="1"/>
          <w:iCs w:val="1"/>
          <w:color w:val="auto"/>
        </w:rPr>
      </w:pPr>
    </w:p>
    <w:p>
      <w:pPr>
        <w:ind w:right="20" w:firstLine="987"/>
        <w:spacing w:after="0" w:line="258" w:lineRule="auto"/>
        <w:tabs>
          <w:tab w:leader="none" w:pos="123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right, by giving ten (10) days’ written notice as hereinafter specified, to terminate the provisions of this Agreement relating to the solicitation of offers to purchase the Shares in its sole discretion at any time. Any such termination shall be without liability of any party to any other party except that (i) with respect to any pending sale, through the Agent for the Company, the obligations of the Company, including in respect of compensation of the Agent, shall remain in full force and effect notwithstanding the termination and (ii) the provisions of Section 3(g), Section 5 and Section 6 of this Agreement shall remain in full force and effect notwithstanding such termination.</w:t>
      </w:r>
    </w:p>
    <w:p>
      <w:pPr>
        <w:spacing w:after="0" w:line="183" w:lineRule="exact"/>
        <w:rPr>
          <w:rFonts w:ascii="Times New Roman" w:cs="Times New Roman" w:eastAsia="Times New Roman" w:hAnsi="Times New Roman"/>
          <w:sz w:val="18"/>
          <w:szCs w:val="18"/>
          <w:color w:val="auto"/>
        </w:rPr>
      </w:pPr>
    </w:p>
    <w:p>
      <w:pPr>
        <w:ind w:right="100" w:firstLine="987"/>
        <w:spacing w:after="0" w:line="261" w:lineRule="auto"/>
        <w:tabs>
          <w:tab w:leader="none" w:pos="124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have the right, by giving written notice as hereinafter specified, to terminate the provisions of this Agreement relating to the solicitation of offers to purchase the Shares in its sole discretion at any time. Any such termination shall be without liability of any party to any other party except that the provisions of Section 3(g), Section 5 and Section 6 of this Agreement shall remain in full force and effect notwithstanding such termination.</w:t>
      </w:r>
    </w:p>
    <w:p>
      <w:pPr>
        <w:spacing w:after="0" w:line="179" w:lineRule="exact"/>
        <w:rPr>
          <w:rFonts w:ascii="Times New Roman" w:cs="Times New Roman" w:eastAsia="Times New Roman" w:hAnsi="Times New Roman"/>
          <w:sz w:val="18"/>
          <w:szCs w:val="18"/>
          <w:color w:val="auto"/>
        </w:rPr>
      </w:pPr>
    </w:p>
    <w:p>
      <w:pPr>
        <w:jc w:val="both"/>
        <w:ind w:right="160" w:firstLine="987"/>
        <w:spacing w:after="0" w:line="266" w:lineRule="auto"/>
        <w:tabs>
          <w:tab w:leader="none" w:pos="123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earlier terminated pursuant to this Section 7, this Agreement shall automatically terminate upon issuance and sale of all of the Shares through the Agent on the terms and subject to the conditions set forth herein, except that the provisions of Section 3(g), Section 5 and Section 6 of this Agreement shall remain in full force and effect notwithstanding such termination.</w:t>
      </w:r>
    </w:p>
    <w:p>
      <w:pPr>
        <w:spacing w:after="0" w:line="175" w:lineRule="exact"/>
        <w:rPr>
          <w:rFonts w:ascii="Times New Roman" w:cs="Times New Roman" w:eastAsia="Times New Roman" w:hAnsi="Times New Roman"/>
          <w:sz w:val="18"/>
          <w:szCs w:val="18"/>
          <w:color w:val="auto"/>
        </w:rPr>
      </w:pPr>
    </w:p>
    <w:p>
      <w:pPr>
        <w:jc w:val="both"/>
        <w:ind w:right="460" w:firstLine="987"/>
        <w:spacing w:after="0" w:line="266" w:lineRule="auto"/>
        <w:tabs>
          <w:tab w:leader="none" w:pos="124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remain in full force and effect unless terminated pursuant to Sections 7(a), (b) or (c) above or otherwise by mutual agreement of the parties; provided that any such termination by mutual agreement shall in all cases be deemed to provide that Section 3(g), Section 5 and Section 6 shall remain in full force and effect.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100" w:name="page101"/>
    <w:bookmarkEnd w:id="100"/>
    <w:p>
      <w:pPr>
        <w:ind w:firstLine="987"/>
        <w:spacing w:after="0" w:line="261" w:lineRule="auto"/>
        <w:tabs>
          <w:tab w:leader="none" w:pos="123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termination of this Agreement shall be effective on the date specified in such notice of termination; provided that such termination shall not be effective until the close of business on the date of receipt of such notice by the Agent or the Company, as the case may be. If such termination shall occur prior to the Settlement Date for any sale of the Shares, such sale shall settle in accordance with the provisions of Section 2(a)(vii) of this Agreement.</w:t>
      </w:r>
    </w:p>
    <w:p>
      <w:pPr>
        <w:spacing w:after="0" w:line="175" w:lineRule="exact"/>
        <w:rPr>
          <w:rFonts w:ascii="Times New Roman" w:cs="Times New Roman" w:eastAsia="Times New Roman" w:hAnsi="Times New Roman"/>
          <w:sz w:val="18"/>
          <w:szCs w:val="18"/>
          <w:color w:val="auto"/>
        </w:rPr>
      </w:pPr>
    </w:p>
    <w:p>
      <w:pPr>
        <w:ind w:right="120" w:firstLine="436"/>
        <w:spacing w:after="0" w:line="259" w:lineRule="auto"/>
        <w:tabs>
          <w:tab w:leader="none" w:pos="620" w:val="left"/>
        </w:tabs>
        <w:numPr>
          <w:ilvl w:val="0"/>
          <w:numId w:val="9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Default by the Company. </w:t>
      </w:r>
      <w:r>
        <w:rPr>
          <w:rFonts w:ascii="Times New Roman" w:cs="Times New Roman" w:eastAsia="Times New Roman" w:hAnsi="Times New Roman"/>
          <w:sz w:val="18"/>
          <w:szCs w:val="18"/>
          <w:color w:val="auto"/>
        </w:rPr>
        <w:t>If the Company shall fail at any Settlement Date to sell and deliver the number of Shares which it is obligated to sell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hereunder, then this Agreement shall terminate without any liability on the part of the Agent or, except as provided in Section 3(g) hereof, any non-defaulting party. No action taken pursuant to this Section shall relieve the Company from liability, if any, in respect of such default, and the Company shall (A) hold the Agent harmless against any loss, claim or damage arising from or as a result of such default by the Company and (B) pay the Agent any commission to which it would otherwise be entitled absent such default.</w:t>
      </w:r>
    </w:p>
    <w:p>
      <w:pPr>
        <w:spacing w:after="0" w:line="179" w:lineRule="exact"/>
        <w:rPr>
          <w:rFonts w:ascii="Times New Roman" w:cs="Times New Roman" w:eastAsia="Times New Roman" w:hAnsi="Times New Roman"/>
          <w:sz w:val="18"/>
          <w:szCs w:val="18"/>
          <w:b w:val="1"/>
          <w:bCs w:val="1"/>
          <w:i w:val="1"/>
          <w:iCs w:val="1"/>
          <w:color w:val="auto"/>
        </w:rPr>
      </w:pPr>
    </w:p>
    <w:p>
      <w:pPr>
        <w:ind w:right="40" w:firstLine="436"/>
        <w:spacing w:after="0" w:line="255" w:lineRule="auto"/>
        <w:tabs>
          <w:tab w:leader="none" w:pos="620" w:val="left"/>
        </w:tabs>
        <w:numPr>
          <w:ilvl w:val="0"/>
          <w:numId w:val="9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Notices</w:t>
      </w:r>
      <w:r>
        <w:rPr>
          <w:rFonts w:ascii="Times New Roman" w:cs="Times New Roman" w:eastAsia="Times New Roman" w:hAnsi="Times New Roman"/>
          <w:sz w:val="18"/>
          <w:szCs w:val="18"/>
          <w:color w:val="auto"/>
        </w:rPr>
        <w:t>. Except as otherwise provided herein, all communications under this Agreement shall be in writing and, if to the Agent, shall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delivered via overnight delivery services to (i) Guggenheim Securities, LLC, 330 Madison Avenue, New York, NY 10017, fax no. 212-658-9689, Attention: Head of Equity Capital Markets, with a copy to Mintz, Levin, Cohn, Ferris, Glovsky and Popeo, P.C., One Financial Center, Boston, Massachusetts 02111, Attention: William Hicks, Esq.; and (ii) the Company at Larimar Therapeutics, Inc. Three Bala Plaza East, Suite 506, Bala Cynwyd, PA 19004, Attention: Chief Financial Officer, with a copy to its counsel at Goodwin Procter LLP, One Commerce Square, 2005 Market Street, 32nd Floor, Philadelphia, PA 19103, Attention: Rachael Bushey, Esq. and Jennifer Porter, Esq.; or in each case to such other address as the person to be notified may have requested in writing. Any party to this Agreement may change such address for notices by sending to the parties to this Agreement written notice of a new address for such purpose.</w:t>
      </w:r>
    </w:p>
    <w:p>
      <w:pPr>
        <w:spacing w:after="0" w:line="184" w:lineRule="exact"/>
        <w:rPr>
          <w:rFonts w:ascii="Times New Roman" w:cs="Times New Roman" w:eastAsia="Times New Roman" w:hAnsi="Times New Roman"/>
          <w:sz w:val="18"/>
          <w:szCs w:val="18"/>
          <w:b w:val="1"/>
          <w:bCs w:val="1"/>
          <w:i w:val="1"/>
          <w:iCs w:val="1"/>
          <w:color w:val="auto"/>
        </w:rPr>
      </w:pPr>
    </w:p>
    <w:p>
      <w:pPr>
        <w:ind w:right="220" w:firstLine="436"/>
        <w:spacing w:after="0" w:line="259" w:lineRule="auto"/>
        <w:tabs>
          <w:tab w:leader="none" w:pos="710" w:val="left"/>
        </w:tabs>
        <w:numPr>
          <w:ilvl w:val="0"/>
          <w:numId w:val="9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Persons Entitled to Benefit of Agreement</w:t>
      </w:r>
      <w:r>
        <w:rPr>
          <w:rFonts w:ascii="Times New Roman" w:cs="Times New Roman" w:eastAsia="Times New Roman" w:hAnsi="Times New Roman"/>
          <w:sz w:val="18"/>
          <w:szCs w:val="18"/>
          <w:color w:val="auto"/>
        </w:rPr>
        <w:t>. This Agreement shall inure to the benefit of and be binding upon the parties hereto and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 successors and assigns and the controlling persons, officers and directors referred to in Section 5. Nothing in this Agreement is intended or shall be construed to give to any other person, firm or corporation any legal or equitable remedy or claim under or in respect of this Agreement or any provision herein contained. The term “successors and assigns” as herein used shall not include any purchaser, as such purchaser, of any of the Shares from the Agent.</w:t>
      </w:r>
    </w:p>
    <w:p>
      <w:pPr>
        <w:spacing w:after="0" w:line="179" w:lineRule="exact"/>
        <w:rPr>
          <w:rFonts w:ascii="Times New Roman" w:cs="Times New Roman" w:eastAsia="Times New Roman" w:hAnsi="Times New Roman"/>
          <w:sz w:val="18"/>
          <w:szCs w:val="18"/>
          <w:b w:val="1"/>
          <w:bCs w:val="1"/>
          <w:i w:val="1"/>
          <w:iCs w:val="1"/>
          <w:color w:val="auto"/>
        </w:rPr>
      </w:pPr>
    </w:p>
    <w:p>
      <w:pPr>
        <w:ind w:right="40" w:firstLine="436"/>
        <w:spacing w:after="0" w:line="256" w:lineRule="auto"/>
        <w:tabs>
          <w:tab w:leader="none" w:pos="700" w:val="left"/>
        </w:tabs>
        <w:numPr>
          <w:ilvl w:val="0"/>
          <w:numId w:val="9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Absence of Fiduciary Relationship</w:t>
      </w:r>
      <w:r>
        <w:rPr>
          <w:rFonts w:ascii="Times New Roman" w:cs="Times New Roman" w:eastAsia="Times New Roman" w:hAnsi="Times New Roman"/>
          <w:sz w:val="18"/>
          <w:szCs w:val="18"/>
          <w:color w:val="auto"/>
        </w:rPr>
        <w:t>. The Company, having been advised by counsel, acknowledges and agrees that: (a) the Agent has been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retained solely to act as a sales agent in connection with the sale of the Shares and that no fiduciary, advisory or agency relationship between the Company (including any of the Company’s affiliates (including directors), equity holders, creditors, employees or agents, hereafter,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Representatives”</w:t>
      </w:r>
      <w:r>
        <w:rPr>
          <w:rFonts w:ascii="Times New Roman" w:cs="Times New Roman" w:eastAsia="Times New Roman" w:hAnsi="Times New Roman"/>
          <w:sz w:val="18"/>
          <w:szCs w:val="18"/>
          <w:color w:val="auto"/>
        </w:rPr>
        <w:t>), on the one hand, and the Agent on the other, has been created or will be created in respect of any of the transactions contemplated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this Agreement, irrespective of whether the Agent has advised or is advising the Company on other matters and irrespective of the use of the defined term “Agent;” (b) neither the Agent nor any of its affiliates (including directors), equity holders, creditors, employees or agents, hereafter,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Representatives”</w:t>
      </w:r>
      <w:r>
        <w:rPr>
          <w:rFonts w:ascii="Times New Roman" w:cs="Times New Roman" w:eastAsia="Times New Roman" w:hAnsi="Times New Roman"/>
          <w:sz w:val="18"/>
          <w:szCs w:val="18"/>
          <w:color w:val="auto"/>
        </w:rPr>
        <w:t>) shall have any duty or obligation to the Company or any Company Representative except as set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101" w:name="page102"/>
    <w:bookmarkEnd w:id="10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forth in this Agreement; (c) the price and other terms of any Placement executed pursuant to this Agreement, as well as the terms of this Agreement, are deemed acceptable to the Company and its counsel, following discussions and arms-length negotiations with the Agent; (d) the Company is capable of evaluating and understanding, and in fact has evaluated, understands and accepts the terms, risks and conditions of any Placement Notice to be executed pursuant to this Agreement, and any other transactions contemplated by this Agreement; (e) the Company has been advised that the Agent and the Agent Representatives are engaged in a broad range of transactions which may involve interests that differ from those of the Company and that the Agent and the Agent Representatives have no obligation to disclose any such interests and transactions to the Company by virtue of any fiduciary, advisory or agency relationship, or otherwise; (f) the Company has been advised that the Agent is acting, in respect of any Placement and the transactions contemplated by this Agreement, solely for the benefit of the Agent, and not on behalf of the Company; and (g) the Company and the Company Representatives waive, to the fullest extent permitted by law, any claims that they may have against the Agent or any of the Agent Representatives for breach of fiduciary duty or alleged breach of fiduciary duty in respect of any Placement or any of the transactions contemplated by this Agreement and agree that the Agent and the Agent Representatives shall have no liability (whether direct or indirect, in contract, tort or otherwise) to the Company or any of the Company Representatives in respect of any person asserting any claim of breach of any fiduciary duty on behalf of or in right of the Company or any of the Company Representatives.</w:t>
      </w:r>
    </w:p>
    <w:p>
      <w:pPr>
        <w:spacing w:after="0" w:line="183" w:lineRule="exact"/>
        <w:rPr>
          <w:sz w:val="20"/>
          <w:szCs w:val="20"/>
          <w:color w:val="auto"/>
        </w:rPr>
      </w:pPr>
    </w:p>
    <w:p>
      <w:pPr>
        <w:ind w:left="700" w:hanging="264"/>
        <w:spacing w:after="0"/>
        <w:tabs>
          <w:tab w:leader="none" w:pos="700" w:val="left"/>
        </w:tabs>
        <w:numPr>
          <w:ilvl w:val="0"/>
          <w:numId w:val="9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Recognition of the U.S. Special Resolution Regimes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i w:val="1"/>
          <w:iCs w:val="1"/>
          <w:color w:val="auto"/>
        </w:rPr>
      </w:pPr>
    </w:p>
    <w:p>
      <w:pPr>
        <w:ind w:right="40" w:firstLine="987"/>
        <w:spacing w:after="0" w:line="261" w:lineRule="auto"/>
        <w:tabs>
          <w:tab w:leader="none" w:pos="123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Agent qualifies as a Covered Entity and becomes subject to a proceeding under a U.S. Special Resolution Regime, the transfer from the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jc w:val="both"/>
        <w:ind w:right="80" w:firstLine="987"/>
        <w:spacing w:after="0" w:line="261" w:lineRule="auto"/>
        <w:tabs>
          <w:tab w:leader="none" w:pos="124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Agent qualifies as a Covered Entity and becomes subject, or a BHC Act Affiliate of the Agent becomes subject to a proceeding under a U.S. Special Resolution Regime, Default Rights under this Agreement that may be exercised against the Agent are permitted to be exercised to no greater extent than such Default Rights could be exercised under the U.S. Special Resolution Regime if this Agreement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section:</w:t>
      </w:r>
    </w:p>
    <w:p>
      <w:pPr>
        <w:spacing w:after="0" w:line="11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1841(k);</w:t>
      </w:r>
    </w:p>
    <w:p>
      <w:pPr>
        <w:spacing w:after="0" w:line="203" w:lineRule="exact"/>
        <w:rPr>
          <w:sz w:val="20"/>
          <w:szCs w:val="20"/>
          <w:color w:val="auto"/>
        </w:rPr>
      </w:pPr>
    </w:p>
    <w:p>
      <w:pPr>
        <w:ind w:firstLine="1432"/>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102" w:name="page103"/>
    <w:bookmarkEnd w:id="102"/>
    <w:p>
      <w:pPr>
        <w:ind w:right="140" w:firstLine="1432"/>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and</w:t>
      </w:r>
    </w:p>
    <w:p>
      <w:pPr>
        <w:spacing w:after="0" w:line="155" w:lineRule="exact"/>
        <w:rPr>
          <w:sz w:val="20"/>
          <w:szCs w:val="20"/>
          <w:color w:val="auto"/>
        </w:rPr>
      </w:pPr>
    </w:p>
    <w:p>
      <w:pPr>
        <w:ind w:right="80" w:firstLine="1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55" w:lineRule="exact"/>
        <w:rPr>
          <w:sz w:val="20"/>
          <w:szCs w:val="20"/>
          <w:color w:val="auto"/>
        </w:rPr>
      </w:pPr>
    </w:p>
    <w:p>
      <w:pPr>
        <w:ind w:firstLine="436"/>
        <w:spacing w:after="0" w:line="257" w:lineRule="auto"/>
        <w:tabs>
          <w:tab w:leader="none" w:pos="710" w:val="left"/>
        </w:tabs>
        <w:numPr>
          <w:ilvl w:val="0"/>
          <w:numId w:val="9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Governing Law and Waiver of Jury Trial</w:t>
      </w:r>
      <w:r>
        <w:rPr>
          <w:rFonts w:ascii="Times New Roman" w:cs="Times New Roman" w:eastAsia="Times New Roman" w:hAnsi="Times New Roman"/>
          <w:sz w:val="18"/>
          <w:szCs w:val="18"/>
          <w:color w:val="auto"/>
        </w:rPr>
        <w:t>. This Agreement and any transaction contemplated by this Agreement and any claim, controversy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dispute arising under or related thereto shall be governed by and construed in accordance with the laws of the State of New York without regard to principles of conflict of laws that would results in the application of any other law than the laws of the State of New York. THE COMPANY (ON ITS OWN BEHALF AND ON BEHALF OF ITS STOCKHOLDERS AND AFFILIATES) HEREBY IRREVOCABLY WAIVES, TO THE FULLEST EXTENT PERMITTED BY APPLICABLE LAW, ANY AND ALL RIGHT TO TRIAL BY JURY IN ANY LEGAL PROCEEDING ARISING OUT OF OR RELATING TO THIS AGREEMENT OR THE TRANSACTIONS CONTEMPLATED HEREBY.</w:t>
      </w:r>
    </w:p>
    <w:p>
      <w:pPr>
        <w:spacing w:after="0" w:line="182" w:lineRule="exact"/>
        <w:rPr>
          <w:rFonts w:ascii="Times New Roman" w:cs="Times New Roman" w:eastAsia="Times New Roman" w:hAnsi="Times New Roman"/>
          <w:sz w:val="18"/>
          <w:szCs w:val="18"/>
          <w:b w:val="1"/>
          <w:bCs w:val="1"/>
          <w:i w:val="1"/>
          <w:iCs w:val="1"/>
          <w:color w:val="auto"/>
        </w:rPr>
      </w:pPr>
    </w:p>
    <w:p>
      <w:pPr>
        <w:jc w:val="both"/>
        <w:ind w:right="40" w:firstLine="436"/>
        <w:spacing w:after="0" w:line="259" w:lineRule="auto"/>
        <w:tabs>
          <w:tab w:leader="none" w:pos="710" w:val="left"/>
        </w:tabs>
        <w:numPr>
          <w:ilvl w:val="0"/>
          <w:numId w:val="9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Submission to Jurisdiction, Etc</w:t>
      </w:r>
      <w:r>
        <w:rPr>
          <w:rFonts w:ascii="Times New Roman" w:cs="Times New Roman" w:eastAsia="Times New Roman" w:hAnsi="Times New Roman"/>
          <w:sz w:val="18"/>
          <w:szCs w:val="18"/>
          <w:color w:val="auto"/>
        </w:rPr>
        <w:t>. Each party hereby submits to the exclusive jurisdiction of the U.S. federal and New York state courts sitting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Borough of Manhattan, City of New York, in any suit or proceeding arising out of or relating to this Agreement or the transactions contemplated hereby. The parties hereby irrevocably and unconditionally waive any objection to the laying of venue of any lawsuit, action or other proceeding in such courts, and hereby further irrevocably and unconditionally waive and agree not to plead or claim in any such court that any such lawsuit, action or other proceeding brought in any such court has been brought in an inconvenient forum.</w:t>
      </w:r>
    </w:p>
    <w:p>
      <w:pPr>
        <w:spacing w:after="0" w:line="179" w:lineRule="exact"/>
        <w:rPr>
          <w:rFonts w:ascii="Times New Roman" w:cs="Times New Roman" w:eastAsia="Times New Roman" w:hAnsi="Times New Roman"/>
          <w:sz w:val="18"/>
          <w:szCs w:val="18"/>
          <w:b w:val="1"/>
          <w:bCs w:val="1"/>
          <w:i w:val="1"/>
          <w:iCs w:val="1"/>
          <w:color w:val="auto"/>
        </w:rPr>
      </w:pPr>
    </w:p>
    <w:p>
      <w:pPr>
        <w:ind w:right="400" w:firstLine="436"/>
        <w:spacing w:after="0" w:line="286" w:lineRule="auto"/>
        <w:tabs>
          <w:tab w:leader="none" w:pos="710" w:val="left"/>
        </w:tabs>
        <w:numPr>
          <w:ilvl w:val="0"/>
          <w:numId w:val="9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an original, and all of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together shall constitute one and the same instrument.</w:t>
      </w:r>
    </w:p>
    <w:p>
      <w:pPr>
        <w:spacing w:after="0" w:line="154" w:lineRule="exact"/>
        <w:rPr>
          <w:rFonts w:ascii="Times New Roman" w:cs="Times New Roman" w:eastAsia="Times New Roman" w:hAnsi="Times New Roman"/>
          <w:sz w:val="18"/>
          <w:szCs w:val="18"/>
          <w:b w:val="1"/>
          <w:bCs w:val="1"/>
          <w:i w:val="1"/>
          <w:iCs w:val="1"/>
          <w:color w:val="auto"/>
        </w:rPr>
      </w:pPr>
    </w:p>
    <w:p>
      <w:pPr>
        <w:ind w:right="40" w:firstLine="436"/>
        <w:spacing w:after="0" w:line="262" w:lineRule="auto"/>
        <w:tabs>
          <w:tab w:leader="none" w:pos="710" w:val="left"/>
        </w:tabs>
        <w:numPr>
          <w:ilvl w:val="0"/>
          <w:numId w:val="9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Construction</w:t>
      </w:r>
      <w:r>
        <w:rPr>
          <w:rFonts w:ascii="Times New Roman" w:cs="Times New Roman" w:eastAsia="Times New Roman" w:hAnsi="Times New Roman"/>
          <w:sz w:val="18"/>
          <w:szCs w:val="18"/>
          <w:color w:val="auto"/>
        </w:rPr>
        <w:t>. The section and exhibit headings herein are for convenience only and shall not affect the construction hereof. References herein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66" w:right="459" w:bottom="1440" w:gutter="0" w:footer="0" w:header="0"/>
        </w:sectPr>
      </w:pPr>
    </w:p>
    <w:bookmarkStart w:id="103" w:name="page104"/>
    <w:bookmarkEnd w:id="103"/>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Please sign and return to the Company the enclosed duplicates of this letter whereupon this letter will become a binding agreement between the Company and the Agent in accordance with its terms.</w:t>
      </w:r>
    </w:p>
    <w:p>
      <w:pPr>
        <w:spacing w:after="0" w:line="200" w:lineRule="exact"/>
        <w:rPr>
          <w:sz w:val="20"/>
          <w:szCs w:val="20"/>
          <w:color w:val="auto"/>
        </w:rPr>
      </w:pPr>
    </w:p>
    <w:p>
      <w:pPr>
        <w:spacing w:after="0" w:line="20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Celano</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Michael Celano</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Confirmed as of the date first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 mentioned.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GUGGENHEIM SECURITIES,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Jordan Bliss</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Jordan Bliss</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Senior Managing Director</w:t>
            </w: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Sales Agreement]</w:t>
      </w:r>
    </w:p>
    <w:p>
      <w:pPr>
        <w:sectPr>
          <w:pgSz w:w="11900" w:h="16838" w:orient="portrait"/>
          <w:cols w:equalWidth="0" w:num="1">
            <w:col w:w="11020"/>
          </w:cols>
          <w:pgMar w:left="440" w:top="270" w:right="439"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PLACEMENT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1 - 1</w:t>
      </w:r>
    </w:p>
    <w:p>
      <w:pPr>
        <w:sectPr>
          <w:pgSz w:w="11900" w:h="16838" w:orient="portrait"/>
          <w:cols w:equalWidth="0" w:num="1">
            <w:col w:w="9019"/>
          </w:cols>
          <w:pgMar w:left="1440" w:top="266" w:right="1440" w:bottom="1440" w:gutter="0" w:footer="0" w:header="0"/>
        </w:sectPr>
      </w:pPr>
    </w:p>
    <w:bookmarkStart w:id="105" w:name="page106"/>
    <w:bookmarkEnd w:id="105"/>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w:t>
      </w:r>
    </w:p>
    <w:p>
      <w:pPr>
        <w:spacing w:after="0" w:line="11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7"/>
          <w:szCs w:val="17"/>
          <w:b w:val="1"/>
          <w:bCs w:val="1"/>
          <w:color w:val="auto"/>
        </w:rPr>
        <w:t>NOTICE PARTIES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Carole Ben-Maimon, M.D.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Celano</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Guggenheim Securities, LLC: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Jordan Bliss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Guzman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Lee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Jiang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Marguerite O’Brien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Schedule 2 - 1</w:t>
      </w:r>
    </w:p>
    <w:p>
      <w:pPr>
        <w:sectPr>
          <w:pgSz w:w="11900" w:h="16838" w:orient="portrait"/>
          <w:cols w:equalWidth="0" w:num="1">
            <w:col w:w="10019"/>
          </w:cols>
          <w:pgMar w:left="440" w:top="266" w:right="1440" w:bottom="1440" w:gutter="0" w:footer="0" w:header="0"/>
        </w:sectPr>
      </w:pPr>
    </w:p>
    <w:bookmarkStart w:id="106" w:name="page107"/>
    <w:bookmarkEnd w:id="10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3</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OF REPRESENTATION CERTIFICATE</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SECTION 3(Q) OF THE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Guggenheim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Sir:</w:t>
      </w:r>
    </w:p>
    <w:p>
      <w:pPr>
        <w:spacing w:after="0" w:line="225" w:lineRule="exact"/>
        <w:rPr>
          <w:sz w:val="20"/>
          <w:szCs w:val="20"/>
          <w:color w:val="auto"/>
        </w:rPr>
      </w:pPr>
    </w:p>
    <w:p>
      <w:pPr>
        <w:ind w:right="300" w:firstLine="440"/>
        <w:spacing w:after="0" w:line="261" w:lineRule="auto"/>
        <w:rPr>
          <w:sz w:val="20"/>
          <w:szCs w:val="20"/>
          <w:color w:val="auto"/>
        </w:rPr>
      </w:pPr>
      <w:r>
        <w:rPr>
          <w:rFonts w:ascii="Times New Roman" w:cs="Times New Roman" w:eastAsia="Times New Roman" w:hAnsi="Times New Roman"/>
          <w:sz w:val="18"/>
          <w:szCs w:val="18"/>
          <w:color w:val="auto"/>
        </w:rPr>
        <w:t>The undersigned, the duly qualified and elected Chief Executive Officer and the duly qualified and elected Chief Financial Officer of Larimar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do each hereby certify in such capacity, and not in their individual capacities, and on behalf of the Company, pursuant to </w:t>
      </w:r>
      <w:r>
        <w:rPr>
          <w:rFonts w:ascii="Times New Roman" w:cs="Times New Roman" w:eastAsia="Times New Roman" w:hAnsi="Times New Roman"/>
          <w:sz w:val="18"/>
          <w:szCs w:val="18"/>
          <w:u w:val="single" w:color="auto"/>
          <w:color w:val="auto"/>
        </w:rPr>
        <w:t>Section 3(q)</w:t>
      </w:r>
      <w:r>
        <w:rPr>
          <w:rFonts w:ascii="Times New Roman" w:cs="Times New Roman" w:eastAsia="Times New Roman" w:hAnsi="Times New Roman"/>
          <w:sz w:val="18"/>
          <w:szCs w:val="18"/>
          <w:color w:val="auto"/>
        </w:rPr>
        <w:t xml:space="preserve"> of the Sales Agreement, dated May 9, 2024 (the “</w:t>
      </w:r>
      <w:r>
        <w:rPr>
          <w:rFonts w:ascii="Times New Roman" w:cs="Times New Roman" w:eastAsia="Times New Roman" w:hAnsi="Times New Roman"/>
          <w:sz w:val="18"/>
          <w:szCs w:val="18"/>
          <w:b w:val="1"/>
          <w:bCs w:val="1"/>
          <w:color w:val="auto"/>
        </w:rPr>
        <w:t>Sales Agreement</w:t>
      </w:r>
      <w:r>
        <w:rPr>
          <w:rFonts w:ascii="Times New Roman" w:cs="Times New Roman" w:eastAsia="Times New Roman" w:hAnsi="Times New Roman"/>
          <w:sz w:val="18"/>
          <w:szCs w:val="18"/>
          <w:color w:val="auto"/>
        </w:rPr>
        <w:t>”), between the Company and Guggenheim Securities, LLC, that to the best of the knowledge of each the undersigned:</w:t>
      </w:r>
    </w:p>
    <w:p>
      <w:pPr>
        <w:spacing w:after="0" w:line="72" w:lineRule="exact"/>
        <w:rPr>
          <w:sz w:val="20"/>
          <w:szCs w:val="20"/>
          <w:color w:val="auto"/>
        </w:rPr>
      </w:pPr>
    </w:p>
    <w:p>
      <w:pPr>
        <w:ind w:firstLine="987"/>
        <w:spacing w:after="0" w:line="266" w:lineRule="auto"/>
        <w:tabs>
          <w:tab w:leader="none" w:pos="120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in this Sales Agreement are true and correct, in all material respects, as if made at and as of the date of the certificate, and the Company has complied with all the agreements and satisfied all the conditions on its part to be performed or satisfied at or prior to the date of the certificate;</w:t>
      </w:r>
    </w:p>
    <w:p>
      <w:pPr>
        <w:spacing w:after="0" w:line="175" w:lineRule="exact"/>
        <w:rPr>
          <w:rFonts w:ascii="Times New Roman" w:cs="Times New Roman" w:eastAsia="Times New Roman" w:hAnsi="Times New Roman"/>
          <w:sz w:val="18"/>
          <w:szCs w:val="18"/>
          <w:color w:val="auto"/>
        </w:rPr>
      </w:pPr>
    </w:p>
    <w:p>
      <w:pPr>
        <w:ind w:right="40" w:firstLine="987"/>
        <w:spacing w:after="0" w:line="261" w:lineRule="auto"/>
        <w:tabs>
          <w:tab w:leader="none" w:pos="125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or other order suspending the effectiveness of the Registration Statement or any part thereof or any amendment thereof or the qualification of the Shares for Registration Statement, nor suspending or preventing the use of the base prospectus, the Prospectus or any Permitted Free Writing Prospectus, has been issued, and no proceeding for that purpose has been instituted or, to the best of the Company’s knowledge, is contemplated by the Commission or any state or regulatory body;</w:t>
      </w:r>
    </w:p>
    <w:p>
      <w:pPr>
        <w:spacing w:after="0" w:line="179" w:lineRule="exact"/>
        <w:rPr>
          <w:rFonts w:ascii="Times New Roman" w:cs="Times New Roman" w:eastAsia="Times New Roman" w:hAnsi="Times New Roman"/>
          <w:sz w:val="18"/>
          <w:szCs w:val="18"/>
          <w:color w:val="auto"/>
        </w:rPr>
      </w:pPr>
    </w:p>
    <w:p>
      <w:pPr>
        <w:ind w:right="760" w:firstLine="987"/>
        <w:spacing w:after="0" w:line="282" w:lineRule="auto"/>
        <w:tabs>
          <w:tab w:leader="none" w:pos="130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have been duly and validly authorized by the Company and that all corporate action required to be taken for the authorization, issuance and sale of the Shares has been validly and sufficiently taken;</w:t>
      </w:r>
    </w:p>
    <w:p>
      <w:pPr>
        <w:spacing w:after="0" w:line="161" w:lineRule="exact"/>
        <w:rPr>
          <w:rFonts w:ascii="Times New Roman" w:cs="Times New Roman" w:eastAsia="Times New Roman" w:hAnsi="Times New Roman"/>
          <w:sz w:val="18"/>
          <w:szCs w:val="18"/>
          <w:color w:val="auto"/>
        </w:rPr>
      </w:pPr>
    </w:p>
    <w:p>
      <w:pPr>
        <w:ind w:right="240" w:firstLine="987"/>
        <w:spacing w:after="0" w:line="266" w:lineRule="auto"/>
        <w:tabs>
          <w:tab w:leader="none" w:pos="129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signers of this certificate have carefully examined the Registration Statement, the base prospectus, the Prospectus and any Permitted Free Writing Prospectus, and any amendments thereof or supplements thereto (including any documents filed under the Exchange Act and deemed to be incorporated by reference into the base prospectus, the Prospectus and any Permitted Free Writing Prospectus),</w:t>
      </w:r>
    </w:p>
    <w:p>
      <w:pPr>
        <w:spacing w:after="0" w:line="175" w:lineRule="exact"/>
        <w:rPr>
          <w:rFonts w:ascii="Times New Roman" w:cs="Times New Roman" w:eastAsia="Times New Roman" w:hAnsi="Times New Roman"/>
          <w:sz w:val="18"/>
          <w:szCs w:val="18"/>
          <w:color w:val="auto"/>
        </w:rPr>
      </w:pPr>
    </w:p>
    <w:p>
      <w:pPr>
        <w:jc w:val="both"/>
        <w:ind w:right="80" w:firstLine="1428"/>
        <w:spacing w:after="0" w:line="261" w:lineRule="auto"/>
        <w:tabs>
          <w:tab w:leader="none" w:pos="1727"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 of the Registration Statement and the Prospectus, and any amendments thereof or supplements thereto (including any documents filed under the Exchange Act and deemed to be incorporated by reference into the Prospectus) contain, and contained when such part of the Registration Statement (or such amendment) became effective, all statements and information required to be included therein, each part of the Registration</w:t>
      </w:r>
    </w:p>
    <w:p>
      <w:pPr>
        <w:sectPr>
          <w:pgSz w:w="11900" w:h="16838" w:orient="portrait"/>
          <w:cols w:equalWidth="0" w:num="1">
            <w:col w:w="10940"/>
          </w:cols>
          <w:pgMar w:left="440" w:top="266"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Schedule 3 - 1</w:t>
      </w:r>
    </w:p>
    <w:p>
      <w:pPr>
        <w:sectPr>
          <w:pgSz w:w="11900" w:h="16838" w:orient="portrait"/>
          <w:cols w:equalWidth="0" w:num="1">
            <w:col w:w="10940"/>
          </w:cols>
          <w:pgMar w:left="440" w:top="266" w:right="519" w:bottom="1440" w:gutter="0" w:footer="0" w:header="0"/>
          <w:type w:val="continuous"/>
        </w:sectPr>
      </w:pPr>
    </w:p>
    <w:bookmarkStart w:id="107" w:name="page108"/>
    <w:bookmarkEnd w:id="107"/>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Statement, or any amendment thereof, does not contain, and did not contain, when such part of the Registration Statement (or such amendment) became effective, any untrue statement of a material fact or omit to state, and did not omit to state when such part of the Registration Statement (or such amendment) became effective, any material fact required to be stated therein or necessary to make the statements therein not misleading, and the Prospectus, as amended or supplemented, does not include and did not include as of its date, or the time of first use within the meaning of the Securities Act, any untrue statement of a material fact or omit to state and did not omit to state as of its date, or the time of first use within the meaning of the Securities Act, a material fact necessary to make the statements therein, in light of the circumstances under which they were made, not misleading,</w:t>
      </w:r>
    </w:p>
    <w:p>
      <w:pPr>
        <w:spacing w:after="0" w:line="187" w:lineRule="exact"/>
        <w:rPr>
          <w:sz w:val="20"/>
          <w:szCs w:val="20"/>
          <w:color w:val="auto"/>
        </w:rPr>
      </w:pPr>
    </w:p>
    <w:p>
      <w:pPr>
        <w:ind w:right="40" w:firstLine="1428"/>
        <w:spacing w:after="0" w:line="258" w:lineRule="auto"/>
        <w:tabs>
          <w:tab w:leader="none" w:pos="171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no time during the period that begins on the earlier of the date of such base prospectus, Prospectus, or Permitted Free Writing Prospectus and the date such base prospectus, Prospectus, or Permitted Free Writing Prospectus was filed with the Commission and ends on the date of this certificate did such base prospectus, Prospectus, or Permitted Free Writing Prospectus, as then amended or supplemented, include an untrue statement of a material fact or omit to state any material fact necessary in order to make the statements therein, in the light of the circumstances under which they were made, not misleading,</w:t>
      </w:r>
    </w:p>
    <w:p>
      <w:pPr>
        <w:spacing w:after="0" w:line="183" w:lineRule="exact"/>
        <w:rPr>
          <w:rFonts w:ascii="Times New Roman" w:cs="Times New Roman" w:eastAsia="Times New Roman" w:hAnsi="Times New Roman"/>
          <w:sz w:val="18"/>
          <w:szCs w:val="18"/>
          <w:color w:val="auto"/>
        </w:rPr>
      </w:pPr>
    </w:p>
    <w:p>
      <w:pPr>
        <w:ind w:right="60" w:firstLine="1428"/>
        <w:spacing w:after="0" w:line="289" w:lineRule="auto"/>
        <w:tabs>
          <w:tab w:leader="none" w:pos="1717"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the date of the Sales Agreement, there has occurred no event required to be set forth in an amended or supplemented prospectus which has not been so set forth, and there has been no document required to be filed under the Exchange Act that upon such filing would be deemed to be incorporated by reference into the base prospectus, the Prospectus or any Permitted Free Writing Prospectus that has not been so filed,</w:t>
      </w:r>
    </w:p>
    <w:p>
      <w:pPr>
        <w:spacing w:after="0" w:line="157" w:lineRule="exact"/>
        <w:rPr>
          <w:rFonts w:ascii="Times New Roman" w:cs="Times New Roman" w:eastAsia="Times New Roman" w:hAnsi="Times New Roman"/>
          <w:sz w:val="17"/>
          <w:szCs w:val="17"/>
          <w:color w:val="auto"/>
        </w:rPr>
      </w:pPr>
    </w:p>
    <w:p>
      <w:pPr>
        <w:ind w:firstLine="1428"/>
        <w:spacing w:after="0" w:line="254" w:lineRule="auto"/>
        <w:tabs>
          <w:tab w:leader="none" w:pos="172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stated in the Prospectus or any Permitted Free Writing Prospectus, the Company has not incurred any material liabilities or obligations, direct or contingent, or entered into any material transactions, not in the ordinary course of business, or declared or paid any dividends or made any distribution of any kind with respect to its capital stock, and except as disclosed in the base prospectus, the Prospectus, and any Permitted Free Writing Prospectus, there has not been any material change in the capital stock (other than a change in the number of outstanding Common Stock due to sales of Shares pursuant to the Sales Agreement and the issuance of shares of Common Stock upon the exercise of equity awards or warrants), or any material change in the short term or long term debt, or any Material Adverse Effect or any development involving a prospective Material Adverse Effect (whether or not arising in the ordinary course of business), or any loss by strike, fire, flood, earthquake, accident or other calamity, whether or not covered by insurance, incurred by the Company, and</w:t>
      </w:r>
    </w:p>
    <w:p>
      <w:pPr>
        <w:spacing w:after="0" w:line="191" w:lineRule="exact"/>
        <w:rPr>
          <w:rFonts w:ascii="Times New Roman" w:cs="Times New Roman" w:eastAsia="Times New Roman" w:hAnsi="Times New Roman"/>
          <w:sz w:val="18"/>
          <w:szCs w:val="18"/>
          <w:color w:val="auto"/>
        </w:rPr>
      </w:pPr>
    </w:p>
    <w:p>
      <w:pPr>
        <w:jc w:val="both"/>
        <w:ind w:right="180" w:firstLine="1428"/>
        <w:spacing w:after="0" w:line="266" w:lineRule="auto"/>
        <w:tabs>
          <w:tab w:leader="none" w:pos="170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stated in the base prospectus, the Prospectus, and any Permitted Free Writing Prospectus, there is not pending, or, to the knowledge of the Company, threatened or contemplated, any action, suit or proceeding to which the Company is a party before or by any court or governmental agency, authority or body, or any arbitrator, which might result in a Material Adverse Effect.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Capitalized terms used herein without definition shall have the meanings given to such terms in the Sales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Schedule 3 - 2</w:t>
      </w:r>
    </w:p>
    <w:p>
      <w:pPr>
        <w:sectPr>
          <w:pgSz w:w="11900" w:h="16838" w:orient="portrait"/>
          <w:cols w:equalWidth="0" w:num="1">
            <w:col w:w="10940"/>
          </w:cols>
          <w:pgMar w:left="440" w:top="270" w:right="519" w:bottom="1440" w:gutter="0" w:footer="0" w:header="0"/>
        </w:sectPr>
      </w:pPr>
    </w:p>
    <w:bookmarkStart w:id="108" w:name="page109"/>
    <w:bookmarkEnd w:id="108"/>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LARIMAR THERAPEUTICS, INC.</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22860</wp:posOffset>
            </wp:positionV>
            <wp:extent cx="24599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7">
                      <a:extLst>
                        <a:ext uri="{28A0092B-C50C-407E-A947-70E740481C1C}"/>
                      </a:extLst>
                    </a:blip>
                    <a:srcRect/>
                    <a:stretch>
                      <a:fillRect/>
                    </a:stretch>
                  </pic:blipFill>
                  <pic:spPr bwMode="auto">
                    <a:xfrm>
                      <a:off x="0" y="0"/>
                      <a:ext cx="245999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-121920</wp:posOffset>
            </wp:positionV>
            <wp:extent cx="24599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9">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22860</wp:posOffset>
            </wp:positionV>
            <wp:extent cx="24599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0">
                      <a:extLst>
                        <a:ext uri="{28A0092B-C50C-407E-A947-70E740481C1C}"/>
                      </a:extLst>
                    </a:blip>
                    <a:srcRect/>
                    <a:stretch>
                      <a:fillRect/>
                    </a:stretch>
                  </pic:blipFill>
                  <pic:spPr bwMode="auto">
                    <a:xfrm>
                      <a:off x="0" y="0"/>
                      <a:ext cx="245999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-121920</wp:posOffset>
            </wp:positionV>
            <wp:extent cx="24599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3 - 3</w:t>
      </w:r>
    </w:p>
    <w:p>
      <w:pPr>
        <w:sectPr>
          <w:pgSz w:w="11900" w:h="16838" w:orient="portrait"/>
          <w:cols w:equalWidth="0" w:num="1">
            <w:col w:w="9019"/>
          </w:cols>
          <w:pgMar w:left="1440" w:top="266" w:right="1440" w:bottom="1440" w:gutter="0" w:footer="0" w:header="0"/>
        </w:sectPr>
      </w:pPr>
    </w:p>
    <w:bookmarkStart w:id="109" w:name="page110"/>
    <w:bookmarkEnd w:id="109"/>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4</w:t>
      </w:r>
    </w:p>
    <w:p>
      <w:pPr>
        <w:spacing w:after="0" w:line="11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Zafgen Australia Pty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Schedule 4 - 1</w:t>
      </w:r>
    </w:p>
    <w:p>
      <w:pPr>
        <w:sectPr>
          <w:pgSz w:w="11900" w:h="16838" w:orient="portrait"/>
          <w:cols w:equalWidth="0" w:num="1">
            <w:col w:w="10019"/>
          </w:cols>
          <w:pgMar w:left="440" w:top="266" w:right="1440"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Dated as of [ • ], 20[ • ]</w:t>
      </w:r>
    </w:p>
    <w:p>
      <w:pPr>
        <w:spacing w:after="0" w:line="9" w:lineRule="exact"/>
        <w:rPr>
          <w:sz w:val="20"/>
          <w:szCs w:val="20"/>
          <w:color w:val="auto"/>
        </w:rPr>
      </w:pPr>
    </w:p>
    <w:p>
      <w:pPr>
        <w:ind w:left="5480" w:hanging="112"/>
        <w:spacing w:after="0"/>
        <w:tabs>
          <w:tab w:leader="none" w:pos="548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w:t>
      </w:r>
    </w:p>
    <w:p>
      <w:pPr>
        <w:spacing w:after="0" w:line="9" w:lineRule="exact"/>
        <w:rPr>
          <w:rFonts w:ascii="Times New Roman" w:cs="Times New Roman" w:eastAsia="Times New Roman" w:hAnsi="Times New Roman"/>
          <w:sz w:val="18"/>
          <w:szCs w:val="18"/>
          <w:b w:val="1"/>
          <w:bCs w:val="1"/>
          <w:color w:val="auto"/>
        </w:rPr>
      </w:pPr>
    </w:p>
    <w:p>
      <w:pPr>
        <w:ind w:left="52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Trustee</w:t>
      </w:r>
    </w:p>
    <w:p>
      <w:pPr>
        <w:spacing w:after="0" w:line="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ARTICLE I. DEFINITIONS AND INCORPORATION BY REFERENCE</w:t>
            </w: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228"/>
        </w:trPr>
        <w:tc>
          <w:tcPr>
            <w:tcW w:w="10680" w:type="dxa"/>
            <w:vAlign w:val="bottom"/>
            <w:gridSpan w:val="2"/>
            <w:vMerge w:val="continue"/>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Definitions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Definitions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1.3.</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Incorporation by Reference of Trust Indenture Act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1.4.</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Rules of Construction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THE SECURITIES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0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Issuable in Series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Establishment of Terms of Series of Securities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2.3.</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Execution and Authentication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2.4.</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Registrar, Paying Agent and Notice Agent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2.5.</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Paying Agent to Hold Money in Trust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2.6.</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Holder Lists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2.7.</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Transfer and Exchange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2.8.</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Mutilated, Destroyed, Lost and Stolen Securities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2.9.</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Outstanding Securities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Treasury Securities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Temporary Securities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Cancellation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2.13.</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Defaulted Interest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2.14.</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Global Securities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2.15.</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CUSIP Numbers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REDEMPTION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30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3.1.</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 to Trustee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3.2.</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Selection of Securities to be Redeemed</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3.3.</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 of Redemption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3.4.</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Notice of Redemption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3.5.</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Deposit of Redemption Price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3.6.</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Securities Redeemed in Part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COVENANTS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30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4.1.</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Principal and Interest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4.2.</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Reports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4.3.</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Compliance Certificate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4.4.</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Stay, Extension and Usury Laws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SUCCESSORS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0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5.1.</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When Company May Merge, Etc.</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5.2.</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Successor Corporation Substituted</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DEFAULTS AND REMEDIES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0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6.1.</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Events of Default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6.2.</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Acceleration of Maturity; Rescission and Annulment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6.3.</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Collection of Indebtedness and Suits for Enforcement by Trustee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6.4.</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Trustee May File Proofs of Claim</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6.5.</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Trustee May Enforce Claims Without Possession of Securities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6.6.</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Application of Money Collected</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6.7.</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Limitation on Suits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bl>
    <w:p>
      <w:pPr>
        <w:sectPr>
          <w:pgSz w:w="11900" w:h="16838" w:orient="portrait"/>
          <w:cols w:equalWidth="0" w:num="1">
            <w:col w:w="11020"/>
          </w:cols>
          <w:pgMar w:left="440" w:top="117" w:right="439" w:bottom="1440" w:gutter="0" w:footer="0" w:header="0"/>
        </w:sectPr>
      </w:pPr>
    </w:p>
    <w:bookmarkStart w:id="111" w:name="page112"/>
    <w:bookmarkEnd w:id="1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6.8.</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Unconditional Right of Holders to Receive Principal and Interest</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6.9.</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Restoration of Rights and Remedies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Rights and Remedies Cumulative</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6.11.</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Delay or Omission Not Waiver</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6.12.</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Control by Holders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6.13.</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Waiver of Past Defaults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6.14.</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Undertaking for Costs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TRUSTEE</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0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7.1.</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Duties of Trustee</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7.2.</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Rights of Trustee</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7.3.</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Individual Rights of Trustee</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7.4.</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Trustee’s Disclaimer</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7.5.</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 of Defaults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7.6.</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Reports by Trustee to Holders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7.7.</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 and Indemnity</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7.8.</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Replacement of Trustee</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7.9.</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Successor Trustee by Merger, Etc.</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7.10.</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Eligibility; Disqualification</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7.11.</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Preferential Collection of Claims Against Company</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SATISFACTION AND DISCHARGE; DEFEASANCE</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0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8.1.</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Satisfaction and Discharge of Indenture</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8.2.</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Application of Trust Funds; Indemnification</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8.3.</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Defeasance of Securities of any Series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8.4.</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Covenant Defeasance</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8.5.</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 to Company</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8.6.</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Reinstatement</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AMENDMENTS AND WAIVERS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0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9.1.</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Without Consent of Holders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9.2.</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 Consent of Holders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9.3.</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Limitations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9.4.</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Compliance with Trust Indenture Act</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9.5.</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Revocation and Effect of Consents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9.6.</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Notation on or Exchange of Securities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9.7.</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Trustee Protected</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24"/>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MISCELLANEOUS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0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Trust Indenture Act Controls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Communication by Holders with Other Holders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10.4.</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 and Opinion as to Conditions Precedent</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10.5.</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Statements Required in Certificate or Opinion</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10.6.</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Rules by Trustee and Agents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10.7.</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Holidays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10.8.</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Recourse Against Others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10.9.</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Counterparts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10.10.</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Governing Law; Waiver of Jury Trial; Consent to Jurisdiction</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10.11.</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Adverse Interpretation of Other Agreements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10.12.</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Successors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10.13.</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Severability</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10.14.</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Table of Contents, Headings, Etc.</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10.15.</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Securities in a Foreign Currency</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10.16.</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Judgment Currency</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10.17.</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Force Majeure</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10.18.</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U.S.A. Patriot Act</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SINKING FUNDS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0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11.1.</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Applicability of Article</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11.2.</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Satisfaction of Sinking Fund Payments with Securities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11.3.</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Redemption of Securities for Sinking Fund</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bl>
    <w:p>
      <w:pPr>
        <w:sectPr>
          <w:pgSz w:w="11900" w:h="16838" w:orient="portrait"/>
          <w:cols w:equalWidth="0" w:num="1">
            <w:col w:w="10960"/>
          </w:cols>
          <w:pgMar w:left="440" w:top="270" w:right="499" w:bottom="1440" w:gutter="0" w:footer="0" w:header="0"/>
        </w:sectPr>
      </w:pPr>
    </w:p>
    <w:bookmarkStart w:id="112" w:name="page113"/>
    <w:bookmarkEnd w:id="1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2280" w:type="dxa"/>
        <w:tblCellMar>
          <w:top w:w="0" w:type="dxa"/>
          <w:left w:w="0" w:type="dxa"/>
          <w:bottom w:w="0" w:type="dxa"/>
          <w:right w:w="0" w:type="dxa"/>
        </w:tblCellMar>
      </w:tblPr>
      <w:tr>
        <w:trPr>
          <w:trHeight w:val="220"/>
        </w:trPr>
        <w:tc>
          <w:tcPr>
            <w:tcW w:w="860" w:type="dxa"/>
            <w:vAlign w:val="bottom"/>
          </w:tcPr>
          <w:p>
            <w:pPr>
              <w:spacing w:after="0"/>
              <w:rPr>
                <w:sz w:val="19"/>
                <w:szCs w:val="19"/>
                <w:color w:val="auto"/>
              </w:rPr>
            </w:pPr>
          </w:p>
        </w:tc>
        <w:tc>
          <w:tcPr>
            <w:tcW w:w="5900" w:type="dxa"/>
            <w:vAlign w:val="bottom"/>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w w:val="99"/>
              </w:rPr>
              <w:t>LARIMAR THERAPEUTICS, INC.</w:t>
            </w:r>
          </w:p>
        </w:tc>
      </w:tr>
      <w:tr>
        <w:trPr>
          <w:trHeight w:val="216"/>
        </w:trPr>
        <w:tc>
          <w:tcPr>
            <w:tcW w:w="860" w:type="dxa"/>
            <w:vAlign w:val="bottom"/>
          </w:tcPr>
          <w:p>
            <w:pPr>
              <w:spacing w:after="0"/>
              <w:rPr>
                <w:sz w:val="18"/>
                <w:szCs w:val="18"/>
                <w:color w:val="auto"/>
              </w:rPr>
            </w:pPr>
          </w:p>
        </w:tc>
        <w:tc>
          <w:tcPr>
            <w:tcW w:w="590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w w:val="99"/>
              </w:rPr>
              <w:t>Reconciliation and tie between Trust Indenture Act of 1939 and</w:t>
            </w:r>
          </w:p>
        </w:tc>
      </w:tr>
      <w:tr>
        <w:trPr>
          <w:trHeight w:val="234"/>
        </w:trPr>
        <w:tc>
          <w:tcPr>
            <w:tcW w:w="860" w:type="dxa"/>
            <w:vAlign w:val="bottom"/>
          </w:tcPr>
          <w:p>
            <w:pPr>
              <w:spacing w:after="0"/>
              <w:rPr>
                <w:sz w:val="20"/>
                <w:szCs w:val="20"/>
                <w:color w:val="auto"/>
              </w:rPr>
            </w:pPr>
          </w:p>
        </w:tc>
        <w:tc>
          <w:tcPr>
            <w:tcW w:w="590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w w:val="99"/>
              </w:rPr>
              <w:t>Indenture, dated as of [•], 20[•]</w:t>
            </w:r>
          </w:p>
        </w:tc>
      </w:tr>
      <w:tr>
        <w:trPr>
          <w:trHeight w:val="441"/>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 310(a)(1)</w:t>
            </w:r>
          </w:p>
        </w:tc>
        <w:tc>
          <w:tcPr>
            <w:tcW w:w="590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w:t>
            </w:r>
          </w:p>
        </w:tc>
        <w:tc>
          <w:tcPr>
            <w:tcW w:w="590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w:t>
            </w:r>
          </w:p>
        </w:tc>
        <w:tc>
          <w:tcPr>
            <w:tcW w:w="5900" w:type="dxa"/>
            <w:vAlign w:val="bottom"/>
          </w:tcPr>
          <w:p>
            <w:pPr>
              <w:ind w:left="4800"/>
              <w:spacing w:after="0"/>
              <w:rPr>
                <w:sz w:val="20"/>
                <w:szCs w:val="20"/>
                <w:color w:val="auto"/>
              </w:rPr>
            </w:pPr>
            <w:r>
              <w:rPr>
                <w:rFonts w:ascii="Times New Roman" w:cs="Times New Roman" w:eastAsia="Times New Roman" w:hAnsi="Times New Roman"/>
                <w:sz w:val="18"/>
                <w:szCs w:val="18"/>
                <w:color w:val="auto"/>
                <w:w w:val="97"/>
              </w:rPr>
              <w:t>Not Applicable</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w:t>
            </w:r>
          </w:p>
        </w:tc>
        <w:tc>
          <w:tcPr>
            <w:tcW w:w="5900" w:type="dxa"/>
            <w:vAlign w:val="bottom"/>
          </w:tcPr>
          <w:p>
            <w:pPr>
              <w:ind w:left="4800"/>
              <w:spacing w:after="0"/>
              <w:rPr>
                <w:sz w:val="20"/>
                <w:szCs w:val="20"/>
                <w:color w:val="auto"/>
              </w:rPr>
            </w:pPr>
            <w:r>
              <w:rPr>
                <w:rFonts w:ascii="Times New Roman" w:cs="Times New Roman" w:eastAsia="Times New Roman" w:hAnsi="Times New Roman"/>
                <w:sz w:val="18"/>
                <w:szCs w:val="18"/>
                <w:color w:val="auto"/>
                <w:w w:val="97"/>
              </w:rPr>
              <w:t>Not Applicable</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w:t>
            </w:r>
          </w:p>
        </w:tc>
        <w:tc>
          <w:tcPr>
            <w:tcW w:w="590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590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311(a)</w:t>
            </w:r>
          </w:p>
        </w:tc>
        <w:tc>
          <w:tcPr>
            <w:tcW w:w="590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590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5900" w:type="dxa"/>
            <w:vAlign w:val="bottom"/>
          </w:tcPr>
          <w:p>
            <w:pPr>
              <w:ind w:left="4800"/>
              <w:spacing w:after="0"/>
              <w:rPr>
                <w:sz w:val="20"/>
                <w:szCs w:val="20"/>
                <w:color w:val="auto"/>
              </w:rPr>
            </w:pPr>
            <w:r>
              <w:rPr>
                <w:rFonts w:ascii="Times New Roman" w:cs="Times New Roman" w:eastAsia="Times New Roman" w:hAnsi="Times New Roman"/>
                <w:sz w:val="18"/>
                <w:szCs w:val="18"/>
                <w:color w:val="auto"/>
                <w:w w:val="97"/>
              </w:rPr>
              <w:t>Not Applicable</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312(a)</w:t>
            </w:r>
          </w:p>
        </w:tc>
        <w:tc>
          <w:tcPr>
            <w:tcW w:w="590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590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590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313(a)</w:t>
            </w:r>
          </w:p>
        </w:tc>
        <w:tc>
          <w:tcPr>
            <w:tcW w:w="590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w:t>
            </w:r>
          </w:p>
        </w:tc>
        <w:tc>
          <w:tcPr>
            <w:tcW w:w="590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(b)(2)</w:t>
            </w:r>
          </w:p>
        </w:tc>
        <w:tc>
          <w:tcPr>
            <w:tcW w:w="590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(c)(1)</w:t>
            </w:r>
          </w:p>
        </w:tc>
        <w:tc>
          <w:tcPr>
            <w:tcW w:w="590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w:t>
            </w:r>
          </w:p>
        </w:tc>
        <w:tc>
          <w:tcPr>
            <w:tcW w:w="590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314(a)</w:t>
            </w:r>
          </w:p>
        </w:tc>
        <w:tc>
          <w:tcPr>
            <w:tcW w:w="590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4.2, 10.5</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5900" w:type="dxa"/>
            <w:vAlign w:val="bottom"/>
          </w:tcPr>
          <w:p>
            <w:pPr>
              <w:ind w:left="4800"/>
              <w:spacing w:after="0"/>
              <w:rPr>
                <w:sz w:val="20"/>
                <w:szCs w:val="20"/>
                <w:color w:val="auto"/>
              </w:rPr>
            </w:pPr>
            <w:r>
              <w:rPr>
                <w:rFonts w:ascii="Times New Roman" w:cs="Times New Roman" w:eastAsia="Times New Roman" w:hAnsi="Times New Roman"/>
                <w:sz w:val="18"/>
                <w:szCs w:val="18"/>
                <w:color w:val="auto"/>
                <w:w w:val="97"/>
              </w:rPr>
              <w:t>Not Applicable</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(c)(1)</w:t>
            </w:r>
          </w:p>
        </w:tc>
        <w:tc>
          <w:tcPr>
            <w:tcW w:w="590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(c)(2)</w:t>
            </w:r>
          </w:p>
        </w:tc>
        <w:tc>
          <w:tcPr>
            <w:tcW w:w="590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(c)(3)</w:t>
            </w:r>
          </w:p>
        </w:tc>
        <w:tc>
          <w:tcPr>
            <w:tcW w:w="5900" w:type="dxa"/>
            <w:vAlign w:val="bottom"/>
          </w:tcPr>
          <w:p>
            <w:pPr>
              <w:ind w:left="4800"/>
              <w:spacing w:after="0"/>
              <w:rPr>
                <w:sz w:val="20"/>
                <w:szCs w:val="20"/>
                <w:color w:val="auto"/>
              </w:rPr>
            </w:pPr>
            <w:r>
              <w:rPr>
                <w:rFonts w:ascii="Times New Roman" w:cs="Times New Roman" w:eastAsia="Times New Roman" w:hAnsi="Times New Roman"/>
                <w:sz w:val="18"/>
                <w:szCs w:val="18"/>
                <w:color w:val="auto"/>
                <w:w w:val="97"/>
              </w:rPr>
              <w:t>Not Applicable</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w:t>
            </w:r>
          </w:p>
        </w:tc>
        <w:tc>
          <w:tcPr>
            <w:tcW w:w="5900" w:type="dxa"/>
            <w:vAlign w:val="bottom"/>
          </w:tcPr>
          <w:p>
            <w:pPr>
              <w:ind w:left="4800"/>
              <w:spacing w:after="0"/>
              <w:rPr>
                <w:sz w:val="20"/>
                <w:szCs w:val="20"/>
                <w:color w:val="auto"/>
              </w:rPr>
            </w:pPr>
            <w:r>
              <w:rPr>
                <w:rFonts w:ascii="Times New Roman" w:cs="Times New Roman" w:eastAsia="Times New Roman" w:hAnsi="Times New Roman"/>
                <w:sz w:val="18"/>
                <w:szCs w:val="18"/>
                <w:color w:val="auto"/>
                <w:w w:val="97"/>
              </w:rPr>
              <w:t>Not Applicable</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w:t>
            </w:r>
          </w:p>
        </w:tc>
        <w:tc>
          <w:tcPr>
            <w:tcW w:w="590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c>
          <w:tcPr>
            <w:tcW w:w="5900" w:type="dxa"/>
            <w:vAlign w:val="bottom"/>
          </w:tcPr>
          <w:p>
            <w:pPr>
              <w:ind w:left="4800"/>
              <w:spacing w:after="0"/>
              <w:rPr>
                <w:sz w:val="20"/>
                <w:szCs w:val="20"/>
                <w:color w:val="auto"/>
              </w:rPr>
            </w:pPr>
            <w:r>
              <w:rPr>
                <w:rFonts w:ascii="Times New Roman" w:cs="Times New Roman" w:eastAsia="Times New Roman" w:hAnsi="Times New Roman"/>
                <w:sz w:val="18"/>
                <w:szCs w:val="18"/>
                <w:color w:val="auto"/>
                <w:w w:val="97"/>
              </w:rPr>
              <w:t>Not Applicable</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315(a)</w:t>
            </w:r>
          </w:p>
        </w:tc>
        <w:tc>
          <w:tcPr>
            <w:tcW w:w="590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590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590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w:t>
            </w:r>
          </w:p>
        </w:tc>
        <w:tc>
          <w:tcPr>
            <w:tcW w:w="590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w:t>
            </w:r>
          </w:p>
        </w:tc>
        <w:tc>
          <w:tcPr>
            <w:tcW w:w="590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6.14</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316(a)</w:t>
            </w:r>
          </w:p>
        </w:tc>
        <w:tc>
          <w:tcPr>
            <w:tcW w:w="590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(a)(1)(A)</w:t>
            </w:r>
          </w:p>
        </w:tc>
        <w:tc>
          <w:tcPr>
            <w:tcW w:w="590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6.12</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(a)(1)(B)</w:t>
            </w:r>
          </w:p>
        </w:tc>
        <w:tc>
          <w:tcPr>
            <w:tcW w:w="590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6.13</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590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 317(a)(1)</w:t>
            </w:r>
          </w:p>
        </w:tc>
        <w:tc>
          <w:tcPr>
            <w:tcW w:w="590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w:t>
            </w:r>
          </w:p>
        </w:tc>
        <w:tc>
          <w:tcPr>
            <w:tcW w:w="590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590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318(a)</w:t>
            </w:r>
          </w:p>
        </w:tc>
        <w:tc>
          <w:tcPr>
            <w:tcW w:w="590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10.1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This reconciliation and tie shall not, for any purpose, be deemed to be part of the Indenture.</w:t>
      </w:r>
    </w:p>
    <w:p>
      <w:pPr>
        <w:sectPr>
          <w:pgSz w:w="11900" w:h="16838" w:orient="portrait"/>
          <w:cols w:equalWidth="0" w:num="1">
            <w:col w:w="10019"/>
          </w:cols>
          <w:pgMar w:left="440" w:top="266" w:right="1440" w:bottom="1440" w:gutter="0" w:footer="0" w:header="0"/>
        </w:sectPr>
      </w:pPr>
    </w:p>
    <w:bookmarkStart w:id="113" w:name="page114"/>
    <w:bookmarkEnd w:id="113"/>
    <w:p>
      <w:pPr>
        <w:ind w:right="9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Indenture dated as of [•], 20[•] between Larimar Therapeutics, Inc., a company incorporated under the laws of the State of Delaware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Each party agrees as follows for the benefit of the other party and for the equal and ratable benefit of the Holders of the Securities issued under this Indenture.</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DEFINITIONS AND INCORPORATION BY REFERENCE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p>
    <w:p>
      <w:pPr>
        <w:spacing w:after="0" w:line="223" w:lineRule="exact"/>
        <w:rPr>
          <w:sz w:val="20"/>
          <w:szCs w:val="20"/>
          <w:color w:val="auto"/>
        </w:rPr>
      </w:pPr>
    </w:p>
    <w:p>
      <w:pPr>
        <w:ind w:right="320" w:firstLine="440"/>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Additional Amounts</w:t>
      </w:r>
      <w:r>
        <w:rPr>
          <w:rFonts w:ascii="Times New Roman" w:cs="Times New Roman" w:eastAsia="Times New Roman" w:hAnsi="Times New Roman"/>
          <w:sz w:val="17"/>
          <w:szCs w:val="17"/>
          <w:color w:val="auto"/>
        </w:rPr>
        <w:t>” means any additional amounts which are required hereby or by any Security, under circumstances specified herein or therein, to be paid by the Company in respect of certain taxes imposed on Holders specified herein or therein and which are owing to such Holders.</w:t>
      </w:r>
    </w:p>
    <w:p>
      <w:pPr>
        <w:spacing w:after="0" w:line="135"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Agent</w:t>
      </w:r>
      <w:r>
        <w:rPr>
          <w:rFonts w:ascii="Times New Roman" w:cs="Times New Roman" w:eastAsia="Times New Roman" w:hAnsi="Times New Roman"/>
          <w:sz w:val="18"/>
          <w:szCs w:val="18"/>
          <w:color w:val="auto"/>
        </w:rPr>
        <w:t>” means any Registrar, Paying Agent or Notice Agent.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 the board of directors of the Company or any duly authorized committee thereof.</w:t>
      </w:r>
    </w:p>
    <w:p>
      <w:pPr>
        <w:spacing w:after="0" w:line="225" w:lineRule="exact"/>
        <w:rPr>
          <w:sz w:val="20"/>
          <w:szCs w:val="20"/>
          <w:color w:val="auto"/>
        </w:rPr>
      </w:pPr>
    </w:p>
    <w:p>
      <w:pPr>
        <w:jc w:val="both"/>
        <w:ind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73" w:lineRule="exact"/>
        <w:rPr>
          <w:sz w:val="20"/>
          <w:szCs w:val="20"/>
          <w:color w:val="auto"/>
        </w:rPr>
      </w:pPr>
    </w:p>
    <w:p>
      <w:pPr>
        <w:ind w:right="4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any day except a Saturday, Sunday or a legal holiday in the City of New York, New York (or in connection with any payment, the place of payment) on which banking institutions are authorized or required by law, regulation or executive order to close.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means any and all shares, interests, participations, rights or other equivalents (however designated) of corporate stock.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means the party named as such above until a successor replaces it and thereafter means the successor.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Order</w:t>
      </w:r>
      <w:r>
        <w:rPr>
          <w:rFonts w:ascii="Times New Roman" w:cs="Times New Roman" w:eastAsia="Times New Roman" w:hAnsi="Times New Roman"/>
          <w:sz w:val="18"/>
          <w:szCs w:val="18"/>
          <w:color w:val="auto"/>
        </w:rPr>
        <w:t>” means a written order signed in the name of the Company by an Officer and delivered to the Trustee.</w:t>
      </w:r>
    </w:p>
    <w:p>
      <w:pPr>
        <w:spacing w:after="0" w:line="225" w:lineRule="exact"/>
        <w:rPr>
          <w:sz w:val="20"/>
          <w:szCs w:val="20"/>
          <w:color w:val="auto"/>
        </w:rPr>
      </w:pPr>
    </w:p>
    <w:p>
      <w:pPr>
        <w:ind w:right="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Corporate Trust Office</w:t>
      </w:r>
      <w:r>
        <w:rPr>
          <w:rFonts w:ascii="Times New Roman" w:cs="Times New Roman" w:eastAsia="Times New Roman" w:hAnsi="Times New Roman"/>
          <w:sz w:val="18"/>
          <w:szCs w:val="18"/>
          <w:color w:val="auto"/>
        </w:rPr>
        <w:t>” means the office of the Trustee at which at any particular time its corporate trust business related to this Indenture shall be principally administered.</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means any event which is, or after notice, passage of time or both would be, an Event of Default.</w:t>
      </w:r>
    </w:p>
    <w:p>
      <w:pPr>
        <w:spacing w:after="0" w:line="225"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Depositary</w:t>
      </w:r>
      <w:r>
        <w:rPr>
          <w:rFonts w:ascii="Times New Roman" w:cs="Times New Roman" w:eastAsia="Times New Roman" w:hAnsi="Times New Roman"/>
          <w:sz w:val="18"/>
          <w:szCs w:val="18"/>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80" w:lineRule="exact"/>
        <w:rPr>
          <w:sz w:val="20"/>
          <w:szCs w:val="20"/>
          <w:color w:val="auto"/>
        </w:rPr>
      </w:pPr>
    </w:p>
    <w:p>
      <w:pPr>
        <w:ind w:right="3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Discount Security</w:t>
      </w:r>
      <w:r>
        <w:rPr>
          <w:rFonts w:ascii="Times New Roman" w:cs="Times New Roman" w:eastAsia="Times New Roman" w:hAnsi="Times New Roman"/>
          <w:sz w:val="18"/>
          <w:szCs w:val="18"/>
          <w:color w:val="auto"/>
        </w:rPr>
        <w:t>” means any Security that provides for an amount less than the stated principal amount thereof to be due and payable upon declaration of acceleration of the maturity thereof pursuant to Section 6.2.</w:t>
      </w:r>
    </w:p>
    <w:p>
      <w:pPr>
        <w:spacing w:after="0" w:line="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20"/>
          </w:cols>
          <w:pgMar w:left="440" w:top="270" w:right="539" w:bottom="1440" w:gutter="0" w:footer="0" w:header="0"/>
        </w:sectPr>
      </w:pPr>
    </w:p>
    <w:bookmarkStart w:id="114" w:name="page115"/>
    <w:bookmarkEnd w:id="11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means the currency of the United States of America.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Currency</w:t>
      </w:r>
      <w:r>
        <w:rPr>
          <w:rFonts w:ascii="Times New Roman" w:cs="Times New Roman" w:eastAsia="Times New Roman" w:hAnsi="Times New Roman"/>
          <w:sz w:val="18"/>
          <w:szCs w:val="18"/>
          <w:color w:val="auto"/>
        </w:rPr>
        <w:t>” means any currency or currency unit issued by a government other than the government of the United States of America.</w:t>
      </w:r>
    </w:p>
    <w:p>
      <w:pPr>
        <w:spacing w:after="0" w:line="225" w:lineRule="exact"/>
        <w:rPr>
          <w:sz w:val="20"/>
          <w:szCs w:val="20"/>
          <w:color w:val="auto"/>
        </w:rPr>
      </w:pPr>
    </w:p>
    <w:p>
      <w:pPr>
        <w:jc w:val="both"/>
        <w:ind w:right="10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Government Obligations</w:t>
      </w:r>
      <w:r>
        <w:rPr>
          <w:rFonts w:ascii="Times New Roman" w:cs="Times New Roman" w:eastAsia="Times New Roman" w:hAnsi="Times New Roman"/>
          <w:sz w:val="18"/>
          <w:szCs w:val="18"/>
          <w:color w:val="auto"/>
        </w:rPr>
        <w:t>”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w:t>
      </w:r>
    </w:p>
    <w:p>
      <w:pPr>
        <w:spacing w:after="0" w:line="173"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“GAAP” </w:t>
      </w:r>
      <w:r>
        <w:rPr>
          <w:rFonts w:ascii="Times New Roman" w:cs="Times New Roman" w:eastAsia="Times New Roman" w:hAnsi="Times New Roman"/>
          <w:sz w:val="18"/>
          <w:szCs w:val="18"/>
          <w:color w:val="auto"/>
        </w:rPr>
        <w:t>means generally accepted accounting principles in the United States of America set forth in the opinions and pronouncements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80" w:lineRule="exact"/>
        <w:rPr>
          <w:sz w:val="20"/>
          <w:szCs w:val="20"/>
          <w:color w:val="auto"/>
        </w:rPr>
      </w:pPr>
    </w:p>
    <w:p>
      <w:pPr>
        <w:ind w:right="1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Global Security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Global Securities</w:t>
      </w:r>
      <w:r>
        <w:rPr>
          <w:rFonts w:ascii="Times New Roman" w:cs="Times New Roman" w:eastAsia="Times New Roman" w:hAnsi="Times New Roman"/>
          <w:sz w:val="18"/>
          <w:szCs w:val="18"/>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means a person in whose name a Security is registered on the Registrar’s books.</w:t>
      </w:r>
    </w:p>
    <w:p>
      <w:pPr>
        <w:spacing w:after="0" w:line="225" w:lineRule="exact"/>
        <w:rPr>
          <w:sz w:val="20"/>
          <w:szCs w:val="20"/>
          <w:color w:val="auto"/>
        </w:rPr>
      </w:pPr>
    </w:p>
    <w:p>
      <w:pPr>
        <w:ind w:right="4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means this Indenture as amended or supplemented from time to time and shall include the form and terms of particular Series of Securities established as contemplated hereunder.</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with respect to any Discount Security which by its terms bears interest only after Maturity, means interest payable after Maturity.</w:t>
      </w:r>
    </w:p>
    <w:p>
      <w:pPr>
        <w:spacing w:after="0" w:line="225" w:lineRule="exact"/>
        <w:rPr>
          <w:sz w:val="20"/>
          <w:szCs w:val="20"/>
          <w:color w:val="auto"/>
        </w:rPr>
      </w:pPr>
    </w:p>
    <w:p>
      <w:pPr>
        <w:ind w:right="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Maturity</w:t>
      </w:r>
      <w:r>
        <w:rPr>
          <w:rFonts w:ascii="Times New Roman" w:cs="Times New Roman" w:eastAsia="Times New Roman" w:hAnsi="Times New Roman"/>
          <w:sz w:val="18"/>
          <w:szCs w:val="18"/>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58" w:lineRule="exact"/>
        <w:rPr>
          <w:sz w:val="20"/>
          <w:szCs w:val="20"/>
          <w:color w:val="auto"/>
        </w:rPr>
      </w:pPr>
    </w:p>
    <w:p>
      <w:pPr>
        <w:ind w:right="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 means the Chief Executive Officer, President, the Chief Financial Officer, the Treasurer or any Assistant Treasurer, the Secretary or any Assistant Secretary and any Vice President of the Company.</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means a certificate signed by any Officer that meets the requirements of this Indenture.</w:t>
      </w:r>
    </w:p>
    <w:p>
      <w:pPr>
        <w:spacing w:after="0" w:line="225" w:lineRule="exact"/>
        <w:rPr>
          <w:sz w:val="20"/>
          <w:szCs w:val="20"/>
          <w:color w:val="auto"/>
        </w:rPr>
      </w:pPr>
    </w:p>
    <w:p>
      <w:pPr>
        <w:ind w:right="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 Counsel</w:t>
      </w:r>
      <w:r>
        <w:rPr>
          <w:rFonts w:ascii="Times New Roman" w:cs="Times New Roman" w:eastAsia="Times New Roman" w:hAnsi="Times New Roman"/>
          <w:sz w:val="18"/>
          <w:szCs w:val="18"/>
          <w:color w:val="auto"/>
        </w:rPr>
        <w:t>” means a written opinion of legal counsel who is acceptable to the Trustee. The counsel may be an employee of or counsel to the Company. The opinion may contain customary limitations, conditions and exceptions.</w:t>
      </w:r>
    </w:p>
    <w:p>
      <w:pPr>
        <w:spacing w:after="0" w:line="158" w:lineRule="exact"/>
        <w:rPr>
          <w:sz w:val="20"/>
          <w:szCs w:val="20"/>
          <w:color w:val="auto"/>
        </w:rPr>
      </w:pPr>
    </w:p>
    <w:p>
      <w:pPr>
        <w:ind w:right="7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corporation, partnership, joint venture, association, limited liability company, joint-stock company, trust, unincorporated organization or government or any agency or political subdivision thereof.</w:t>
      </w:r>
    </w:p>
    <w:p>
      <w:pPr>
        <w:spacing w:after="0" w:line="158" w:lineRule="exact"/>
        <w:rPr>
          <w:sz w:val="20"/>
          <w:szCs w:val="20"/>
          <w:color w:val="auto"/>
        </w:rPr>
      </w:pPr>
    </w:p>
    <w:p>
      <w:pPr>
        <w:ind w:right="3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w:t>
      </w:r>
      <w:r>
        <w:rPr>
          <w:rFonts w:ascii="Times New Roman" w:cs="Times New Roman" w:eastAsia="Times New Roman" w:hAnsi="Times New Roman"/>
          <w:sz w:val="18"/>
          <w:szCs w:val="18"/>
          <w:color w:val="auto"/>
        </w:rPr>
        <w:t>” of a Security means the principal of the Security plus, when appropriate, the premium, if any, on, [and any Additional Amounts in respect of,] the Security.</w:t>
      </w:r>
    </w:p>
    <w:p>
      <w:pPr>
        <w:spacing w:after="0" w:line="158" w:lineRule="exact"/>
        <w:rPr>
          <w:sz w:val="20"/>
          <w:szCs w:val="20"/>
          <w:color w:val="auto"/>
        </w:rPr>
      </w:pPr>
    </w:p>
    <w:p>
      <w:pPr>
        <w:ind w:right="8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Responsible Officer</w:t>
      </w:r>
      <w:r>
        <w:rPr>
          <w:rFonts w:ascii="Times New Roman" w:cs="Times New Roman" w:eastAsia="Times New Roman" w:hAnsi="Times New Roman"/>
          <w:sz w:val="18"/>
          <w:szCs w:val="18"/>
          <w:color w:val="auto"/>
        </w:rPr>
        <w:t>” means any officer of the Trustee in its Corporate Trust Office having responsibility for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8" w:right="459" w:bottom="1440" w:gutter="0" w:footer="0" w:header="0"/>
        </w:sectPr>
      </w:pPr>
    </w:p>
    <w:bookmarkStart w:id="115" w:name="page116"/>
    <w:bookmarkEnd w:id="11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ind w:right="1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means the debentures, notes or other debt instruments of the Company of any Series authenticated and delivered under this Indenture.</w:t>
      </w:r>
    </w:p>
    <w:p>
      <w:pPr>
        <w:spacing w:after="0" w:line="158" w:lineRule="exact"/>
        <w:rPr>
          <w:sz w:val="20"/>
          <w:szCs w:val="20"/>
          <w:color w:val="auto"/>
        </w:rPr>
      </w:pPr>
    </w:p>
    <w:p>
      <w:pPr>
        <w:ind w:right="2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Series of Securities</w:t>
      </w:r>
      <w:r>
        <w:rPr>
          <w:rFonts w:ascii="Times New Roman" w:cs="Times New Roman" w:eastAsia="Times New Roman" w:hAnsi="Times New Roman"/>
          <w:sz w:val="18"/>
          <w:szCs w:val="18"/>
          <w:color w:val="auto"/>
        </w:rPr>
        <w:t>” means each series of debentures, notes or other debt instruments of the Company created pursuant to Sections 2.1 and 2.2 hereof.</w:t>
      </w:r>
    </w:p>
    <w:p>
      <w:pPr>
        <w:spacing w:after="0" w:line="158" w:lineRule="exact"/>
        <w:rPr>
          <w:sz w:val="20"/>
          <w:szCs w:val="20"/>
          <w:color w:val="auto"/>
        </w:rPr>
      </w:pPr>
    </w:p>
    <w:p>
      <w:pPr>
        <w:ind w:right="3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Stated Maturity</w:t>
      </w:r>
      <w:r>
        <w:rPr>
          <w:rFonts w:ascii="Times New Roman" w:cs="Times New Roman" w:eastAsia="Times New Roman" w:hAnsi="Times New Roman"/>
          <w:sz w:val="18"/>
          <w:szCs w:val="18"/>
          <w:color w:val="auto"/>
        </w:rPr>
        <w:t>” when used with respect to any Security, means the date specified in such Security as the fixed date on which the principal of such Security or interest is due and payable.</w:t>
      </w:r>
    </w:p>
    <w:p>
      <w:pPr>
        <w:spacing w:after="0" w:line="158"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80"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TIA</w:t>
      </w:r>
      <w:r>
        <w:rPr>
          <w:rFonts w:ascii="Times New Roman" w:cs="Times New Roman" w:eastAsia="Times New Roman" w:hAnsi="Times New Roman"/>
          <w:sz w:val="18"/>
          <w:szCs w:val="18"/>
          <w:color w:val="auto"/>
        </w:rPr>
        <w:t xml:space="preserve">” means the Trust Indenture Act of 1939 (15 U.S. Code §§ 77aaa-77bbbb) as in effect on the date of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Trust Indenture Act of 1939 is amended after such date, “TIA” means, to the extent required by any such amendment, the Trust Indenture Act as so amended.</w:t>
      </w:r>
    </w:p>
    <w:p>
      <w:pPr>
        <w:spacing w:after="0" w:line="173"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0"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Government Obligations</w:t>
      </w:r>
      <w:r>
        <w:rPr>
          <w:rFonts w:ascii="Times New Roman" w:cs="Times New Roman" w:eastAsia="Times New Roman" w:hAnsi="Times New Roman"/>
          <w:sz w:val="18"/>
          <w:szCs w:val="18"/>
          <w:color w:val="auto"/>
        </w:rPr>
        <w:t xml:space="preserve">” means securities which are direct obligations of, or guaranteed by, the United States of America for the payment of 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depositary receipt,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as required by law) such custodian is not authorized to make any deduction from the amount payable to the holder of such depositary receipt from any amount received by the custodian in respect of the U.S. Government Obligation evidenced by such depositary receipt.</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Other Definitions</w:t>
      </w:r>
      <w:r>
        <w:rPr>
          <w:rFonts w:ascii="Times New Roman" w:cs="Times New Roman" w:eastAsia="Times New Roman" w:hAnsi="Times New Roman"/>
          <w:sz w:val="18"/>
          <w:szCs w:val="18"/>
          <w:color w:val="auto"/>
        </w:rPr>
        <w:t>.</w:t>
      </w:r>
    </w:p>
    <w:p>
      <w:pPr>
        <w:spacing w:after="0" w:line="235"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TERM</w:t>
            </w:r>
          </w:p>
        </w:tc>
        <w:tc>
          <w:tcPr>
            <w:tcW w:w="356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DEFINED IN</w:t>
            </w:r>
          </w:p>
        </w:tc>
        <w:tc>
          <w:tcPr>
            <w:tcW w:w="0" w:type="dxa"/>
            <w:vAlign w:val="bottom"/>
          </w:tcPr>
          <w:p>
            <w:pPr>
              <w:spacing w:after="0"/>
              <w:rPr>
                <w:sz w:val="1"/>
                <w:szCs w:val="1"/>
                <w:color w:val="auto"/>
              </w:rPr>
            </w:pPr>
          </w:p>
        </w:tc>
      </w:tr>
      <w:tr>
        <w:trPr>
          <w:trHeight w:val="178"/>
        </w:trPr>
        <w:tc>
          <w:tcPr>
            <w:tcW w:w="3120" w:type="dxa"/>
            <w:vAlign w:val="bottom"/>
            <w:gridSpan w:val="2"/>
            <w:vMerge w:val="continue"/>
          </w:tcPr>
          <w:p>
            <w:pPr>
              <w:spacing w:after="0"/>
              <w:rPr>
                <w:sz w:val="15"/>
                <w:szCs w:val="15"/>
                <w:color w:val="auto"/>
              </w:rPr>
            </w:pPr>
          </w:p>
        </w:tc>
        <w:tc>
          <w:tcPr>
            <w:tcW w:w="3560" w:type="dxa"/>
            <w:vAlign w:val="bottom"/>
          </w:tcPr>
          <w:p>
            <w:pPr>
              <w:spacing w:after="0"/>
              <w:rPr>
                <w:sz w:val="15"/>
                <w:szCs w:val="15"/>
                <w:color w:val="auto"/>
              </w:rPr>
            </w:pPr>
          </w:p>
        </w:tc>
        <w:tc>
          <w:tcPr>
            <w:tcW w:w="8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SECTION</w:t>
            </w:r>
          </w:p>
        </w:tc>
        <w:tc>
          <w:tcPr>
            <w:tcW w:w="0" w:type="dxa"/>
            <w:vAlign w:val="bottom"/>
          </w:tcPr>
          <w:p>
            <w:pPr>
              <w:spacing w:after="0"/>
              <w:rPr>
                <w:sz w:val="1"/>
                <w:szCs w:val="1"/>
                <w:color w:val="auto"/>
              </w:rPr>
            </w:pPr>
          </w:p>
        </w:tc>
      </w:tr>
      <w:tr>
        <w:trPr>
          <w:trHeight w:val="183"/>
        </w:trPr>
        <w:tc>
          <w:tcPr>
            <w:tcW w:w="40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w w:val="75"/>
              </w:rPr>
              <w:t>“</w:t>
            </w:r>
            <w:r>
              <w:rPr>
                <w:rFonts w:ascii="Times New Roman" w:cs="Times New Roman" w:eastAsia="Times New Roman" w:hAnsi="Times New Roman"/>
                <w:sz w:val="18"/>
                <w:szCs w:val="18"/>
                <w:i w:val="1"/>
                <w:iCs w:val="1"/>
                <w:color w:val="auto"/>
                <w:w w:val="75"/>
              </w:rPr>
              <w:t>Agent</w:t>
            </w:r>
          </w:p>
        </w:tc>
        <w:tc>
          <w:tcPr>
            <w:tcW w:w="2720" w:type="dxa"/>
            <w:vAlign w:val="bottom"/>
          </w:tcPr>
          <w:p>
            <w:pPr>
              <w:ind w:left="140"/>
              <w:spacing w:after="0" w:line="182" w:lineRule="exact"/>
              <w:rPr>
                <w:sz w:val="20"/>
                <w:szCs w:val="20"/>
                <w:color w:val="auto"/>
              </w:rPr>
            </w:pPr>
            <w:r>
              <w:rPr>
                <w:rFonts w:ascii="Times New Roman" w:cs="Times New Roman" w:eastAsia="Times New Roman" w:hAnsi="Times New Roman"/>
                <w:sz w:val="18"/>
                <w:szCs w:val="18"/>
                <w:i w:val="1"/>
                <w:iCs w:val="1"/>
                <w:color w:val="auto"/>
              </w:rPr>
              <w:t>Member</w:t>
            </w:r>
            <w:r>
              <w:rPr>
                <w:rFonts w:ascii="Times New Roman" w:cs="Times New Roman" w:eastAsia="Times New Roman" w:hAnsi="Times New Roman"/>
                <w:sz w:val="18"/>
                <w:szCs w:val="18"/>
                <w:color w:val="auto"/>
              </w:rPr>
              <w:t>”</w:t>
            </w:r>
          </w:p>
        </w:tc>
        <w:tc>
          <w:tcPr>
            <w:tcW w:w="3560" w:type="dxa"/>
            <w:vAlign w:val="bottom"/>
          </w:tcPr>
          <w:p>
            <w:pPr>
              <w:spacing w:after="0"/>
              <w:rPr>
                <w:sz w:val="15"/>
                <w:szCs w:val="15"/>
                <w:color w:val="auto"/>
              </w:rPr>
            </w:pPr>
          </w:p>
        </w:tc>
        <w:tc>
          <w:tcPr>
            <w:tcW w:w="80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7"/>
              </w:rPr>
              <w:t>2.14.6</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Bankruptcy Law</w:t>
            </w:r>
            <w:r>
              <w:rPr>
                <w:rFonts w:ascii="Times New Roman" w:cs="Times New Roman" w:eastAsia="Times New Roman" w:hAnsi="Times New Roman"/>
                <w:sz w:val="18"/>
                <w:szCs w:val="18"/>
                <w:color w:val="auto"/>
              </w:rPr>
              <w:t>”</w:t>
            </w:r>
          </w:p>
        </w:tc>
        <w:tc>
          <w:tcPr>
            <w:tcW w:w="4360" w:type="dxa"/>
            <w:vAlign w:val="bottom"/>
            <w:gridSpan w:val="2"/>
          </w:tcPr>
          <w:p>
            <w:pPr>
              <w:jc w:val="center"/>
              <w:ind w:left="347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Custodian</w:t>
            </w:r>
            <w:r>
              <w:rPr>
                <w:rFonts w:ascii="Times New Roman" w:cs="Times New Roman" w:eastAsia="Times New Roman" w:hAnsi="Times New Roman"/>
                <w:sz w:val="18"/>
                <w:szCs w:val="18"/>
                <w:color w:val="auto"/>
              </w:rPr>
              <w:t>”</w:t>
            </w:r>
          </w:p>
        </w:tc>
        <w:tc>
          <w:tcPr>
            <w:tcW w:w="4360" w:type="dxa"/>
            <w:vAlign w:val="bottom"/>
            <w:gridSpan w:val="2"/>
          </w:tcPr>
          <w:p>
            <w:pPr>
              <w:jc w:val="center"/>
              <w:ind w:left="347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w:t>
            </w:r>
          </w:p>
        </w:tc>
        <w:tc>
          <w:tcPr>
            <w:tcW w:w="4360" w:type="dxa"/>
            <w:vAlign w:val="bottom"/>
            <w:gridSpan w:val="2"/>
          </w:tcPr>
          <w:p>
            <w:pPr>
              <w:jc w:val="center"/>
              <w:ind w:left="347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Judgment Currency</w:t>
            </w:r>
            <w:r>
              <w:rPr>
                <w:rFonts w:ascii="Times New Roman" w:cs="Times New Roman" w:eastAsia="Times New Roman" w:hAnsi="Times New Roman"/>
                <w:sz w:val="18"/>
                <w:szCs w:val="18"/>
                <w:color w:val="auto"/>
              </w:rPr>
              <w:t>”</w:t>
            </w:r>
          </w:p>
        </w:tc>
        <w:tc>
          <w:tcPr>
            <w:tcW w:w="4360" w:type="dxa"/>
            <w:vAlign w:val="bottom"/>
            <w:gridSpan w:val="2"/>
          </w:tcPr>
          <w:p>
            <w:pPr>
              <w:jc w:val="center"/>
              <w:ind w:left="3470"/>
              <w:spacing w:after="0"/>
              <w:rPr>
                <w:sz w:val="20"/>
                <w:szCs w:val="20"/>
                <w:color w:val="auto"/>
              </w:rPr>
            </w:pPr>
            <w:r>
              <w:rPr>
                <w:rFonts w:ascii="Times New Roman" w:cs="Times New Roman" w:eastAsia="Times New Roman" w:hAnsi="Times New Roman"/>
                <w:sz w:val="18"/>
                <w:szCs w:val="18"/>
                <w:color w:val="auto"/>
                <w:w w:val="98"/>
              </w:rPr>
              <w:t>10.16</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mandatory sinking fund payment</w:t>
            </w:r>
            <w:r>
              <w:rPr>
                <w:rFonts w:ascii="Times New Roman" w:cs="Times New Roman" w:eastAsia="Times New Roman" w:hAnsi="Times New Roman"/>
                <w:sz w:val="18"/>
                <w:szCs w:val="18"/>
                <w:color w:val="auto"/>
              </w:rPr>
              <w:t>”</w:t>
            </w:r>
          </w:p>
        </w:tc>
        <w:tc>
          <w:tcPr>
            <w:tcW w:w="4360" w:type="dxa"/>
            <w:vAlign w:val="bottom"/>
            <w:gridSpan w:val="2"/>
          </w:tcPr>
          <w:p>
            <w:pPr>
              <w:jc w:val="center"/>
              <w:ind w:left="347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New York Banking Day</w:t>
            </w:r>
            <w:r>
              <w:rPr>
                <w:rFonts w:ascii="Times New Roman" w:cs="Times New Roman" w:eastAsia="Times New Roman" w:hAnsi="Times New Roman"/>
                <w:sz w:val="18"/>
                <w:szCs w:val="18"/>
                <w:color w:val="auto"/>
              </w:rPr>
              <w:t>”</w:t>
            </w:r>
          </w:p>
        </w:tc>
        <w:tc>
          <w:tcPr>
            <w:tcW w:w="4360" w:type="dxa"/>
            <w:vAlign w:val="bottom"/>
            <w:gridSpan w:val="2"/>
          </w:tcPr>
          <w:p>
            <w:pPr>
              <w:jc w:val="center"/>
              <w:ind w:left="3470"/>
              <w:spacing w:after="0"/>
              <w:rPr>
                <w:sz w:val="20"/>
                <w:szCs w:val="20"/>
                <w:color w:val="auto"/>
              </w:rPr>
            </w:pPr>
            <w:r>
              <w:rPr>
                <w:rFonts w:ascii="Times New Roman" w:cs="Times New Roman" w:eastAsia="Times New Roman" w:hAnsi="Times New Roman"/>
                <w:sz w:val="18"/>
                <w:szCs w:val="18"/>
                <w:color w:val="auto"/>
                <w:w w:val="98"/>
              </w:rPr>
              <w:t>10.16</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Notice Agent</w:t>
            </w:r>
            <w:r>
              <w:rPr>
                <w:rFonts w:ascii="Times New Roman" w:cs="Times New Roman" w:eastAsia="Times New Roman" w:hAnsi="Times New Roman"/>
                <w:sz w:val="18"/>
                <w:szCs w:val="18"/>
                <w:color w:val="auto"/>
              </w:rPr>
              <w:t>”</w:t>
            </w:r>
          </w:p>
        </w:tc>
        <w:tc>
          <w:tcPr>
            <w:tcW w:w="4360" w:type="dxa"/>
            <w:vAlign w:val="bottom"/>
            <w:gridSpan w:val="2"/>
          </w:tcPr>
          <w:p>
            <w:pPr>
              <w:jc w:val="center"/>
              <w:ind w:left="347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optional sinking fund payment</w:t>
            </w:r>
            <w:r>
              <w:rPr>
                <w:rFonts w:ascii="Times New Roman" w:cs="Times New Roman" w:eastAsia="Times New Roman" w:hAnsi="Times New Roman"/>
                <w:sz w:val="18"/>
                <w:szCs w:val="18"/>
                <w:color w:val="auto"/>
              </w:rPr>
              <w:t>”</w:t>
            </w:r>
          </w:p>
        </w:tc>
        <w:tc>
          <w:tcPr>
            <w:tcW w:w="4360" w:type="dxa"/>
            <w:vAlign w:val="bottom"/>
            <w:gridSpan w:val="2"/>
          </w:tcPr>
          <w:p>
            <w:pPr>
              <w:jc w:val="center"/>
              <w:ind w:left="347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w:t>
            </w:r>
          </w:p>
        </w:tc>
        <w:tc>
          <w:tcPr>
            <w:tcW w:w="4360" w:type="dxa"/>
            <w:vAlign w:val="bottom"/>
            <w:gridSpan w:val="2"/>
          </w:tcPr>
          <w:p>
            <w:pPr>
              <w:jc w:val="center"/>
              <w:ind w:left="347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w:t>
            </w:r>
          </w:p>
        </w:tc>
        <w:tc>
          <w:tcPr>
            <w:tcW w:w="4360" w:type="dxa"/>
            <w:vAlign w:val="bottom"/>
            <w:gridSpan w:val="2"/>
          </w:tcPr>
          <w:p>
            <w:pPr>
              <w:jc w:val="center"/>
              <w:ind w:left="347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Required Currency</w:t>
            </w:r>
            <w:r>
              <w:rPr>
                <w:rFonts w:ascii="Times New Roman" w:cs="Times New Roman" w:eastAsia="Times New Roman" w:hAnsi="Times New Roman"/>
                <w:sz w:val="18"/>
                <w:szCs w:val="18"/>
                <w:color w:val="auto"/>
              </w:rPr>
              <w:t>”</w:t>
            </w:r>
          </w:p>
        </w:tc>
        <w:tc>
          <w:tcPr>
            <w:tcW w:w="4360" w:type="dxa"/>
            <w:vAlign w:val="bottom"/>
            <w:gridSpan w:val="2"/>
          </w:tcPr>
          <w:p>
            <w:pPr>
              <w:jc w:val="center"/>
              <w:ind w:left="3470"/>
              <w:spacing w:after="0"/>
              <w:rPr>
                <w:sz w:val="20"/>
                <w:szCs w:val="20"/>
                <w:color w:val="auto"/>
              </w:rPr>
            </w:pPr>
            <w:r>
              <w:rPr>
                <w:rFonts w:ascii="Times New Roman" w:cs="Times New Roman" w:eastAsia="Times New Roman" w:hAnsi="Times New Roman"/>
                <w:sz w:val="18"/>
                <w:szCs w:val="18"/>
                <w:color w:val="auto"/>
                <w:w w:val="98"/>
              </w:rPr>
              <w:t>10.16</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Specified Courts</w:t>
            </w:r>
            <w:r>
              <w:rPr>
                <w:rFonts w:ascii="Times New Roman" w:cs="Times New Roman" w:eastAsia="Times New Roman" w:hAnsi="Times New Roman"/>
                <w:sz w:val="18"/>
                <w:szCs w:val="18"/>
                <w:color w:val="auto"/>
              </w:rPr>
              <w:t>”</w:t>
            </w:r>
          </w:p>
        </w:tc>
        <w:tc>
          <w:tcPr>
            <w:tcW w:w="4360" w:type="dxa"/>
            <w:vAlign w:val="bottom"/>
            <w:gridSpan w:val="2"/>
          </w:tcPr>
          <w:p>
            <w:pPr>
              <w:jc w:val="center"/>
              <w:ind w:left="3470"/>
              <w:spacing w:after="0"/>
              <w:rPr>
                <w:sz w:val="20"/>
                <w:szCs w:val="20"/>
                <w:color w:val="auto"/>
              </w:rPr>
            </w:pPr>
            <w:r>
              <w:rPr>
                <w:rFonts w:ascii="Times New Roman" w:cs="Times New Roman" w:eastAsia="Times New Roman" w:hAnsi="Times New Roman"/>
                <w:sz w:val="18"/>
                <w:szCs w:val="18"/>
                <w:color w:val="auto"/>
                <w:w w:val="98"/>
              </w:rPr>
              <w:t>10.10</w:t>
            </w:r>
          </w:p>
        </w:tc>
        <w:tc>
          <w:tcPr>
            <w:tcW w:w="0" w:type="dxa"/>
            <w:vAlign w:val="bottom"/>
          </w:tcPr>
          <w:p>
            <w:pPr>
              <w:spacing w:after="0"/>
              <w:rPr>
                <w:sz w:val="1"/>
                <w:szCs w:val="1"/>
                <w:color w:val="auto"/>
              </w:rPr>
            </w:pPr>
          </w:p>
        </w:tc>
      </w:tr>
      <w:tr>
        <w:trPr>
          <w:trHeight w:val="23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successor person</w:t>
            </w:r>
            <w:r>
              <w:rPr>
                <w:rFonts w:ascii="Times New Roman" w:cs="Times New Roman" w:eastAsia="Times New Roman" w:hAnsi="Times New Roman"/>
                <w:sz w:val="18"/>
                <w:szCs w:val="18"/>
                <w:color w:val="auto"/>
              </w:rPr>
              <w:t>”</w:t>
            </w:r>
          </w:p>
        </w:tc>
        <w:tc>
          <w:tcPr>
            <w:tcW w:w="4360" w:type="dxa"/>
            <w:vAlign w:val="bottom"/>
            <w:gridSpan w:val="2"/>
          </w:tcPr>
          <w:p>
            <w:pPr>
              <w:jc w:val="center"/>
              <w:ind w:left="347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365"/>
        </w:trPr>
        <w:tc>
          <w:tcPr>
            <w:tcW w:w="4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560" w:type="dxa"/>
            <w:vAlign w:val="bottom"/>
          </w:tcPr>
          <w:p>
            <w:pPr>
              <w:jc w:val="right"/>
              <w:ind w:right="2810"/>
              <w:spacing w:after="0"/>
              <w:rPr>
                <w:sz w:val="20"/>
                <w:szCs w:val="20"/>
                <w:color w:val="auto"/>
              </w:rPr>
            </w:pPr>
            <w:r>
              <w:rPr>
                <w:rFonts w:ascii="Times New Roman" w:cs="Times New Roman" w:eastAsia="Times New Roman" w:hAnsi="Times New Roman"/>
                <w:sz w:val="18"/>
                <w:szCs w:val="18"/>
                <w:color w:val="auto"/>
              </w:rPr>
              <w:t>3</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68" w:right="459" w:bottom="1440" w:gutter="0" w:footer="0" w:header="0"/>
        </w:sectPr>
      </w:pPr>
    </w:p>
    <w:bookmarkStart w:id="116" w:name="page117"/>
    <w:bookmarkEnd w:id="11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1.3. </w:t>
      </w:r>
      <w:r>
        <w:rPr>
          <w:rFonts w:ascii="Times New Roman" w:cs="Times New Roman" w:eastAsia="Times New Roman" w:hAnsi="Times New Roman"/>
          <w:sz w:val="18"/>
          <w:szCs w:val="18"/>
          <w:u w:val="single" w:color="auto"/>
          <w:color w:val="auto"/>
        </w:rPr>
        <w:t>Incorporation by Reference of Trust Indenture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Whenever this Indenture refers to a provision of the TIA, the provision is incorporated by reference in and made a part of this Indenture. The following TIA terms used in this Indenture have the following meanings:</w:t>
      </w:r>
    </w:p>
    <w:p>
      <w:pPr>
        <w:spacing w:after="0" w:line="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means the SEC.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securities</w:t>
      </w:r>
      <w:r>
        <w:rPr>
          <w:rFonts w:ascii="Times New Roman" w:cs="Times New Roman" w:eastAsia="Times New Roman" w:hAnsi="Times New Roman"/>
          <w:sz w:val="18"/>
          <w:szCs w:val="18"/>
          <w:color w:val="auto"/>
        </w:rPr>
        <w:t>” means the Securities.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security holder</w:t>
      </w:r>
      <w:r>
        <w:rPr>
          <w:rFonts w:ascii="Times New Roman" w:cs="Times New Roman" w:eastAsia="Times New Roman" w:hAnsi="Times New Roman"/>
          <w:sz w:val="18"/>
          <w:szCs w:val="18"/>
          <w:color w:val="auto"/>
        </w:rPr>
        <w:t>” means a Holder.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to be qualified</w:t>
      </w:r>
      <w:r>
        <w:rPr>
          <w:rFonts w:ascii="Times New Roman" w:cs="Times New Roman" w:eastAsia="Times New Roman" w:hAnsi="Times New Roman"/>
          <w:sz w:val="18"/>
          <w:szCs w:val="18"/>
          <w:color w:val="auto"/>
        </w:rPr>
        <w:t>” means this Indenture.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trustee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institutional trustee</w:t>
      </w:r>
      <w:r>
        <w:rPr>
          <w:rFonts w:ascii="Times New Roman" w:cs="Times New Roman" w:eastAsia="Times New Roman" w:hAnsi="Times New Roman"/>
          <w:sz w:val="18"/>
          <w:szCs w:val="18"/>
          <w:color w:val="auto"/>
        </w:rPr>
        <w:t>” means the Trustee.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obligor</w:t>
      </w:r>
      <w:r>
        <w:rPr>
          <w:rFonts w:ascii="Times New Roman" w:cs="Times New Roman" w:eastAsia="Times New Roman" w:hAnsi="Times New Roman"/>
          <w:sz w:val="18"/>
          <w:szCs w:val="18"/>
          <w:color w:val="auto"/>
        </w:rPr>
        <w:t>” on the indenture securities means the Company and any successor obligor upon the Securities.</w:t>
      </w:r>
    </w:p>
    <w:p>
      <w:pPr>
        <w:spacing w:after="0" w:line="227"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All other terms used in this Indenture that are defined by the TIA, defined by TIA reference to another statute or defined by SEC rule under the TIA and not otherwise defined herein are used herein as so defined.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Unless the context otherwise requires:</w:t>
      </w:r>
    </w:p>
    <w:p>
      <w:pPr>
        <w:spacing w:after="0" w:line="117" w:lineRule="exact"/>
        <w:rPr>
          <w:sz w:val="20"/>
          <w:szCs w:val="20"/>
          <w:color w:val="auto"/>
        </w:rPr>
      </w:pPr>
    </w:p>
    <w:p>
      <w:pPr>
        <w:ind w:left="1100" w:hanging="241"/>
        <w:spacing w:after="0"/>
        <w:tabs>
          <w:tab w:leader="none" w:pos="11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has the meaning assigned to it;</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accounting term not otherwise defined has the meaning assigned to it in accordance with GAAP;</w:t>
      </w:r>
    </w:p>
    <w:p>
      <w:pPr>
        <w:spacing w:after="0" w:line="115"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w:t>
      </w:r>
      <w:r>
        <w:rPr>
          <w:rFonts w:ascii="Times New Roman" w:cs="Times New Roman" w:eastAsia="Times New Roman" w:hAnsi="Times New Roman"/>
          <w:sz w:val="18"/>
          <w:szCs w:val="18"/>
          <w:color w:val="auto"/>
        </w:rPr>
        <w:t>” is not exclusive;</w:t>
      </w:r>
    </w:p>
    <w:p>
      <w:pPr>
        <w:spacing w:after="0" w:line="119"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apply to successive events and transactions;</w:t>
      </w:r>
    </w:p>
    <w:p>
      <w:pPr>
        <w:spacing w:after="0" w:line="117"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08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computation of periods of time from a specified date to a later specified date, the word “from” means “from and including,” and the words “to” and “until” each mean “to but excluding”; and</w:t>
      </w:r>
    </w:p>
    <w:p>
      <w:pPr>
        <w:spacing w:after="0" w:line="53" w:lineRule="exact"/>
        <w:rPr>
          <w:rFonts w:ascii="Times New Roman" w:cs="Times New Roman" w:eastAsia="Times New Roman" w:hAnsi="Times New Roman"/>
          <w:sz w:val="18"/>
          <w:szCs w:val="18"/>
          <w:color w:val="auto"/>
        </w:rPr>
      </w:pPr>
    </w:p>
    <w:p>
      <w:pPr>
        <w:ind w:left="440" w:right="420" w:firstLine="419"/>
        <w:spacing w:after="0" w:line="282" w:lineRule="auto"/>
        <w:tabs>
          <w:tab w:leader="none" w:pos="111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phrase “in writing” as used herein shall be deemed to include PDFs, e-mails and other electronic means of transmission, unless otherwise indicated.</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SECURITIES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Issuable in Series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440" w:top="270" w:right="519" w:bottom="1440" w:gutter="0" w:footer="0" w:header="0"/>
        </w:sectPr>
      </w:pPr>
    </w:p>
    <w:bookmarkStart w:id="117" w:name="page118"/>
    <w:bookmarkEnd w:id="11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2.2. </w:t>
      </w:r>
      <w:r>
        <w:rPr>
          <w:rFonts w:ascii="Times New Roman" w:cs="Times New Roman" w:eastAsia="Times New Roman" w:hAnsi="Times New Roman"/>
          <w:sz w:val="18"/>
          <w:szCs w:val="18"/>
          <w:u w:val="single" w:color="auto"/>
          <w:color w:val="auto"/>
        </w:rPr>
        <w:t>Establishment of Terms of Series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89" w:lineRule="auto"/>
        <w:rPr>
          <w:sz w:val="20"/>
          <w:szCs w:val="20"/>
          <w:color w:val="auto"/>
        </w:rPr>
      </w:pPr>
      <w:r>
        <w:rPr>
          <w:rFonts w:ascii="Times New Roman" w:cs="Times New Roman" w:eastAsia="Times New Roman" w:hAnsi="Times New Roman"/>
          <w:sz w:val="17"/>
          <w:szCs w:val="17"/>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2.2.23) by or pursuant to a Board Resolution, and set forth or determined in the manner provided in a Board Resolution, supplemental indenture hereto or Officer’s Certificate:</w:t>
      </w:r>
    </w:p>
    <w:p>
      <w:pPr>
        <w:spacing w:after="0" w:line="50" w:lineRule="exact"/>
        <w:rPr>
          <w:sz w:val="20"/>
          <w:szCs w:val="20"/>
          <w:color w:val="auto"/>
        </w:rPr>
      </w:pPr>
    </w:p>
    <w:p>
      <w:pPr>
        <w:ind w:right="300" w:firstLine="1432"/>
        <w:spacing w:after="0" w:line="282" w:lineRule="auto"/>
        <w:rPr>
          <w:sz w:val="20"/>
          <w:szCs w:val="20"/>
          <w:color w:val="auto"/>
        </w:rPr>
      </w:pPr>
      <w:r>
        <w:rPr>
          <w:rFonts w:ascii="Times New Roman" w:cs="Times New Roman" w:eastAsia="Times New Roman" w:hAnsi="Times New Roman"/>
          <w:sz w:val="18"/>
          <w:szCs w:val="18"/>
          <w:color w:val="auto"/>
        </w:rPr>
        <w:t>2.2.1. the title (which shall distinguish the Securities of that particular Series from the Securities of any other Series) and ranking (including the terms of any subordination provisions) of the Series;</w:t>
      </w:r>
    </w:p>
    <w:p>
      <w:pPr>
        <w:spacing w:after="0" w:line="16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2.2.2. the price or prices (expressed as a percentage of the principal amount thereof) at which the Securities of the Series will be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w:t>
      </w:r>
    </w:p>
    <w:p>
      <w:pPr>
        <w:spacing w:after="0" w:line="207" w:lineRule="exact"/>
        <w:rPr>
          <w:sz w:val="20"/>
          <w:szCs w:val="20"/>
          <w:color w:val="auto"/>
        </w:rPr>
      </w:pPr>
    </w:p>
    <w:p>
      <w:pPr>
        <w:jc w:val="both"/>
        <w:ind w:right="100" w:firstLine="1432"/>
        <w:spacing w:after="0" w:line="266" w:lineRule="auto"/>
        <w:rPr>
          <w:sz w:val="20"/>
          <w:szCs w:val="20"/>
          <w:color w:val="auto"/>
        </w:rPr>
      </w:pPr>
      <w:r>
        <w:rPr>
          <w:rFonts w:ascii="Times New Roman" w:cs="Times New Roman" w:eastAsia="Times New Roman" w:hAnsi="Times New Roman"/>
          <w:sz w:val="18"/>
          <w:szCs w:val="18"/>
          <w:color w:val="auto"/>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17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2.2.4. the date or dates on which the principal of the Securities of the Series is payable;</w:t>
      </w:r>
    </w:p>
    <w:p>
      <w:pPr>
        <w:spacing w:after="0" w:line="225" w:lineRule="exact"/>
        <w:rPr>
          <w:sz w:val="20"/>
          <w:szCs w:val="20"/>
          <w:color w:val="auto"/>
        </w:rPr>
      </w:pPr>
    </w:p>
    <w:p>
      <w:pPr>
        <w:ind w:firstLine="1432"/>
        <w:spacing w:after="0" w:line="261" w:lineRule="auto"/>
        <w:rPr>
          <w:sz w:val="20"/>
          <w:szCs w:val="20"/>
          <w:color w:val="auto"/>
        </w:rPr>
      </w:pPr>
      <w:r>
        <w:rPr>
          <w:rFonts w:ascii="Times New Roman" w:cs="Times New Roman" w:eastAsia="Times New Roman" w:hAnsi="Times New Roman"/>
          <w:sz w:val="18"/>
          <w:szCs w:val="18"/>
          <w:color w:val="auto"/>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80" w:lineRule="exact"/>
        <w:rPr>
          <w:sz w:val="20"/>
          <w:szCs w:val="20"/>
          <w:color w:val="auto"/>
        </w:rPr>
      </w:pPr>
    </w:p>
    <w:p>
      <w:pPr>
        <w:ind w:right="80" w:firstLine="1432"/>
        <w:spacing w:after="0" w:line="266" w:lineRule="auto"/>
        <w:rPr>
          <w:sz w:val="20"/>
          <w:szCs w:val="20"/>
          <w:color w:val="auto"/>
        </w:rPr>
      </w:pPr>
      <w:r>
        <w:rPr>
          <w:rFonts w:ascii="Times New Roman" w:cs="Times New Roman" w:eastAsia="Times New Roman" w:hAnsi="Times New Roman"/>
          <w:sz w:val="18"/>
          <w:szCs w:val="18"/>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w:t>
      </w:r>
    </w:p>
    <w:p>
      <w:pPr>
        <w:spacing w:after="0" w:line="176" w:lineRule="exact"/>
        <w:rPr>
          <w:sz w:val="20"/>
          <w:szCs w:val="20"/>
          <w:color w:val="auto"/>
        </w:rPr>
      </w:pPr>
    </w:p>
    <w:p>
      <w:pPr>
        <w:ind w:right="340" w:firstLine="1432"/>
        <w:spacing w:after="0" w:line="282" w:lineRule="auto"/>
        <w:rPr>
          <w:sz w:val="20"/>
          <w:szCs w:val="20"/>
          <w:color w:val="auto"/>
        </w:rPr>
      </w:pPr>
      <w:r>
        <w:rPr>
          <w:rFonts w:ascii="Times New Roman" w:cs="Times New Roman" w:eastAsia="Times New Roman" w:hAnsi="Times New Roman"/>
          <w:sz w:val="18"/>
          <w:szCs w:val="18"/>
          <w:color w:val="auto"/>
        </w:rPr>
        <w:t>2.2.7. if applicable, the period or periods within which, the price or prices at which and the terms and conditions upon which the Securities of the Series may be redeemed, in whole or in part, at the option of the Company;</w:t>
      </w:r>
    </w:p>
    <w:p>
      <w:pPr>
        <w:spacing w:after="0" w:line="162" w:lineRule="exact"/>
        <w:rPr>
          <w:sz w:val="20"/>
          <w:szCs w:val="20"/>
          <w:color w:val="auto"/>
        </w:rPr>
      </w:pPr>
    </w:p>
    <w:p>
      <w:pPr>
        <w:ind w:right="480" w:firstLine="1432"/>
        <w:spacing w:after="0" w:line="266" w:lineRule="auto"/>
        <w:rPr>
          <w:sz w:val="20"/>
          <w:szCs w:val="20"/>
          <w:color w:val="auto"/>
        </w:rPr>
      </w:pPr>
      <w:r>
        <w:rPr>
          <w:rFonts w:ascii="Times New Roman" w:cs="Times New Roman" w:eastAsia="Times New Roman" w:hAnsi="Times New Roman"/>
          <w:sz w:val="18"/>
          <w:szCs w:val="18"/>
          <w:color w:val="auto"/>
        </w:rPr>
        <w:t>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76" w:lineRule="exact"/>
        <w:rPr>
          <w:sz w:val="20"/>
          <w:szCs w:val="20"/>
          <w:color w:val="auto"/>
        </w:rPr>
      </w:pPr>
    </w:p>
    <w:p>
      <w:pPr>
        <w:ind w:right="120" w:firstLine="1432"/>
        <w:spacing w:after="0" w:line="282" w:lineRule="auto"/>
        <w:rPr>
          <w:sz w:val="20"/>
          <w:szCs w:val="20"/>
          <w:color w:val="auto"/>
        </w:rPr>
      </w:pPr>
      <w:r>
        <w:rPr>
          <w:rFonts w:ascii="Times New Roman" w:cs="Times New Roman" w:eastAsia="Times New Roman" w:hAnsi="Times New Roman"/>
          <w:sz w:val="18"/>
          <w:szCs w:val="18"/>
          <w:color w:val="auto"/>
        </w:rPr>
        <w:t>2.2.9. the dates, if any, on which and the price or prices at which the Securities of the Series will be repurchased by the Company at the option of the Holders thereof and other detailed terms and provisions of such repurchase obligations;</w:t>
      </w:r>
    </w:p>
    <w:p>
      <w:pPr>
        <w:spacing w:after="0" w:line="162" w:lineRule="exact"/>
        <w:rPr>
          <w:sz w:val="20"/>
          <w:szCs w:val="20"/>
          <w:color w:val="auto"/>
        </w:rPr>
      </w:pPr>
    </w:p>
    <w:p>
      <w:pPr>
        <w:ind w:right="340" w:firstLine="1432"/>
        <w:spacing w:after="0" w:line="282" w:lineRule="auto"/>
        <w:rPr>
          <w:sz w:val="20"/>
          <w:szCs w:val="20"/>
          <w:color w:val="auto"/>
        </w:rPr>
      </w:pPr>
      <w:r>
        <w:rPr>
          <w:rFonts w:ascii="Times New Roman" w:cs="Times New Roman" w:eastAsia="Times New Roman" w:hAnsi="Times New Roman"/>
          <w:sz w:val="18"/>
          <w:szCs w:val="18"/>
          <w:color w:val="auto"/>
        </w:rPr>
        <w:t>2.2.10. if other than denominations of $1,000 and any integral multiple thereof, the denominations in which the Securities of the Series shall be issuable;</w:t>
      </w:r>
    </w:p>
    <w:p>
      <w:pPr>
        <w:spacing w:after="0" w:line="16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2.2.11. the forms of the Securities of the Series and whether the Securities will be issuable as Global Securities;</w:t>
      </w:r>
    </w:p>
    <w:p>
      <w:pPr>
        <w:spacing w:after="0" w:line="225" w:lineRule="exact"/>
        <w:rPr>
          <w:sz w:val="20"/>
          <w:szCs w:val="20"/>
          <w:color w:val="auto"/>
        </w:rPr>
      </w:pPr>
    </w:p>
    <w:p>
      <w:pPr>
        <w:ind w:right="380" w:firstLine="1432"/>
        <w:spacing w:after="0" w:line="282" w:lineRule="auto"/>
        <w:rPr>
          <w:sz w:val="20"/>
          <w:szCs w:val="20"/>
          <w:color w:val="auto"/>
        </w:rPr>
      </w:pPr>
      <w:r>
        <w:rPr>
          <w:rFonts w:ascii="Times New Roman" w:cs="Times New Roman" w:eastAsia="Times New Roman" w:hAnsi="Times New Roman"/>
          <w:sz w:val="18"/>
          <w:szCs w:val="18"/>
          <w:color w:val="auto"/>
        </w:rPr>
        <w:t>2.2.12. if other than the principal amount thereof, the portion of the principal amount of the Securities of the Series that shall be payable upon declaration of acceleration of the maturity thereof pursuant to Section 6.2;</w:t>
      </w:r>
    </w:p>
    <w:p>
      <w:pPr>
        <w:spacing w:after="0" w:line="162" w:lineRule="exact"/>
        <w:rPr>
          <w:sz w:val="20"/>
          <w:szCs w:val="20"/>
          <w:color w:val="auto"/>
        </w:rPr>
      </w:pPr>
    </w:p>
    <w:p>
      <w:pPr>
        <w:ind w:right="380" w:firstLine="1432"/>
        <w:spacing w:after="0" w:line="282" w:lineRule="auto"/>
        <w:rPr>
          <w:sz w:val="20"/>
          <w:szCs w:val="20"/>
          <w:color w:val="auto"/>
        </w:rPr>
      </w:pPr>
      <w:r>
        <w:rPr>
          <w:rFonts w:ascii="Times New Roman" w:cs="Times New Roman" w:eastAsia="Times New Roman" w:hAnsi="Times New Roman"/>
          <w:sz w:val="18"/>
          <w:szCs w:val="18"/>
          <w:color w:val="auto"/>
        </w:rPr>
        <w:t>2.2.13. the currency of denomination of the Securities of the Series, which may be Dollars or any Foreign Currency, and if such currency of denomination is a composite currency, the agency or organization, if any, responsible for overseeing such composite currency;</w:t>
      </w:r>
    </w:p>
    <w:p>
      <w:pPr>
        <w:spacing w:after="0" w:line="162" w:lineRule="exact"/>
        <w:rPr>
          <w:sz w:val="20"/>
          <w:szCs w:val="20"/>
          <w:color w:val="auto"/>
        </w:rPr>
      </w:pPr>
    </w:p>
    <w:p>
      <w:pPr>
        <w:ind w:right="140" w:firstLine="1432"/>
        <w:spacing w:after="0" w:line="282" w:lineRule="auto"/>
        <w:rPr>
          <w:sz w:val="20"/>
          <w:szCs w:val="20"/>
          <w:color w:val="auto"/>
        </w:rPr>
      </w:pPr>
      <w:r>
        <w:rPr>
          <w:rFonts w:ascii="Times New Roman" w:cs="Times New Roman" w:eastAsia="Times New Roman" w:hAnsi="Times New Roman"/>
          <w:sz w:val="18"/>
          <w:szCs w:val="18"/>
          <w:color w:val="auto"/>
        </w:rPr>
        <w:t>2.2.14. the designation of the currency, currencies or currency units in which payment of the principal of and interest, if any, on the Securities of the Series will be made;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18" w:name="page119"/>
    <w:bookmarkEnd w:id="118"/>
    <w:p>
      <w:pPr>
        <w:ind w:right="160" w:firstLine="1432"/>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76" w:lineRule="exact"/>
        <w:rPr>
          <w:sz w:val="20"/>
          <w:szCs w:val="20"/>
          <w:color w:val="auto"/>
        </w:rPr>
      </w:pPr>
    </w:p>
    <w:p>
      <w:pPr>
        <w:ind w:right="100" w:firstLine="1432"/>
        <w:spacing w:after="0" w:line="266" w:lineRule="auto"/>
        <w:rPr>
          <w:sz w:val="20"/>
          <w:szCs w:val="20"/>
          <w:color w:val="auto"/>
        </w:rPr>
      </w:pPr>
      <w:r>
        <w:rPr>
          <w:rFonts w:ascii="Times New Roman" w:cs="Times New Roman" w:eastAsia="Times New Roman" w:hAnsi="Times New Roman"/>
          <w:sz w:val="18"/>
          <w:szCs w:val="18"/>
          <w:color w:val="auto"/>
        </w:rPr>
        <w:t>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7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2.2.17. the provisions, if any, relating to any security provided for the Securities of the Series;</w:t>
      </w:r>
    </w:p>
    <w:p>
      <w:pPr>
        <w:spacing w:after="0" w:line="225" w:lineRule="exact"/>
        <w:rPr>
          <w:sz w:val="20"/>
          <w:szCs w:val="20"/>
          <w:color w:val="auto"/>
        </w:rPr>
      </w:pPr>
    </w:p>
    <w:p>
      <w:pPr>
        <w:ind w:firstLine="1432"/>
        <w:spacing w:after="0" w:line="282" w:lineRule="auto"/>
        <w:rPr>
          <w:sz w:val="20"/>
          <w:szCs w:val="20"/>
          <w:color w:val="auto"/>
        </w:rPr>
      </w:pPr>
      <w:r>
        <w:rPr>
          <w:rFonts w:ascii="Times New Roman" w:cs="Times New Roman" w:eastAsia="Times New Roman" w:hAnsi="Times New Roman"/>
          <w:sz w:val="18"/>
          <w:szCs w:val="18"/>
          <w:color w:val="auto"/>
        </w:rPr>
        <w:t>2.2.18. any addition to, deletion of or change in the Events of Default which applies to any Securities of the Series and any change in the right of the Trustee or the requisite Holders of such Securities to declare the principal amount thereof due and payable pursuant to Section 6.2;</w:t>
      </w:r>
    </w:p>
    <w:p>
      <w:pPr>
        <w:spacing w:after="0" w:line="16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2.2.19. any addition to, deletion of or change in the covenants applicable to Securities of the Series;</w:t>
      </w:r>
    </w:p>
    <w:p>
      <w:pPr>
        <w:spacing w:after="0" w:line="225" w:lineRule="exact"/>
        <w:rPr>
          <w:sz w:val="20"/>
          <w:szCs w:val="20"/>
          <w:color w:val="auto"/>
        </w:rPr>
      </w:pPr>
    </w:p>
    <w:p>
      <w:pPr>
        <w:ind w:right="160" w:firstLine="1432"/>
        <w:spacing w:after="0" w:line="282" w:lineRule="auto"/>
        <w:rPr>
          <w:sz w:val="20"/>
          <w:szCs w:val="20"/>
          <w:color w:val="auto"/>
        </w:rPr>
      </w:pPr>
      <w:r>
        <w:rPr>
          <w:rFonts w:ascii="Times New Roman" w:cs="Times New Roman" w:eastAsia="Times New Roman" w:hAnsi="Times New Roman"/>
          <w:sz w:val="18"/>
          <w:szCs w:val="18"/>
          <w:color w:val="auto"/>
        </w:rPr>
        <w:t>2.2.20. any Depositaries, interest rate calculation agents, exchange rate calculation agents or other agents with respect to Securities of such Series if other than those appointed herein;</w:t>
      </w:r>
    </w:p>
    <w:p>
      <w:pPr>
        <w:spacing w:after="0" w:line="162" w:lineRule="exact"/>
        <w:rPr>
          <w:sz w:val="20"/>
          <w:szCs w:val="20"/>
          <w:color w:val="auto"/>
        </w:rPr>
      </w:pPr>
    </w:p>
    <w:p>
      <w:pPr>
        <w:ind w:right="200" w:firstLine="1432"/>
        <w:spacing w:after="0" w:line="261" w:lineRule="auto"/>
        <w:rPr>
          <w:sz w:val="20"/>
          <w:szCs w:val="20"/>
          <w:color w:val="auto"/>
        </w:rPr>
      </w:pPr>
      <w:r>
        <w:rPr>
          <w:rFonts w:ascii="Times New Roman" w:cs="Times New Roman" w:eastAsia="Times New Roman" w:hAnsi="Times New Roman"/>
          <w:sz w:val="18"/>
          <w:szCs w:val="18"/>
          <w:color w:val="auto"/>
        </w:rPr>
        <w:t>2.2.21. the provisions, if any, relating to conversion or exchange of any Securities of such Series, including if applicable, the conversion or exchange price, the conversion or exchange period, provisions as to whether conversion or exchange will be mandatory, at the option of the Holders thereof or at the option of the Company, the events requiring an adjustment of the conversion price or exchange price and provisions affecting conversion or exchange if such Series of Securities are redeemed;</w:t>
      </w:r>
    </w:p>
    <w:p>
      <w:pPr>
        <w:spacing w:after="0" w:line="180" w:lineRule="exact"/>
        <w:rPr>
          <w:sz w:val="20"/>
          <w:szCs w:val="20"/>
          <w:color w:val="auto"/>
        </w:rPr>
      </w:pPr>
    </w:p>
    <w:p>
      <w:pPr>
        <w:jc w:val="both"/>
        <w:ind w:right="20" w:firstLine="1432"/>
        <w:spacing w:after="0" w:line="266" w:lineRule="auto"/>
        <w:rPr>
          <w:sz w:val="20"/>
          <w:szCs w:val="20"/>
          <w:color w:val="auto"/>
        </w:rPr>
      </w:pPr>
      <w:r>
        <w:rPr>
          <w:rFonts w:ascii="Times New Roman" w:cs="Times New Roman" w:eastAsia="Times New Roman" w:hAnsi="Times New Roman"/>
          <w:sz w:val="18"/>
          <w:szCs w:val="18"/>
          <w:color w:val="auto"/>
        </w:rPr>
        <w:t>2.2.22.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w:t>
      </w:r>
    </w:p>
    <w:p>
      <w:pPr>
        <w:spacing w:after="0" w:line="176" w:lineRule="exact"/>
        <w:rPr>
          <w:sz w:val="20"/>
          <w:szCs w:val="20"/>
          <w:color w:val="auto"/>
        </w:rPr>
      </w:pPr>
    </w:p>
    <w:p>
      <w:pPr>
        <w:ind w:right="100" w:firstLine="1432"/>
        <w:spacing w:after="0" w:line="282" w:lineRule="auto"/>
        <w:rPr>
          <w:sz w:val="20"/>
          <w:szCs w:val="20"/>
          <w:color w:val="auto"/>
        </w:rPr>
      </w:pPr>
      <w:r>
        <w:rPr>
          <w:rFonts w:ascii="Times New Roman" w:cs="Times New Roman" w:eastAsia="Times New Roman" w:hAnsi="Times New Roman"/>
          <w:sz w:val="18"/>
          <w:szCs w:val="18"/>
          <w:color w:val="auto"/>
        </w:rPr>
        <w:t>2.2.23. whether any of the Company’s direct or indirect Subsidiaries will guarantee the Securities of that Series, including the terms of subordination, if any, of such guarantees.</w:t>
      </w:r>
    </w:p>
    <w:p>
      <w:pPr>
        <w:spacing w:after="0" w:line="162"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Execution and Authentication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 Officer shall sign the Securities for the Company by manual, facsimile or electronic signature.</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If an Officer whose signature is on a Security no longer holds that office at the time the Security is authenticated, the Security shall nevertheless be valid.</w:t>
      </w:r>
    </w:p>
    <w:p>
      <w:pPr>
        <w:spacing w:after="0" w:line="162" w:lineRule="exact"/>
        <w:rPr>
          <w:sz w:val="20"/>
          <w:szCs w:val="20"/>
          <w:color w:val="auto"/>
        </w:rPr>
      </w:pPr>
    </w:p>
    <w:p>
      <w:pPr>
        <w:ind w:right="740" w:firstLine="440"/>
        <w:spacing w:after="0" w:line="282" w:lineRule="auto"/>
        <w:rPr>
          <w:sz w:val="20"/>
          <w:szCs w:val="20"/>
          <w:color w:val="auto"/>
        </w:rPr>
      </w:pPr>
      <w:r>
        <w:rPr>
          <w:rFonts w:ascii="Times New Roman" w:cs="Times New Roman" w:eastAsia="Times New Roman" w:hAnsi="Times New Roman"/>
          <w:sz w:val="18"/>
          <w:szCs w:val="18"/>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162"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w:t>
      </w:r>
    </w:p>
    <w:p>
      <w:pPr>
        <w:spacing w:after="0" w:line="17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19" w:name="page120"/>
    <w:bookmarkEnd w:id="119"/>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Prior to the issuance of Securities of any Series, the Trustee shall have received and (subject to Section 7.2) shall be fully protected in relying on:</w:t>
      </w:r>
    </w:p>
    <w:p>
      <w:pPr>
        <w:spacing w:after="0" w:line="27" w:lineRule="exact"/>
        <w:rPr>
          <w:sz w:val="20"/>
          <w:szCs w:val="20"/>
          <w:color w:val="auto"/>
        </w:rPr>
      </w:pPr>
    </w:p>
    <w:p>
      <w:pPr>
        <w:ind w:left="4" w:right="220" w:hanging="4"/>
        <w:spacing w:after="0" w:line="255" w:lineRule="auto"/>
        <w:tabs>
          <w:tab w:leader="none" w:pos="24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Sections 10.4 and 10.5, and (c) an Opinion of Counsel complying with Sections 10.4 and 10.5.</w:t>
      </w:r>
    </w:p>
    <w:p>
      <w:pPr>
        <w:spacing w:after="0" w:line="186"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The Trustee shall have the right to decline to authenticate and deliver any Securities of such Series: (a) if the Trustee, being advised by counsel, determines that such action may not be taken lawfully; or (b) if the Trustee in good faith determines that such action may expose the Trustee to personal liability.</w:t>
      </w:r>
    </w:p>
    <w:p>
      <w:pPr>
        <w:spacing w:after="0" w:line="176" w:lineRule="exact"/>
        <w:rPr>
          <w:sz w:val="20"/>
          <w:szCs w:val="20"/>
          <w:color w:val="auto"/>
        </w:rPr>
      </w:pPr>
    </w:p>
    <w:p>
      <w:pPr>
        <w:jc w:val="both"/>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Registrar, Paying Agent and Notice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The Company shall maintain, with respect to each Series of Securities, at the place or places specified with respect to such Series pursuant to Section 2.2, an office or agency where Securities of such Series may be presented or surrendered for payment (“</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 where Securities of such Series may be surrendered for registration of transfer or exchange (“</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and where notices and demands to or upon the Company in respect of the Securities of such Series and this Indenture may be delivered (“</w:t>
      </w:r>
      <w:r>
        <w:rPr>
          <w:rFonts w:ascii="Times New Roman" w:cs="Times New Roman" w:eastAsia="Times New Roman" w:hAnsi="Times New Roman"/>
          <w:sz w:val="18"/>
          <w:szCs w:val="18"/>
          <w:i w:val="1"/>
          <w:iCs w:val="1"/>
          <w:color w:val="auto"/>
        </w:rPr>
        <w:t>Notice Agent</w:t>
      </w:r>
      <w:r>
        <w:rPr>
          <w:rFonts w:ascii="Times New Roman" w:cs="Times New Roman" w:eastAsia="Times New Roman" w:hAnsi="Times New Roman"/>
          <w:sz w:val="18"/>
          <w:szCs w:val="18"/>
          <w:color w:val="auto"/>
        </w:rPr>
        <w:t xml:space="preserve">”).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appointment of the Trustee as the Notice Agent shall exclude the appointment of the Trustee or any office of the Trustee as an agent to receive the service of legal process on the Company.</w:t>
      </w:r>
    </w:p>
    <w:p>
      <w:pPr>
        <w:spacing w:after="0" w:line="194" w:lineRule="exact"/>
        <w:rPr>
          <w:sz w:val="20"/>
          <w:szCs w:val="20"/>
          <w:color w:val="auto"/>
        </w:rPr>
      </w:pPr>
    </w:p>
    <w:p>
      <w:pPr>
        <w:ind w:left="4"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Company may also from time to time designate one or more co-registrars, additional paying agents or additional notice agents and may from time to time rescind such designations;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includes any co-registrar; the term “</w:t>
      </w:r>
      <w:r>
        <w:rPr>
          <w:rFonts w:ascii="Times New Roman" w:cs="Times New Roman" w:eastAsia="Times New Roman" w:hAnsi="Times New Roman"/>
          <w:sz w:val="18"/>
          <w:szCs w:val="18"/>
          <w:i w:val="1"/>
          <w:iCs w:val="1"/>
          <w:color w:val="auto"/>
        </w:rPr>
        <w:t>Paying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Agent</w:t>
      </w:r>
      <w:r>
        <w:rPr>
          <w:rFonts w:ascii="Times New Roman" w:cs="Times New Roman" w:eastAsia="Times New Roman" w:hAnsi="Times New Roman"/>
          <w:sz w:val="18"/>
          <w:szCs w:val="18"/>
          <w:color w:val="auto"/>
        </w:rPr>
        <w:t>” includes any additional paying agent; and the term “</w:t>
      </w:r>
      <w:r>
        <w:rPr>
          <w:rFonts w:ascii="Times New Roman" w:cs="Times New Roman" w:eastAsia="Times New Roman" w:hAnsi="Times New Roman"/>
          <w:sz w:val="18"/>
          <w:szCs w:val="18"/>
          <w:i w:val="1"/>
          <w:iCs w:val="1"/>
          <w:color w:val="auto"/>
        </w:rPr>
        <w:t>Notice Agent</w:t>
      </w:r>
      <w:r>
        <w:rPr>
          <w:rFonts w:ascii="Times New Roman" w:cs="Times New Roman" w:eastAsia="Times New Roman" w:hAnsi="Times New Roman"/>
          <w:sz w:val="18"/>
          <w:szCs w:val="18"/>
          <w:color w:val="auto"/>
        </w:rPr>
        <w:t>” includes any additional notice agent. The Company or any of its Affiliates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serve as Registrar or Paying Agent.</w:t>
      </w:r>
    </w:p>
    <w:p>
      <w:pPr>
        <w:spacing w:after="0" w:line="189"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The Company hereby appoints the Trustee the initial Registrar, Paying Agent and Notice Agent for each Series unless another Registrar, Paying Agent or Notice Agent, as the case may be, is appointed prior to the time Securities of that Series are first issued. The rights, powers, duties, obligations and actions of each Agent under this Indenture are several and not joint or joint and several, and the Agents shall only be obliged to perform those duties expressly set out in this Indenture and shall have no implied duties.</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Paying Agent to Hold Money in Trust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The Company shall require each Paying Agent other than the Trustee to agree in writing that the Paying Agent will hold in trust, for the benefit of 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70" w:right="479" w:bottom="1440" w:gutter="0" w:footer="0" w:header="0"/>
        </w:sectPr>
      </w:pPr>
    </w:p>
    <w:bookmarkStart w:id="120" w:name="page121"/>
    <w:bookmarkEnd w:id="120"/>
    <w:p>
      <w:pPr>
        <w:ind w:left="4"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or a Subsidiary of the Company acts as Paying Agent, it shall segregate and hold in a separate trust fund for the benefit of Holders of any Series of Securities all money held by it as Paying Agent. Upon any bankruptcy, reorganization or similar proceeding with respect to the Company, the Trustee shall serve as Paying Agent for the Securities. For the avoidance of doubt, a Paying Agent and the Trustee shall be held harmless and have no liability with respect to payments or disbursements (including to the Holders) until they have confirmed receipt of funds sufficient to make the relevant payment. No money held by an Agent needs to be segregated except as is required by law.</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Holder Lists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If it is serving as Registrar, the Trustee shall preserve in as current a form as is reasonably practicable the most recent list available to it of the names and addresses of 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Holders of each Series of Securities.</w:t>
      </w:r>
    </w:p>
    <w:p>
      <w:pPr>
        <w:spacing w:after="0" w:line="180" w:lineRule="exact"/>
        <w:rPr>
          <w:sz w:val="20"/>
          <w:szCs w:val="20"/>
          <w:color w:val="auto"/>
        </w:rPr>
      </w:pPr>
    </w:p>
    <w:p>
      <w:pPr>
        <w:jc w:val="both"/>
        <w:ind w:left="4" w:right="300" w:firstLine="440"/>
        <w:spacing w:after="0" w:line="261" w:lineRule="auto"/>
        <w:rPr>
          <w:sz w:val="20"/>
          <w:szCs w:val="20"/>
          <w:color w:val="auto"/>
        </w:rPr>
      </w:pPr>
      <w:r>
        <w:rPr>
          <w:rFonts w:ascii="Times New Roman" w:cs="Times New Roman" w:eastAsia="Times New Roman" w:hAnsi="Times New Roman"/>
          <w:sz w:val="18"/>
          <w:szCs w:val="18"/>
          <w:color w:val="auto"/>
        </w:rPr>
        <w:t>Every Holder, by receiving and holding Securities, agrees with the Company and the Trustee that neither the Company nor the Trustee or any agent of either of them shall be held accountable by reason of the disclosure of any such information as to the names and addresses of the Holders in accordance with TIA § 312, regardless of the source from which such information was derived, and that the Trustee shall not be held accountable by reason of mailing any material pursuant to a request made under TIA § 312(b).</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Transfer and 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187" w:lineRule="exact"/>
        <w:rPr>
          <w:sz w:val="20"/>
          <w:szCs w:val="20"/>
          <w:color w:val="auto"/>
        </w:rPr>
      </w:pPr>
    </w:p>
    <w:p>
      <w:pPr>
        <w:ind w:left="4" w:right="20" w:firstLine="440"/>
        <w:spacing w:after="0" w:line="277" w:lineRule="auto"/>
        <w:rPr>
          <w:sz w:val="20"/>
          <w:szCs w:val="20"/>
          <w:color w:val="auto"/>
        </w:rPr>
      </w:pPr>
      <w:r>
        <w:rPr>
          <w:rFonts w:ascii="Times New Roman" w:cs="Times New Roman" w:eastAsia="Times New Roman" w:hAnsi="Times New Roman"/>
          <w:sz w:val="17"/>
          <w:szCs w:val="17"/>
          <w:color w:val="auto"/>
        </w:rPr>
        <w:t>Neither the Company nor the Registrar shall be required (a) to issue, register the transfer of or exchange Securities of any Series for the period beginning at the opening of business 15 days immediately preceding the sending of a notice of redemption of Securities of that Series selected for redemption and ending at the close of business on the day such notice is sent, (b) to register the transfer of or exchange Securities of any Series selected, called or being called for redemption as a whole or the portion being redeemed of any such Securities selected, called or being called for redemption in part or (c) to register the transfer of or exchange Securities of any Series between a record date and payment date for such Series of Securities.</w:t>
      </w:r>
    </w:p>
    <w:p>
      <w:pPr>
        <w:spacing w:after="0" w:line="16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Mutilated, Destroyed, Lost and Stolen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20" w:firstLine="440"/>
        <w:spacing w:after="0" w:line="312" w:lineRule="auto"/>
        <w:rPr>
          <w:sz w:val="20"/>
          <w:szCs w:val="20"/>
          <w:color w:val="auto"/>
        </w:rPr>
      </w:pPr>
      <w:r>
        <w:rPr>
          <w:rFonts w:ascii="Times New Roman" w:cs="Times New Roman" w:eastAsia="Times New Roman" w:hAnsi="Times New Roman"/>
          <w:sz w:val="17"/>
          <w:szCs w:val="17"/>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4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If there shall be delivered to the Company and the Trustee (i) evidence to their satisfaction of the destruction, loss or theft of any Security and</w:t>
      </w:r>
    </w:p>
    <w:p>
      <w:pPr>
        <w:spacing w:after="0" w:line="27" w:lineRule="exact"/>
        <w:rPr>
          <w:sz w:val="20"/>
          <w:szCs w:val="20"/>
          <w:color w:val="auto"/>
        </w:rPr>
      </w:pPr>
    </w:p>
    <w:p>
      <w:pPr>
        <w:ind w:left="4" w:hanging="4"/>
        <w:spacing w:after="0" w:line="253" w:lineRule="auto"/>
        <w:tabs>
          <w:tab w:leader="none" w:pos="26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4"/>
          </w:cols>
          <w:pgMar w:left="436" w:top="270" w:right="479" w:bottom="1440" w:gutter="0" w:footer="0" w:header="0"/>
        </w:sectPr>
      </w:pPr>
    </w:p>
    <w:bookmarkStart w:id="121" w:name="page122"/>
    <w:bookmarkEnd w:id="121"/>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case any such mutilated, destroyed, lost or stolen Security has become or is about to become due and payable, the Company in its discretion may, instead of issuing a new Security, pay such Security.</w:t>
      </w:r>
    </w:p>
    <w:p>
      <w:pPr>
        <w:spacing w:after="0" w:line="162"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76" w:lineRule="exact"/>
        <w:rPr>
          <w:sz w:val="20"/>
          <w:szCs w:val="20"/>
          <w:color w:val="auto"/>
        </w:rPr>
      </w:pPr>
    </w:p>
    <w:p>
      <w:pPr>
        <w:ind w:right="180" w:firstLine="440"/>
        <w:spacing w:after="0" w:line="289" w:lineRule="auto"/>
        <w:rPr>
          <w:sz w:val="20"/>
          <w:szCs w:val="20"/>
          <w:color w:val="auto"/>
        </w:rPr>
      </w:pPr>
      <w:r>
        <w:rPr>
          <w:rFonts w:ascii="Times New Roman" w:cs="Times New Roman" w:eastAsia="Times New Roman" w:hAnsi="Times New Roman"/>
          <w:sz w:val="17"/>
          <w:szCs w:val="17"/>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58"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Outstanding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76"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If a Security is replaced pursuant to Section 2.8, it ceases to be outstanding until the Trustee receives proof satisfactory to it that the replaced Security is held by a bona fide purchaser.</w:t>
      </w:r>
    </w:p>
    <w:p>
      <w:pPr>
        <w:spacing w:after="0" w:line="16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76" w:lineRule="exact"/>
        <w:rPr>
          <w:sz w:val="20"/>
          <w:szCs w:val="20"/>
          <w:color w:val="auto"/>
        </w:rPr>
      </w:pPr>
    </w:p>
    <w:p>
      <w:pPr>
        <w:ind w:right="460" w:firstLine="440"/>
        <w:spacing w:after="0" w:line="312" w:lineRule="auto"/>
        <w:rPr>
          <w:sz w:val="20"/>
          <w:szCs w:val="20"/>
          <w:color w:val="auto"/>
        </w:rPr>
      </w:pPr>
      <w:r>
        <w:rPr>
          <w:rFonts w:ascii="Times New Roman" w:cs="Times New Roman" w:eastAsia="Times New Roman" w:hAnsi="Times New Roman"/>
          <w:sz w:val="17"/>
          <w:szCs w:val="17"/>
          <w:color w:val="auto"/>
        </w:rPr>
        <w:t>The Company may purchase or otherwise acquire the Securities, whether by open market purchases, negotiated transactions or otherwise. A Security does not cease to be outstanding because the Company or an Affiliate of the Company holds the Security (but see Section 2.10 below).</w:t>
      </w:r>
    </w:p>
    <w:p>
      <w:pPr>
        <w:spacing w:after="0" w:line="140"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Treasury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Temporary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122" w:name="page123"/>
    <w:bookmarkEnd w:id="122"/>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2.12. </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and shall destroy such canceled Securities (subject to the record retention requirements of the Exchange Act and the Trustee) and deliver a certificate of such cancellation to the Company upon written request of the Company. The Company may not issue new Securities to replace Securities that it has paid or delivered to the Trustee for cancellation.</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Defaulted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If the Company defaults in a payment of interest on a Series of Securities, it shall pay the defaulted interest, plus, to the extent permitted by law, any interest payable on the defaulted interest, to the persons who are Holders of the Series on a subsequent special record date.</w:t>
      </w:r>
    </w:p>
    <w:p>
      <w:pPr>
        <w:spacing w:after="0" w:line="162" w:lineRule="exact"/>
        <w:rPr>
          <w:sz w:val="20"/>
          <w:szCs w:val="20"/>
          <w:color w:val="auto"/>
        </w:rPr>
      </w:pPr>
    </w:p>
    <w:p>
      <w:pPr>
        <w:jc w:val="both"/>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t>The Company shall fix the record date and payment date. At least ten days before the special record date, the Company shall send to the Trustee and to each Holder of the Series a notice that states the special record date, the payment date and the amount of interest to be paid. The Company may pay defaulted interest in any other lawful manner.</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Global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80" w:firstLine="1432"/>
        <w:spacing w:after="0" w:line="266" w:lineRule="auto"/>
        <w:rPr>
          <w:sz w:val="20"/>
          <w:szCs w:val="20"/>
          <w:color w:val="auto"/>
        </w:rPr>
      </w:pPr>
      <w:r>
        <w:rPr>
          <w:rFonts w:ascii="Times New Roman" w:cs="Times New Roman" w:eastAsia="Times New Roman" w:hAnsi="Times New Roman"/>
          <w:sz w:val="18"/>
          <w:szCs w:val="18"/>
          <w:color w:val="auto"/>
        </w:rPr>
        <w:t xml:space="preserve">2.14.1. </w:t>
      </w:r>
      <w:r>
        <w:rPr>
          <w:rFonts w:ascii="Times New Roman" w:cs="Times New Roman" w:eastAsia="Times New Roman" w:hAnsi="Times New Roman"/>
          <w:sz w:val="18"/>
          <w:szCs w:val="18"/>
          <w:u w:val="single" w:color="auto"/>
          <w:color w:val="auto"/>
        </w:rPr>
        <w:t>Terms of Securities</w:t>
      </w:r>
      <w:r>
        <w:rPr>
          <w:rFonts w:ascii="Times New Roman" w:cs="Times New Roman" w:eastAsia="Times New Roman" w:hAnsi="Times New Roman"/>
          <w:sz w:val="18"/>
          <w:szCs w:val="18"/>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176" w:lineRule="exact"/>
        <w:rPr>
          <w:sz w:val="20"/>
          <w:szCs w:val="20"/>
          <w:color w:val="auto"/>
        </w:rPr>
      </w:pPr>
    </w:p>
    <w:p>
      <w:pPr>
        <w:ind w:left="4" w:right="160" w:firstLine="1432"/>
        <w:spacing w:after="0" w:line="269" w:lineRule="auto"/>
        <w:rPr>
          <w:sz w:val="20"/>
          <w:szCs w:val="20"/>
          <w:color w:val="auto"/>
        </w:rPr>
      </w:pPr>
      <w:r>
        <w:rPr>
          <w:rFonts w:ascii="Times New Roman" w:cs="Times New Roman" w:eastAsia="Times New Roman" w:hAnsi="Times New Roman"/>
          <w:sz w:val="17"/>
          <w:szCs w:val="17"/>
          <w:color w:val="auto"/>
        </w:rPr>
        <w:t xml:space="preserve">2.14.2. </w:t>
      </w:r>
      <w:r>
        <w:rPr>
          <w:rFonts w:ascii="Times New Roman" w:cs="Times New Roman" w:eastAsia="Times New Roman" w:hAnsi="Times New Roman"/>
          <w:sz w:val="17"/>
          <w:szCs w:val="17"/>
          <w:u w:val="single" w:color="auto"/>
          <w:color w:val="auto"/>
        </w:rPr>
        <w:t>Transfer and Exchange</w:t>
      </w:r>
      <w:r>
        <w:rPr>
          <w:rFonts w:ascii="Times New Roman" w:cs="Times New Roman" w:eastAsia="Times New Roman" w:hAnsi="Times New Roman"/>
          <w:sz w:val="17"/>
          <w:szCs w:val="17"/>
          <w:color w:val="auto"/>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w:t>
      </w:r>
    </w:p>
    <w:p>
      <w:pPr>
        <w:spacing w:after="0" w:line="3" w:lineRule="exact"/>
        <w:rPr>
          <w:sz w:val="20"/>
          <w:szCs w:val="20"/>
          <w:color w:val="auto"/>
        </w:rPr>
      </w:pPr>
    </w:p>
    <w:p>
      <w:pPr>
        <w:ind w:left="4" w:right="60" w:hanging="4"/>
        <w:spacing w:after="0" w:line="255" w:lineRule="auto"/>
        <w:tabs>
          <w:tab w:leader="none" w:pos="26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186"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76" w:lineRule="exact"/>
        <w:rPr>
          <w:sz w:val="20"/>
          <w:szCs w:val="20"/>
          <w:color w:val="auto"/>
        </w:rPr>
      </w:pPr>
    </w:p>
    <w:p>
      <w:pPr>
        <w:ind w:left="4" w:right="60" w:firstLine="991"/>
        <w:spacing w:after="0" w:line="258" w:lineRule="auto"/>
        <w:rPr>
          <w:sz w:val="20"/>
          <w:szCs w:val="20"/>
          <w:color w:val="auto"/>
        </w:rPr>
      </w:pPr>
      <w:r>
        <w:rPr>
          <w:rFonts w:ascii="Times New Roman" w:cs="Times New Roman" w:eastAsia="Times New Roman" w:hAnsi="Times New Roman"/>
          <w:sz w:val="18"/>
          <w:szCs w:val="18"/>
          <w:color w:val="auto"/>
        </w:rPr>
        <w:t>None of the Trustee or any Agent shall have any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members or beneficial owners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4"/>
          </w:cols>
          <w:pgMar w:left="436" w:top="270" w:right="479" w:bottom="1440" w:gutter="0" w:footer="0" w:header="0"/>
        </w:sectPr>
      </w:pPr>
    </w:p>
    <w:bookmarkStart w:id="123" w:name="page124"/>
    <w:bookmarkEnd w:id="123"/>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None of the Trustee or any Agent shall have any responsibility or obligation to any beneficial owner of a Global Security, a member of, or a participant in the Depositary or other Person with respect to the accuracy of the records of the Depositary or its nominee or of any participant or member thereof, with respect to any ownership interest in any Security or with respect to the delivery to any participant, member, beneficial owner or other Person (other than the Depositary) of any notice (including any notice of optional redemption) or the payment of any amount, under or with respect to such Security.</w:t>
      </w:r>
    </w:p>
    <w:p>
      <w:pPr>
        <w:spacing w:after="0" w:line="18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2.14.3. </w:t>
      </w: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Any Global Security issued hereunder shall bear a legend in substantially the following form:</w:t>
      </w:r>
    </w:p>
    <w:p>
      <w:pPr>
        <w:spacing w:after="0" w:line="117"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89"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In addition, so long as the Depository Trust Company (“DTC”) is the Depositary, each Global Security registered in the name of DTC or its nominee shall bear a legend in substantially the following form:</w:t>
      </w:r>
    </w:p>
    <w:p>
      <w:pPr>
        <w:spacing w:after="0" w:line="54"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“UNLESS THIS GLOBAL SECURITY IS PRESENTED BY AN AUTHORIZED REPRESENTATIVE OF THE DEPOSITORY TRUST COMPANY, A NEW YORK CORPORATION (“DTC”), TO THE COMPANY OR ITS AGENT FOR REGISTRATION OF TRANSFER, EXCHANGE OR PAYMENT, AND ANY GLOBAL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ind w:right="280" w:firstLine="1432"/>
        <w:spacing w:after="0" w:line="282" w:lineRule="auto"/>
        <w:rPr>
          <w:sz w:val="20"/>
          <w:szCs w:val="20"/>
          <w:color w:val="auto"/>
        </w:rPr>
      </w:pPr>
      <w:r>
        <w:rPr>
          <w:rFonts w:ascii="Times New Roman" w:cs="Times New Roman" w:eastAsia="Times New Roman" w:hAnsi="Times New Roman"/>
          <w:sz w:val="18"/>
          <w:szCs w:val="18"/>
          <w:color w:val="auto"/>
        </w:rPr>
        <w:t xml:space="preserve">2.14.4. </w:t>
      </w:r>
      <w:r>
        <w:rPr>
          <w:rFonts w:ascii="Times New Roman" w:cs="Times New Roman" w:eastAsia="Times New Roman" w:hAnsi="Times New Roman"/>
          <w:sz w:val="18"/>
          <w:szCs w:val="18"/>
          <w:u w:val="single" w:color="auto"/>
          <w:color w:val="auto"/>
        </w:rPr>
        <w:t>Acts of Holders</w:t>
      </w:r>
      <w:r>
        <w:rPr>
          <w:rFonts w:ascii="Times New Roman" w:cs="Times New Roman" w:eastAsia="Times New Roman" w:hAnsi="Times New Roman"/>
          <w:sz w:val="18"/>
          <w:szCs w:val="18"/>
          <w:color w:val="auto"/>
        </w:rPr>
        <w:t>.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162" w:lineRule="exact"/>
        <w:rPr>
          <w:sz w:val="20"/>
          <w:szCs w:val="20"/>
          <w:color w:val="auto"/>
        </w:rPr>
      </w:pPr>
    </w:p>
    <w:p>
      <w:pPr>
        <w:ind w:right="20" w:firstLine="1432"/>
        <w:spacing w:after="0" w:line="282" w:lineRule="auto"/>
        <w:rPr>
          <w:sz w:val="20"/>
          <w:szCs w:val="20"/>
          <w:color w:val="auto"/>
        </w:rPr>
      </w:pPr>
      <w:r>
        <w:rPr>
          <w:rFonts w:ascii="Times New Roman" w:cs="Times New Roman" w:eastAsia="Times New Roman" w:hAnsi="Times New Roman"/>
          <w:sz w:val="18"/>
          <w:szCs w:val="18"/>
          <w:color w:val="auto"/>
        </w:rPr>
        <w:t xml:space="preserve">2.14.5.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Notwithstanding the other provisions of this Indenture, unless otherwise specified as contemplated by Section 2.2, payment of the principal of and interest, if any, on any Global Security shall be made to the Holder thereof.</w:t>
      </w:r>
    </w:p>
    <w:p>
      <w:pPr>
        <w:spacing w:after="0" w:line="162" w:lineRule="exact"/>
        <w:rPr>
          <w:sz w:val="20"/>
          <w:szCs w:val="20"/>
          <w:color w:val="auto"/>
        </w:rPr>
      </w:pPr>
    </w:p>
    <w:p>
      <w:pPr>
        <w:ind w:firstLine="1432"/>
        <w:spacing w:after="0" w:line="254" w:lineRule="auto"/>
        <w:rPr>
          <w:sz w:val="20"/>
          <w:szCs w:val="20"/>
          <w:color w:val="auto"/>
        </w:rPr>
      </w:pPr>
      <w:r>
        <w:rPr>
          <w:rFonts w:ascii="Times New Roman" w:cs="Times New Roman" w:eastAsia="Times New Roman" w:hAnsi="Times New Roman"/>
          <w:sz w:val="18"/>
          <w:szCs w:val="18"/>
          <w:color w:val="auto"/>
        </w:rPr>
        <w:t xml:space="preserve">2.14.6. </w:t>
      </w:r>
      <w:r>
        <w:rPr>
          <w:rFonts w:ascii="Times New Roman" w:cs="Times New Roman" w:eastAsia="Times New Roman" w:hAnsi="Times New Roman"/>
          <w:sz w:val="18"/>
          <w:szCs w:val="18"/>
          <w:u w:val="single" w:color="auto"/>
          <w:color w:val="auto"/>
        </w:rPr>
        <w:t>Agent Members</w:t>
      </w:r>
      <w:r>
        <w:rPr>
          <w:rFonts w:ascii="Times New Roman" w:cs="Times New Roman" w:eastAsia="Times New Roman" w:hAnsi="Times New Roman"/>
          <w:sz w:val="18"/>
          <w:szCs w:val="18"/>
          <w:color w:val="auto"/>
        </w:rPr>
        <w:t>. The registered Holder of a Security will be treated as the owner of such Security for all purposes and only registered Holders shall have rights under this Indenture and the Securities. Members of, or participants in, the Depositary (“</w:t>
      </w:r>
      <w:r>
        <w:rPr>
          <w:rFonts w:ascii="Times New Roman" w:cs="Times New Roman" w:eastAsia="Times New Roman" w:hAnsi="Times New Roman"/>
          <w:sz w:val="18"/>
          <w:szCs w:val="18"/>
          <w:i w:val="1"/>
          <w:iCs w:val="1"/>
          <w:color w:val="auto"/>
        </w:rPr>
        <w:t>Agent Members</w:t>
      </w:r>
      <w:r>
        <w:rPr>
          <w:rFonts w:ascii="Times New Roman" w:cs="Times New Roman" w:eastAsia="Times New Roman" w:hAnsi="Times New Roman"/>
          <w:sz w:val="18"/>
          <w:szCs w:val="18"/>
          <w:color w:val="auto"/>
        </w:rPr>
        <w:t>”) and persons who hold beneficial interests in a Global Security through an Agent Member shall have no rights under this Indenture with respect to any Global Security held on their behalf by the Depositary. The Depositary may be treated by the Company, the Trustee, the Paying Agent, the Registrar and any agent of the foregoing as the absolute owner of the Global Securities for all purposes whatsoever. Notwithstanding the foregoing, nothing herein shall prevent the Company, the Trustee, the Paying Agent, the Registrar or any agent of the foregoing from giving effect to any written certification, proxy or other authorization furnished by the Depositary or impair, as between the Depositary and its Agent Members, the operation of customary practices of such Depositary governing the exercise of the rights of a Holder of a beneficial interest in any Global Security.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24" w:name="page125"/>
    <w:bookmarkEnd w:id="12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2.15. </w:t>
      </w:r>
      <w:r>
        <w:rPr>
          <w:rFonts w:ascii="Times New Roman" w:cs="Times New Roman" w:eastAsia="Times New Roman" w:hAnsi="Times New Roman"/>
          <w:sz w:val="18"/>
          <w:szCs w:val="18"/>
          <w:u w:val="single" w:color="auto"/>
          <w:color w:val="auto"/>
        </w:rPr>
        <w:t>CUSIP Numbers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Company in issuing the Securities may use “CUSIP” numbers (if then generally in use), and, if so, the Trustee shall use “CUSIP” numbers in notices of redemption as a convenience to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REDEMPTION</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Notice to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the Series of Securities to be redeemed. The Company shall give the notice at least 15 days before the redemption date (or such shorter period as may be acceptable to the Trustee).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Selection of Securities to be Redeemed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Unless otherwise indicated for a particular Series by a Board Resolution, a supplemental indenture hereto or an Officer’s Certificate, if less than all the Securities of a Series are to be redeemed, the Securities of the Series to be redeemed will be selected as follows: (a) if the Securities are in the form of Global Securities, in accordance with the procedures of the Depositary, (b) if the Securities are listed on any national securities exchange, in compliance with the requirements of the principal national securities exchange, if any, on which the Securities are listed or (c) if not otherwise provided for under clause (a) or (b) in the manner that the Trustee deems fair and appropriate, including by lot or other method, unless otherwise required by law or applicable stock exchange requirements, subject, in the case of Global Securities, to the applicable rules and procedures of the Depositary. The Securities to be redeemed shall be selected from Securities of the Series outstanding not previously called for redemption. Portions of the principal of Securities of the Series that have denominations larger than $1,000 may be selected for redemption. Securities of the Series and portions of them it selected for redemption shall be in amounts of $1,000 or whole multiples of $1,000 or, with respect to Securities of any Series issuable in other denominations pursuant to Section 2.2.10, the minimum principal denomination for each Series and the authorized integral multiples thereof. Provisions of this Indenture that apply to Securities of a Series called for redemption also apply to portions of Securities of that Series called for redemption. Neither the Trustee nor the Paying Agent shall be liable for any selection made by it in accordance with this paragraph (including the procedures of the Depositary).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Unless otherwise indicated for a particular Series by Board Resolution, a supplemental indenture hereto or an Officer’s Certificate, at least 15 days but not more than 60 days before a redemption date, the Company shall send or cause to be sent by first-class mail or electronically, in accordance with the procedures of the Depositary, a notice of redemption to each Holder whose Securities are to be redeemed.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notice shall identify the Securities of the Series to be redeemed and shall state:</w:t>
      </w:r>
    </w:p>
    <w:p>
      <w:pPr>
        <w:spacing w:after="0" w:line="117" w:lineRule="exact"/>
        <w:rPr>
          <w:sz w:val="20"/>
          <w:szCs w:val="20"/>
          <w:color w:val="auto"/>
        </w:rPr>
      </w:pPr>
    </w:p>
    <w:p>
      <w:pPr>
        <w:ind w:left="1100" w:hanging="241"/>
        <w:spacing w:after="0"/>
        <w:tabs>
          <w:tab w:leader="none" w:pos="11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25" w:name="page126"/>
    <w:bookmarkEnd w:id="125"/>
    <w:p>
      <w:pPr>
        <w:jc w:val="both"/>
        <w:ind w:left="440" w:right="340" w:firstLine="419"/>
        <w:spacing w:after="0" w:line="266" w:lineRule="auto"/>
        <w:tabs>
          <w:tab w:leader="none" w:pos="111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w:t>
      </w:r>
    </w:p>
    <w:p>
      <w:pPr>
        <w:spacing w:after="0" w:line="6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Securities of the Series called for redemption must be surrendered to the Paying Agent to collect the redemption price;</w:t>
      </w:r>
    </w:p>
    <w:p>
      <w:pPr>
        <w:spacing w:after="0" w:line="117" w:lineRule="exact"/>
        <w:rPr>
          <w:rFonts w:ascii="Times New Roman" w:cs="Times New Roman" w:eastAsia="Times New Roman" w:hAnsi="Times New Roman"/>
          <w:sz w:val="18"/>
          <w:szCs w:val="18"/>
          <w:color w:val="auto"/>
        </w:rPr>
      </w:pPr>
    </w:p>
    <w:p>
      <w:pPr>
        <w:ind w:left="440" w:right="440" w:firstLine="419"/>
        <w:spacing w:after="0" w:line="282" w:lineRule="auto"/>
        <w:tabs>
          <w:tab w:leader="none" w:pos="108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interest on Securities of the Series called for redemption ceases to accrue on and after the redemption date unless the Company defaults in the deposit of the redemption price;</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number, if any; and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as may be required by the terms of the particular Series or the Securities of a Series being redeemed.</w:t>
      </w:r>
    </w:p>
    <w:p>
      <w:pPr>
        <w:spacing w:after="0" w:line="225" w:lineRule="exact"/>
        <w:rPr>
          <w:sz w:val="20"/>
          <w:szCs w:val="20"/>
          <w:color w:val="auto"/>
        </w:rPr>
      </w:pPr>
    </w:p>
    <w:p>
      <w:pPr>
        <w:ind w:right="100" w:firstLine="440"/>
        <w:spacing w:after="0" w:line="289" w:lineRule="auto"/>
        <w:rPr>
          <w:sz w:val="20"/>
          <w:szCs w:val="20"/>
          <w:color w:val="auto"/>
        </w:rPr>
      </w:pPr>
      <w:r>
        <w:rPr>
          <w:rFonts w:ascii="Times New Roman" w:cs="Times New Roman" w:eastAsia="Times New Roman" w:hAnsi="Times New Roman"/>
          <w:sz w:val="17"/>
          <w:szCs w:val="17"/>
          <w:color w:val="auto"/>
        </w:rPr>
        <w:t>At the Company’s request, the Trustee shall give the notice of redemption in the Company’s name and at its expense, provided, however, that the Company has delivered to the Trustee, at least 10 days (unless a shorter time shall be acceptable to the Trustee) prior to the notice date, an Officer’s Certificate requesting that the Trustee give such notice and setting forth the information to be stated in such notice and the form of such notice.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Effect of Notice of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Once notice of redemption is sent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Deposit of Redemption Price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On or before 11:00 a.m., New York City time, on the redemption date, the Company shall deposit with the Paying Agent money sufficient to pay the redemption price of and accrued interest, if any, on all Securities to be redeemed on that date.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Securities Redeemed in Part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Upon surrender of a Security that is redeemed in part, the Trustee shall authenticate for the Holder a new Security of the same Series and the same maturity equal in principal amount to the unredeemed portion of the Security surrendered.</w:t>
      </w:r>
    </w:p>
    <w:p>
      <w:pPr>
        <w:spacing w:after="0" w:line="37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COVENANTS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Payment of Principal and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126" w:name="page127"/>
    <w:bookmarkEnd w:id="12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4.2.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To the extent any Securities of a Series are outstanding, 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Reports, information and documents filed with the SEC via the EDGAR system will be deemed to be delivered to the Trustee as of the time of such filing via EDGAR for purposes of this Section 4.2.</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Delivery of reports, information and documents to the Trustee under this Section 4.2 is for informational purposes only and the Trustee’s receipt of the foregoing shall not constitute constructive or actual notice of any information contained therein or determinable from information contained therein, including the Company’s compliance with any of the covenants hereunder (as to which the Trustee is entitled to rely exclusively on Officer’s Certificates). All such reports, information or documents referred to in this Section 4.2 that the Company files with the SEC via the SEC’s EDGAR system shall be deemed to be filed with the Trustee and transmitted to Holders at the time such reports, information or documents are filed via the EDGAR system (or any successor system).</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To the extent any Securities of a Series are outstanding, 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 with a view to determining whether the Company has kept, observed, performed and fulfilled its obligations under this Indenture, and further stating, as to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Stay, Extension and Usury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SUCCESSORS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When Company May Merge,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The Company shall not consolidate with or merge with or into, or convey, transfer or lease all or substantially all of its properties and assets to, any person (a “</w:t>
      </w:r>
      <w:r>
        <w:rPr>
          <w:rFonts w:ascii="Times New Roman" w:cs="Times New Roman" w:eastAsia="Times New Roman" w:hAnsi="Times New Roman"/>
          <w:sz w:val="18"/>
          <w:szCs w:val="18"/>
          <w:i w:val="1"/>
          <w:iCs w:val="1"/>
          <w:color w:val="auto"/>
        </w:rPr>
        <w:t>successor person</w:t>
      </w:r>
      <w:r>
        <w:rPr>
          <w:rFonts w:ascii="Times New Roman" w:cs="Times New Roman" w:eastAsia="Times New Roman" w:hAnsi="Times New Roman"/>
          <w:sz w:val="18"/>
          <w:szCs w:val="18"/>
          <w:color w:val="auto"/>
        </w:rPr>
        <w:t>”) unless:</w:t>
      </w:r>
    </w:p>
    <w:p>
      <w:pPr>
        <w:spacing w:after="0" w:line="54" w:lineRule="exact"/>
        <w:rPr>
          <w:sz w:val="20"/>
          <w:szCs w:val="20"/>
          <w:color w:val="auto"/>
        </w:rPr>
      </w:pPr>
    </w:p>
    <w:p>
      <w:pPr>
        <w:jc w:val="both"/>
        <w:ind w:left="440" w:right="360" w:firstLine="419"/>
        <w:spacing w:after="0" w:line="266" w:lineRule="auto"/>
        <w:tabs>
          <w:tab w:leader="none" w:pos="110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surviving corporation or the successor person (if other than the Company) is a corporation organized and validly existing under the laws of any U.S. domestic jurisdiction and expressly assumes by supplemental indenture the Company’s obligations on the Securities and under this Indenture; and</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127" w:name="page128"/>
    <w:bookmarkEnd w:id="127"/>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Successor Corporation Substituted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predecessor Company in the case of a sale, conveyance or other disposition (other than a lease) shall be released from all obligations and covenants under this Indenture and the Securities.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DEFAULTS AND REMEDIES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Event of Default</w:t>
      </w:r>
      <w:r>
        <w:rPr>
          <w:rFonts w:ascii="Times New Roman" w:cs="Times New Roman" w:eastAsia="Times New Roman" w:hAnsi="Times New Roman"/>
          <w:sz w:val="17"/>
          <w:szCs w:val="17"/>
          <w:color w:val="auto"/>
        </w:rPr>
        <w:t>,” wherever used herein with respect to Securities of any Series, means any one of the following events, unless in the establishing</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Resolution, supplemental indenture or Officer’s Certificate it is provided that such Series shall not have the benefit of said Event of Default:</w:t>
      </w:r>
    </w:p>
    <w:p>
      <w:pPr>
        <w:spacing w:after="0" w:line="99" w:lineRule="exact"/>
        <w:rPr>
          <w:sz w:val="20"/>
          <w:szCs w:val="20"/>
          <w:color w:val="auto"/>
        </w:rPr>
      </w:pPr>
    </w:p>
    <w:p>
      <w:pPr>
        <w:jc w:val="both"/>
        <w:ind w:left="440" w:right="200" w:firstLine="419"/>
        <w:spacing w:after="0" w:line="266" w:lineRule="auto"/>
        <w:tabs>
          <w:tab w:leader="none" w:pos="110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on any Security of that Series when it becomes due and payable, and continuance of such default for a period of 30 days (unless the entire amount of such payment is deposited by the Company with the Trustee or with a Paying Agent prior to 11:00 a.m., New York City time, on the 30th day of such period);</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56" w:lineRule="auto"/>
        <w:tabs>
          <w:tab w:leader="none" w:pos="110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or warranty of the Company in this Indenture (other than defaults pursuant to paragraph (a) or (b) above or pursuant to a covenant or warranty that has been included in this Indenture solely for the benefit of a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w:t>
      </w:r>
    </w:p>
    <w:p>
      <w:pPr>
        <w:spacing w:after="0" w:line="79"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pursuant to or within the meaning of any Bankruptcy Law:</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of it or for all or substantially all of its property,</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 or</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is unable to pay its debts as the same become due;</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the Company in an involuntary case,</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Company or for all or substantially all of its property, or</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liquidation of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128" w:name="page129"/>
    <w:bookmarkEnd w:id="12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the order or decree remains unstayed and in effect for 60 days; or</w:t>
      </w:r>
    </w:p>
    <w:p>
      <w:pPr>
        <w:spacing w:after="0" w:line="117" w:lineRule="exact"/>
        <w:rPr>
          <w:sz w:val="20"/>
          <w:szCs w:val="20"/>
          <w:color w:val="auto"/>
        </w:rPr>
      </w:pPr>
    </w:p>
    <w:p>
      <w:pPr>
        <w:ind w:left="440" w:right="280" w:firstLine="419"/>
        <w:spacing w:after="0" w:line="282" w:lineRule="auto"/>
        <w:tabs>
          <w:tab w:leader="none" w:pos="108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Securities of that Series, which is specified in a Board Resolution, a supplemental indenture hereto or an Officer’s Certificate, in accordance with Section 2.2.18.</w:t>
      </w:r>
    </w:p>
    <w:p>
      <w:pPr>
        <w:spacing w:after="0" w:line="160" w:lineRule="exact"/>
        <w:rPr>
          <w:sz w:val="20"/>
          <w:szCs w:val="20"/>
          <w:color w:val="auto"/>
        </w:rPr>
      </w:pPr>
    </w:p>
    <w:p>
      <w:pPr>
        <w:ind w:right="200" w:firstLine="440"/>
        <w:spacing w:after="0" w:line="284"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i w:val="1"/>
          <w:iCs w:val="1"/>
          <w:color w:val="auto"/>
        </w:rPr>
        <w:t>Bankruptcy Law</w:t>
      </w:r>
      <w:r>
        <w:rPr>
          <w:rFonts w:ascii="Times New Roman" w:cs="Times New Roman" w:eastAsia="Times New Roman" w:hAnsi="Times New Roman"/>
          <w:sz w:val="18"/>
          <w:szCs w:val="18"/>
          <w:color w:val="auto"/>
        </w:rPr>
        <w:t>” means title 11, U.S. Code or any similar Federal or State law for the relief of debtors. The term “</w:t>
      </w:r>
      <w:r>
        <w:rPr>
          <w:rFonts w:ascii="Times New Roman" w:cs="Times New Roman" w:eastAsia="Times New Roman" w:hAnsi="Times New Roman"/>
          <w:sz w:val="18"/>
          <w:szCs w:val="18"/>
          <w:i w:val="1"/>
          <w:iCs w:val="1"/>
          <w:color w:val="auto"/>
        </w:rPr>
        <w:t>Custodian</w:t>
      </w:r>
      <w:r>
        <w:rPr>
          <w:rFonts w:ascii="Times New Roman" w:cs="Times New Roman" w:eastAsia="Times New Roman" w:hAnsi="Times New Roman"/>
          <w:sz w:val="18"/>
          <w:szCs w:val="18"/>
          <w:color w:val="auto"/>
        </w:rPr>
        <w:t>” means any receiver, trustee, assignee, liquidator or similar official under any Bankruptcy Law.</w:t>
      </w:r>
    </w:p>
    <w:p>
      <w:pPr>
        <w:spacing w:after="0" w:line="160"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Acceleration of Maturity; Rescission and Annulment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w:t>
      </w:r>
      <w:r>
        <w:rPr>
          <w:rFonts w:ascii="Times New Roman" w:cs="Times New Roman" w:eastAsia="Times New Roman" w:hAnsi="Times New Roman"/>
          <w:sz w:val="18"/>
          <w:szCs w:val="18"/>
          <w:i w:val="1"/>
          <w:iCs w:val="1"/>
          <w:color w:val="auto"/>
        </w:rPr>
        <w:t xml:space="preserve">ipso facto </w:t>
      </w:r>
      <w:r>
        <w:rPr>
          <w:rFonts w:ascii="Times New Roman" w:cs="Times New Roman" w:eastAsia="Times New Roman" w:hAnsi="Times New Roman"/>
          <w:sz w:val="18"/>
          <w:szCs w:val="18"/>
          <w:color w:val="auto"/>
        </w:rPr>
        <w:t>become and be immediately due and payable without any declaration or other act on the part of the Trustee or any Holder.</w:t>
      </w:r>
    </w:p>
    <w:p>
      <w:pPr>
        <w:spacing w:after="0" w:line="19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such rescission shall affect any subsequent Default or impair any right consequent thereon.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Collection of Indebtedness and Suits for Enforcement by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covenants that if:</w:t>
      </w:r>
    </w:p>
    <w:p>
      <w:pPr>
        <w:spacing w:after="0" w:line="117" w:lineRule="exact"/>
        <w:rPr>
          <w:sz w:val="20"/>
          <w:szCs w:val="20"/>
          <w:color w:val="auto"/>
        </w:rPr>
      </w:pPr>
    </w:p>
    <w:p>
      <w:pPr>
        <w:ind w:left="440" w:right="200" w:firstLine="419"/>
        <w:spacing w:after="0" w:line="282" w:lineRule="auto"/>
        <w:tabs>
          <w:tab w:leader="none" w:pos="110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any interest on any Security when such interest becomes due and payable and such default continues for a period of 30 days,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principal of any Security at the Maturity thereof, or</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deposit of any sinking fund payment, if any, when and as due by the terms of a Security,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129" w:name="page130"/>
    <w:bookmarkEnd w:id="129"/>
    <w:p>
      <w:pPr>
        <w:spacing w:after="0" w:line="258"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then, </w:t>
      </w:r>
      <w:r>
        <w:rPr>
          <w:rFonts w:ascii="Times New Roman" w:cs="Times New Roman" w:eastAsia="Times New Roman" w:hAnsi="Times New Roman"/>
          <w:sz w:val="18"/>
          <w:szCs w:val="18"/>
          <w:color w:val="auto"/>
        </w:rPr>
        <w:t>the Company will, upon demand of the Trustee, pay to it, for the benefit of the Holders of such Securities, the whole amount then due and payable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compensation, reasonable expenses, disbursements and advances of the Trustee, its agents and counsel.</w:t>
      </w:r>
    </w:p>
    <w:p>
      <w:pPr>
        <w:spacing w:after="0" w:line="185" w:lineRule="exact"/>
        <w:rPr>
          <w:sz w:val="20"/>
          <w:szCs w:val="20"/>
          <w:color w:val="auto"/>
        </w:rPr>
      </w:pPr>
    </w:p>
    <w:p>
      <w:pPr>
        <w:ind w:right="360" w:firstLine="440"/>
        <w:spacing w:after="0" w:line="261" w:lineRule="auto"/>
        <w:rPr>
          <w:sz w:val="20"/>
          <w:szCs w:val="20"/>
          <w:color w:val="auto"/>
        </w:rPr>
      </w:pPr>
      <w:r>
        <w:rPr>
          <w:rFonts w:ascii="Times New Roman" w:cs="Times New Roman" w:eastAsia="Times New Roman" w:hAnsi="Times New Roman"/>
          <w:sz w:val="18"/>
          <w:szCs w:val="18"/>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80" w:lineRule="exact"/>
        <w:rPr>
          <w:sz w:val="20"/>
          <w:szCs w:val="20"/>
          <w:color w:val="auto"/>
        </w:rPr>
      </w:pPr>
    </w:p>
    <w:p>
      <w:pPr>
        <w:jc w:val="both"/>
        <w:ind w:right="140" w:firstLine="440"/>
        <w:spacing w:after="0" w:line="261" w:lineRule="auto"/>
        <w:rPr>
          <w:sz w:val="20"/>
          <w:szCs w:val="20"/>
          <w:color w:val="auto"/>
        </w:rPr>
      </w:pPr>
      <w:r>
        <w:rPr>
          <w:rFonts w:ascii="Times New Roman" w:cs="Times New Roman" w:eastAsia="Times New Roman" w:hAnsi="Times New Roman"/>
          <w:sz w:val="18"/>
          <w:szCs w:val="18"/>
          <w:color w:val="auto"/>
        </w:rPr>
        <w:t>If an Event of Default with respect to any Securities of any Series occurs and is continuing, the Trustee, subject to Article VII hereof,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Trustee May File Proofs of Claim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75" w:lineRule="exact"/>
        <w:rPr>
          <w:sz w:val="20"/>
          <w:szCs w:val="20"/>
          <w:color w:val="auto"/>
        </w:rPr>
      </w:pPr>
    </w:p>
    <w:p>
      <w:pPr>
        <w:ind w:left="440" w:right="100" w:firstLine="419"/>
        <w:spacing w:after="0" w:line="261" w:lineRule="auto"/>
        <w:tabs>
          <w:tab w:leader="none" w:pos="110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compensation, reasonable expenses, disbursements and advances of the Trustee, its agents and counsel) and of the Holders allowed in such judicial proceeding, and</w:t>
      </w:r>
    </w:p>
    <w:p>
      <w:pPr>
        <w:spacing w:after="0" w:line="71" w:lineRule="exact"/>
        <w:rPr>
          <w:rFonts w:ascii="Times New Roman" w:cs="Times New Roman" w:eastAsia="Times New Roman" w:hAnsi="Times New Roman"/>
          <w:sz w:val="18"/>
          <w:szCs w:val="18"/>
          <w:color w:val="auto"/>
        </w:rPr>
      </w:pPr>
    </w:p>
    <w:p>
      <w:pPr>
        <w:ind w:left="440" w:right="40" w:firstLine="419"/>
        <w:spacing w:after="0" w:line="258" w:lineRule="auto"/>
        <w:tabs>
          <w:tab w:leader="none" w:pos="111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Section 7.7.</w:t>
      </w:r>
    </w:p>
    <w:p>
      <w:pPr>
        <w:spacing w:after="0" w:line="183"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Trustee May Enforce Claims Without Possession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68" w:right="459" w:bottom="1440" w:gutter="0" w:footer="0" w:header="0"/>
        </w:sectPr>
      </w:pPr>
    </w:p>
    <w:bookmarkStart w:id="130" w:name="page131"/>
    <w:bookmarkEnd w:id="13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6.6. </w:t>
      </w:r>
      <w:r>
        <w:rPr>
          <w:rFonts w:ascii="Times New Roman" w:cs="Times New Roman" w:eastAsia="Times New Roman" w:hAnsi="Times New Roman"/>
          <w:sz w:val="18"/>
          <w:szCs w:val="18"/>
          <w:u w:val="single" w:color="auto"/>
          <w:color w:val="auto"/>
        </w:rPr>
        <w:t>Application of Money Collected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First: To the payment of all amounts due to the Trustee under Section 7.7; and</w:t>
      </w:r>
    </w:p>
    <w:p>
      <w:pPr>
        <w:spacing w:after="0" w:line="225"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Third: To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Limitation on Suits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54" w:lineRule="exact"/>
        <w:rPr>
          <w:sz w:val="20"/>
          <w:szCs w:val="20"/>
          <w:color w:val="auto"/>
        </w:rPr>
      </w:pPr>
    </w:p>
    <w:p>
      <w:pPr>
        <w:ind w:left="1100" w:hanging="241"/>
        <w:spacing w:after="0"/>
        <w:tabs>
          <w:tab w:leader="none" w:pos="11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written notice to the Trustee of a continuing Event of Default with respect to the Securities of that</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w:t>
      </w:r>
    </w:p>
    <w:p>
      <w:pPr>
        <w:spacing w:after="0" w:line="98"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11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53" w:lineRule="exact"/>
        <w:rPr>
          <w:rFonts w:ascii="Times New Roman" w:cs="Times New Roman" w:eastAsia="Times New Roman" w:hAnsi="Times New Roman"/>
          <w:sz w:val="18"/>
          <w:szCs w:val="18"/>
          <w:color w:val="auto"/>
        </w:rPr>
      </w:pPr>
    </w:p>
    <w:p>
      <w:pPr>
        <w:ind w:left="440" w:right="480" w:firstLine="419"/>
        <w:spacing w:after="0" w:line="282" w:lineRule="auto"/>
        <w:tabs>
          <w:tab w:leader="none" w:pos="110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offered to the Trustee indemnity or security satisfactory to the Trustee against the costs, expenses and liabilities which might be incurred by the Trustee in compliance with such request;</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indemnity has failed to institute any such proceeding; and</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0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Unconditional Right of Holders to Receive Principal and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131" w:name="page132"/>
    <w:bookmarkEnd w:id="13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6.9. </w:t>
      </w:r>
      <w:r>
        <w:rPr>
          <w:rFonts w:ascii="Times New Roman" w:cs="Times New Roman" w:eastAsia="Times New Roman" w:hAnsi="Times New Roman"/>
          <w:sz w:val="18"/>
          <w:szCs w:val="18"/>
          <w:u w:val="single" w:color="auto"/>
          <w:color w:val="auto"/>
        </w:rPr>
        <w:t>Restoration of Rights and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Rights and Remedies Cumulative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Delay or Omission Not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Control by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68" w:lineRule="exact"/>
        <w:rPr>
          <w:sz w:val="20"/>
          <w:szCs w:val="20"/>
          <w:color w:val="auto"/>
        </w:rPr>
      </w:pPr>
    </w:p>
    <w:p>
      <w:pPr>
        <w:ind w:left="1100" w:hanging="241"/>
        <w:spacing w:after="0"/>
        <w:tabs>
          <w:tab w:leader="none" w:pos="11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direction shall not be in conflict with any rule of law or with this Indenture,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take any other action deemed proper by the Trustee which is not inconsistent with such direction,</w:t>
      </w:r>
    </w:p>
    <w:p>
      <w:pPr>
        <w:spacing w:after="0" w:line="117" w:lineRule="exact"/>
        <w:rPr>
          <w:rFonts w:ascii="Times New Roman" w:cs="Times New Roman" w:eastAsia="Times New Roman" w:hAnsi="Times New Roman"/>
          <w:sz w:val="18"/>
          <w:szCs w:val="18"/>
          <w:color w:val="auto"/>
        </w:rPr>
      </w:pPr>
    </w:p>
    <w:p>
      <w:pPr>
        <w:ind w:left="440" w:firstLine="419"/>
        <w:spacing w:after="0" w:line="282" w:lineRule="auto"/>
        <w:tabs>
          <w:tab w:leader="none" w:pos="110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w:t>
      </w:r>
    </w:p>
    <w:p>
      <w:pPr>
        <w:spacing w:after="0" w:line="53"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1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taking any action as directed under this Section 6.12, the Trustee shall be entitled to indemnity satisfactory to it against the costs, expenses and liabilities which might be incurred by it in compliance with such request or direction.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Waiver of Past Defaults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132" w:name="page133"/>
    <w:bookmarkEnd w:id="13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6.14. </w:t>
      </w:r>
      <w:r>
        <w:rPr>
          <w:rFonts w:ascii="Times New Roman" w:cs="Times New Roman" w:eastAsia="Times New Roman" w:hAnsi="Times New Roman"/>
          <w:sz w:val="18"/>
          <w:szCs w:val="18"/>
          <w:u w:val="single" w:color="auto"/>
          <w:color w:val="auto"/>
        </w:rPr>
        <w:t>Undertaking for Costs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All parties to this Indenture agree, and each Holder of any Security by his, her or its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Duties of Trustee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180" w:firstLine="419"/>
        <w:spacing w:after="0" w:line="266" w:lineRule="auto"/>
        <w:tabs>
          <w:tab w:leader="none" w:pos="110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the continuance of an Event of Default:</w:t>
      </w:r>
    </w:p>
    <w:p>
      <w:pPr>
        <w:spacing w:after="0" w:line="117" w:lineRule="exact"/>
        <w:rPr>
          <w:rFonts w:ascii="Times New Roman" w:cs="Times New Roman" w:eastAsia="Times New Roman" w:hAnsi="Times New Roman"/>
          <w:sz w:val="18"/>
          <w:szCs w:val="18"/>
          <w:color w:val="auto"/>
        </w:rPr>
      </w:pPr>
    </w:p>
    <w:p>
      <w:pPr>
        <w:ind w:left="980" w:firstLine="408"/>
        <w:spacing w:after="0" w:line="282" w:lineRule="auto"/>
        <w:tabs>
          <w:tab w:leader="none" w:pos="159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need perform only those duties that are specifically set forth in this Indenture and no others, and no implied covenants or obligations will be read into this Indenture against the Trustee.</w:t>
      </w:r>
    </w:p>
    <w:p>
      <w:pPr>
        <w:spacing w:after="0" w:line="53" w:lineRule="exact"/>
        <w:rPr>
          <w:rFonts w:ascii="Times New Roman" w:cs="Times New Roman" w:eastAsia="Times New Roman" w:hAnsi="Times New Roman"/>
          <w:sz w:val="18"/>
          <w:szCs w:val="18"/>
          <w:color w:val="auto"/>
        </w:rPr>
      </w:pPr>
    </w:p>
    <w:p>
      <w:pPr>
        <w:ind w:left="980" w:right="220" w:firstLine="408"/>
        <w:spacing w:after="0" w:line="258" w:lineRule="auto"/>
        <w:tabs>
          <w:tab w:leader="none" w:pos="164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w:t>
      </w:r>
    </w:p>
    <w:p>
      <w:pPr>
        <w:spacing w:after="0" w:line="75"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0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not be relieved from liability for its own negligent action, its own negligent failure to act or its own willful misconduct, except that:</w:t>
      </w:r>
    </w:p>
    <w:p>
      <w:pPr>
        <w:spacing w:after="0" w:line="53"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paragraph does not limit the effect of paragraph (b) of this Section.</w:t>
      </w:r>
    </w:p>
    <w:p>
      <w:pPr>
        <w:spacing w:after="0" w:line="117" w:lineRule="exact"/>
        <w:rPr>
          <w:rFonts w:ascii="Times New Roman" w:cs="Times New Roman" w:eastAsia="Times New Roman" w:hAnsi="Times New Roman"/>
          <w:sz w:val="18"/>
          <w:szCs w:val="18"/>
          <w:color w:val="auto"/>
        </w:rPr>
      </w:pPr>
    </w:p>
    <w:p>
      <w:pPr>
        <w:ind w:left="980" w:right="100" w:firstLine="408"/>
        <w:spacing w:after="0" w:line="282" w:lineRule="auto"/>
        <w:tabs>
          <w:tab w:leader="none" w:pos="164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unless it is proved that the Trustee was negligent in ascertaining the pertinent facts.</w:t>
      </w:r>
    </w:p>
    <w:p>
      <w:pPr>
        <w:spacing w:after="0" w:line="53" w:lineRule="exact"/>
        <w:rPr>
          <w:rFonts w:ascii="Times New Roman" w:cs="Times New Roman" w:eastAsia="Times New Roman" w:hAnsi="Times New Roman"/>
          <w:sz w:val="18"/>
          <w:szCs w:val="18"/>
          <w:color w:val="auto"/>
        </w:rPr>
      </w:pPr>
    </w:p>
    <w:p>
      <w:pPr>
        <w:ind w:left="980" w:right="40" w:firstLine="408"/>
        <w:spacing w:after="0" w:line="255" w:lineRule="auto"/>
        <w:tabs>
          <w:tab w:leader="none" w:pos="169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w:t>
      </w:r>
    </w:p>
    <w:p>
      <w:pPr>
        <w:spacing w:after="0" w:line="2"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6.12.</w:t>
      </w:r>
    </w:p>
    <w:p>
      <w:pPr>
        <w:spacing w:after="0" w:line="98"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provision of this Indenture that in any way relates to the Trustee is subject to paragraph (a), (b) and (c) of this Section.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133" w:name="page134"/>
    <w:bookmarkEnd w:id="133"/>
    <w:p>
      <w:pPr>
        <w:ind w:firstLine="419"/>
        <w:spacing w:after="0" w:line="282" w:lineRule="auto"/>
        <w:tabs>
          <w:tab w:leader="none" w:pos="66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may refuse to perform any duty or exercise any right or power unless it receives indemnity satisfactory to it against the costs, expenses and liabilities which might be incurred by it in performing such duty or exercising such right or power.</w:t>
      </w:r>
    </w:p>
    <w:p>
      <w:pPr>
        <w:spacing w:after="0" w:line="53" w:lineRule="exact"/>
        <w:rPr>
          <w:rFonts w:ascii="Times New Roman" w:cs="Times New Roman" w:eastAsia="Times New Roman" w:hAnsi="Times New Roman"/>
          <w:sz w:val="18"/>
          <w:szCs w:val="18"/>
          <w:color w:val="auto"/>
        </w:rPr>
      </w:pPr>
    </w:p>
    <w:p>
      <w:pPr>
        <w:ind w:right="340" w:firstLine="419"/>
        <w:spacing w:after="0" w:line="282" w:lineRule="auto"/>
        <w:tabs>
          <w:tab w:leader="none" w:pos="64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53" w:lineRule="exact"/>
        <w:rPr>
          <w:rFonts w:ascii="Times New Roman" w:cs="Times New Roman" w:eastAsia="Times New Roman" w:hAnsi="Times New Roman"/>
          <w:sz w:val="18"/>
          <w:szCs w:val="18"/>
          <w:color w:val="auto"/>
        </w:rPr>
      </w:pPr>
    </w:p>
    <w:p>
      <w:pPr>
        <w:ind w:right="80" w:firstLine="419"/>
        <w:spacing w:after="0" w:line="266" w:lineRule="auto"/>
        <w:tabs>
          <w:tab w:leader="none" w:pos="67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require the Trustee to risk its own funds or otherwise incur any financial liability in the performance of any of its duties or in the exercise of any of its rights or powers, if adequate indemnity against such risk is not assured to the Trustee in its satisfaction.</w:t>
      </w:r>
    </w:p>
    <w:p>
      <w:pPr>
        <w:spacing w:after="0" w:line="67" w:lineRule="exact"/>
        <w:rPr>
          <w:rFonts w:ascii="Times New Roman" w:cs="Times New Roman" w:eastAsia="Times New Roman" w:hAnsi="Times New Roman"/>
          <w:sz w:val="18"/>
          <w:szCs w:val="18"/>
          <w:color w:val="auto"/>
        </w:rPr>
      </w:pPr>
    </w:p>
    <w:p>
      <w:pPr>
        <w:ind w:right="40" w:firstLine="419"/>
        <w:spacing w:after="0" w:line="282" w:lineRule="auto"/>
        <w:tabs>
          <w:tab w:leader="none" w:pos="67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Paying Agent, the Notice Agent, the Registrar, any authenticating agent and the Trustee when acting in any other capacity hereunder shall be entitled to the protections and immunities as are set forth in this Article VII.</w:t>
      </w:r>
    </w:p>
    <w:p>
      <w:pPr>
        <w:spacing w:after="0" w:line="53" w:lineRule="exact"/>
        <w:rPr>
          <w:rFonts w:ascii="Times New Roman" w:cs="Times New Roman" w:eastAsia="Times New Roman" w:hAnsi="Times New Roman"/>
          <w:sz w:val="18"/>
          <w:szCs w:val="18"/>
          <w:color w:val="auto"/>
        </w:rPr>
      </w:pPr>
    </w:p>
    <w:p>
      <w:pPr>
        <w:ind w:firstLine="419"/>
        <w:spacing w:after="0" w:line="282" w:lineRule="auto"/>
        <w:tabs>
          <w:tab w:leader="none" w:pos="63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including its right to be indemnified, are extended to, and will be enforceable by, the Trustee in each of its capacities under this Indenture.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Rights of Trustee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40" w:firstLine="419"/>
        <w:spacing w:after="0" w:line="266" w:lineRule="auto"/>
        <w:tabs>
          <w:tab w:leader="none" w:pos="66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w:t>
      </w:r>
    </w:p>
    <w:p>
      <w:pPr>
        <w:spacing w:after="0" w:line="67" w:lineRule="exact"/>
        <w:rPr>
          <w:rFonts w:ascii="Times New Roman" w:cs="Times New Roman" w:eastAsia="Times New Roman" w:hAnsi="Times New Roman"/>
          <w:sz w:val="18"/>
          <w:szCs w:val="18"/>
          <w:color w:val="auto"/>
        </w:rPr>
      </w:pPr>
    </w:p>
    <w:p>
      <w:pPr>
        <w:ind w:right="400" w:firstLine="419"/>
        <w:spacing w:after="0" w:line="312" w:lineRule="auto"/>
        <w:tabs>
          <w:tab w:leader="none" w:pos="678"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spacing w:after="0" w:line="31" w:lineRule="exact"/>
        <w:rPr>
          <w:rFonts w:ascii="Times New Roman" w:cs="Times New Roman" w:eastAsia="Times New Roman" w:hAnsi="Times New Roman"/>
          <w:sz w:val="17"/>
          <w:szCs w:val="17"/>
          <w:color w:val="auto"/>
        </w:rPr>
      </w:pPr>
    </w:p>
    <w:p>
      <w:pPr>
        <w:ind w:right="140" w:firstLine="419"/>
        <w:spacing w:after="0" w:line="282" w:lineRule="auto"/>
        <w:tabs>
          <w:tab w:leader="none" w:pos="66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spacing w:after="0" w:line="53" w:lineRule="exact"/>
        <w:rPr>
          <w:rFonts w:ascii="Times New Roman" w:cs="Times New Roman" w:eastAsia="Times New Roman" w:hAnsi="Times New Roman"/>
          <w:sz w:val="18"/>
          <w:szCs w:val="18"/>
          <w:color w:val="auto"/>
        </w:rPr>
      </w:pPr>
    </w:p>
    <w:p>
      <w:pPr>
        <w:ind w:right="160" w:firstLine="419"/>
        <w:spacing w:after="0" w:line="282" w:lineRule="auto"/>
        <w:tabs>
          <w:tab w:leader="none" w:pos="67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it takes or omits to take in good faith which it believes to be authorized or within its rights or powers.</w:t>
      </w:r>
    </w:p>
    <w:p>
      <w:pPr>
        <w:spacing w:after="0" w:line="53" w:lineRule="exact"/>
        <w:rPr>
          <w:rFonts w:ascii="Times New Roman" w:cs="Times New Roman" w:eastAsia="Times New Roman" w:hAnsi="Times New Roman"/>
          <w:sz w:val="18"/>
          <w:szCs w:val="18"/>
          <w:color w:val="auto"/>
        </w:rPr>
      </w:pPr>
    </w:p>
    <w:p>
      <w:pPr>
        <w:ind w:right="60" w:firstLine="419"/>
        <w:spacing w:after="0" w:line="282" w:lineRule="auto"/>
        <w:tabs>
          <w:tab w:leader="none" w:pos="66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and the advice of such counsel or any Opinion of Counsel shall be full and complete authorization and protection in respect of any action taken, suffered or omitted by it hereunder in good faith and in reliance thereon.</w:t>
      </w:r>
    </w:p>
    <w:p>
      <w:pPr>
        <w:spacing w:after="0" w:line="53" w:lineRule="exact"/>
        <w:rPr>
          <w:rFonts w:ascii="Times New Roman" w:cs="Times New Roman" w:eastAsia="Times New Roman" w:hAnsi="Times New Roman"/>
          <w:sz w:val="18"/>
          <w:szCs w:val="18"/>
          <w:color w:val="auto"/>
        </w:rPr>
      </w:pPr>
    </w:p>
    <w:p>
      <w:pPr>
        <w:ind w:right="40" w:firstLine="419"/>
        <w:spacing w:after="0" w:line="266" w:lineRule="auto"/>
        <w:tabs>
          <w:tab w:leader="none" w:pos="64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 direction of any of the Holders of Securities unless such Holders shall have offered to the Trustee security or indemnity satisfactory to it against the costs, expenses and liabilities which might be incurred by it in compliance with such request or direction.</w:t>
      </w:r>
    </w:p>
    <w:p>
      <w:pPr>
        <w:spacing w:after="0" w:line="67" w:lineRule="exact"/>
        <w:rPr>
          <w:rFonts w:ascii="Times New Roman" w:cs="Times New Roman" w:eastAsia="Times New Roman" w:hAnsi="Times New Roman"/>
          <w:sz w:val="18"/>
          <w:szCs w:val="18"/>
          <w:color w:val="auto"/>
        </w:rPr>
      </w:pPr>
    </w:p>
    <w:p>
      <w:pPr>
        <w:ind w:right="480" w:firstLine="419"/>
        <w:spacing w:after="0" w:line="266" w:lineRule="auto"/>
        <w:tabs>
          <w:tab w:leader="none" w:pos="67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67" w:lineRule="exact"/>
        <w:rPr>
          <w:rFonts w:ascii="Times New Roman" w:cs="Times New Roman" w:eastAsia="Times New Roman" w:hAnsi="Times New Roman"/>
          <w:sz w:val="18"/>
          <w:szCs w:val="18"/>
          <w:color w:val="auto"/>
        </w:rPr>
      </w:pPr>
    </w:p>
    <w:p>
      <w:pPr>
        <w:jc w:val="both"/>
        <w:ind w:right="80" w:firstLine="419"/>
        <w:spacing w:after="0" w:line="289" w:lineRule="auto"/>
        <w:tabs>
          <w:tab w:leader="none" w:pos="678"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deemed to have notice of any Default or Event of Default unless a Responsible Officer of the Trustee has actual knowledge thereof or unless written notice of any event which is in fact such a default is received by a Responsible Officer at the Corporate Trust Office of the Trustee, and such notice references the Securities generally or the Securities of a particular Series and this Indenture.</w:t>
      </w:r>
    </w:p>
    <w:p>
      <w:pPr>
        <w:spacing w:after="0" w:line="9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80"/>
          </w:cols>
          <w:pgMar w:left="880" w:top="270" w:right="439" w:bottom="1440" w:gutter="0" w:footer="0" w:header="0"/>
        </w:sectPr>
      </w:pPr>
    </w:p>
    <w:bookmarkStart w:id="134" w:name="page135"/>
    <w:bookmarkEnd w:id="134"/>
    <w:p>
      <w:pPr>
        <w:ind w:left="440" w:right="80" w:firstLine="419"/>
        <w:spacing w:after="0" w:line="282" w:lineRule="auto"/>
        <w:tabs>
          <w:tab w:leader="none" w:pos="107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no event shall the Trustee be liable to any person for special, punitive, indirect, consequential or incidental loss or damage of any kind whatsoever (including but not limited to lost profits), even if the Trustee has been advised of the likelihood of such loss or damage.</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 of the Trustee to take the actions permitted by this Indenture shall not be construed as an obligation or duty to do so.</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required to give any bond or surety in respect of the execution of this Indenture or otherwise.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Individual Rights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Trustee’s Disclaimer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The Trustee makes no representation as to the validity or adequacy of this Indenture or the Securities. The Trustee shall not be accountable for the Company’s use of the proceeds from the Securities and shall not be responsible for any statement in the Securities other than its certificate of authentication.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Notice of Defaults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If a Default or Event of Default occurs and is continuing with respect to the Securities of any Series and if it is known to a Responsible Officer of the Trustee, the Trustee shall send to each 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its corporate trust committee or a committee of its Responsible Officers in good faith determines that withholding the notice is in the interests of Holders of that Series. The Trustee will not be deemed to have notice or be charged with knowledge of any Default or Event of Default unless written notice thereof has been received by a Responsible Officer, and such notice references the applicable Series of Securities and this Indenture and states on its face that a Default or Event of Default has occurred.</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Reports by Trustee to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Within 60 days after each [[•] commencing [•], [•]], the Trustee shall transmit by mail to all Holders, as their names and addresses appear on the register kept by the Registrar, a brief report dated as of such anniversary date, in accordance with, and to the extent required under, TIA § 313.</w:t>
      </w:r>
    </w:p>
    <w:p>
      <w:pPr>
        <w:spacing w:after="0" w:line="162"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A copy of each report at the time of its mailing to Holders of any Series shall be filed with the SEC and each national securities exchange on which the Securities of that Series are listed. The Company shall promptly notify the Trustee in writing when Securities of any Series are listed on any national securities exchange.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Compensation and Indemnity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135" w:name="page136"/>
    <w:bookmarkEnd w:id="135"/>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indemnify each of the Trustee and any predecessor Trustee (including for the cost of defending itself) against any cost, expense or liability, including taxes (other than taxes based upon, measured by or determined by the income of the Trustee) incurred by it except as set forth in the next paragraph in the performance of its duties under this Indenture as Trustee or Agent. The Trustee shall notify the Company promptly of any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w:t>
      </w:r>
    </w:p>
    <w:p>
      <w:pPr>
        <w:spacing w:after="0" w:line="192" w:lineRule="exact"/>
        <w:rPr>
          <w:sz w:val="20"/>
          <w:szCs w:val="20"/>
          <w:color w:val="auto"/>
        </w:rPr>
      </w:pPr>
    </w:p>
    <w:p>
      <w:pPr>
        <w:jc w:val="both"/>
        <w:ind w:right="460" w:firstLine="440"/>
        <w:spacing w:after="0" w:line="266" w:lineRule="auto"/>
        <w:rPr>
          <w:sz w:val="20"/>
          <w:szCs w:val="20"/>
          <w:color w:val="auto"/>
        </w:rPr>
      </w:pPr>
      <w:r>
        <w:rPr>
          <w:rFonts w:ascii="Times New Roman" w:cs="Times New Roman" w:eastAsia="Times New Roman" w:hAnsi="Times New Roman"/>
          <w:sz w:val="18"/>
          <w:szCs w:val="18"/>
          <w:color w:val="auto"/>
        </w:rPr>
        <w:t>The Company need not reimburse any expense or indemnify against any loss or liability incurred by the Trustee or by any officer, director, employee, shareholder or agent of the Trustee through willful misconduct or negligence, as determined by a final decision of a court of competent jurisdiction.</w:t>
      </w:r>
    </w:p>
    <w:p>
      <w:pPr>
        <w:spacing w:after="0" w:line="176"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162"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When the Trustee incurs expenses or renders services after an Event of Default specified in Section 6.1(d) or (e) occurs, the expenses and the compensation for the services are intended to constitute expenses of administration under any Bankruptcy Law.</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provisions of this Section shall survive the termination of this Indenture and the resignation or removal of the Trustee.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7.8. </w:t>
      </w:r>
      <w:r>
        <w:rPr>
          <w:rFonts w:ascii="Times New Roman" w:cs="Times New Roman" w:eastAsia="Times New Roman" w:hAnsi="Times New Roman"/>
          <w:sz w:val="18"/>
          <w:szCs w:val="18"/>
          <w:u w:val="single" w:color="auto"/>
          <w:color w:val="auto"/>
        </w:rPr>
        <w:t>Replacement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A resignation or removal of the Trustee and appointment of a successor Trustee shall become effective only upon the successor Trustee’s acceptance of appointment as provided in this Section.</w:t>
      </w:r>
    </w:p>
    <w:p>
      <w:pPr>
        <w:spacing w:after="0" w:line="162"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w:t>
      </w:r>
    </w:p>
    <w:p>
      <w:pPr>
        <w:spacing w:after="0" w:line="68" w:lineRule="exact"/>
        <w:rPr>
          <w:sz w:val="20"/>
          <w:szCs w:val="20"/>
          <w:color w:val="auto"/>
        </w:rPr>
      </w:pPr>
    </w:p>
    <w:p>
      <w:pPr>
        <w:ind w:left="1100" w:hanging="241"/>
        <w:spacing w:after="0"/>
        <w:tabs>
          <w:tab w:leader="none" w:pos="11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comply with Section 7.10;</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is adjudged a bankrupt or an insolvent or an order for relief is entered with respect to the Trustee under any Bankruptcy Law;</w:t>
      </w:r>
    </w:p>
    <w:p>
      <w:pPr>
        <w:spacing w:after="0" w:line="128" w:lineRule="exact"/>
        <w:rPr>
          <w:rFonts w:ascii="Times New Roman" w:cs="Times New Roman" w:eastAsia="Times New Roman" w:hAnsi="Times New Roman"/>
          <w:sz w:val="17"/>
          <w:szCs w:val="17"/>
          <w:color w:val="auto"/>
        </w:rPr>
      </w:pPr>
    </w:p>
    <w:p>
      <w:pPr>
        <w:ind w:left="1100" w:hanging="241"/>
        <w:spacing w:after="0"/>
        <w:tabs>
          <w:tab w:leader="none" w:pos="11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Custodian or public officer takes charge of the Trustee or its property; or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becomes incapable of acting.</w:t>
      </w:r>
    </w:p>
    <w:p>
      <w:pPr>
        <w:spacing w:after="0" w:line="225"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spacing w:after="0" w:line="176"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76"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7.7, the resignation or removal of the retiring Trustee shall become effective, and the successor Trustee shall have all the rights, powers and duties of the Trustee with respect to</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60"/>
          </w:cols>
          <w:pgMar w:left="440" w:top="270" w:right="499" w:bottom="1440" w:gutter="0" w:footer="0" w:header="0"/>
        </w:sectPr>
      </w:pPr>
    </w:p>
    <w:bookmarkStart w:id="136" w:name="page137"/>
    <w:bookmarkEnd w:id="136"/>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Series of Securities for which it is acting as Trustee under this Indenture. A successor Trustee shall send a notice of its succession to each Holder of each such Series. Notwithstanding replacement of the Trustee pursuant to this Section 7.8, the Company’s obligations under Section 7.7 hereof shall continue for the benefit of the retiring Trustee with respect to expenses and liabilities incurred by it for actions taken or omitted to be taken in accordance with its rights, powers and duties under this Indenture prior to such replacement.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7.9. </w:t>
      </w:r>
      <w:r>
        <w:rPr>
          <w:rFonts w:ascii="Times New Roman" w:cs="Times New Roman" w:eastAsia="Times New Roman" w:hAnsi="Times New Roman"/>
          <w:sz w:val="18"/>
          <w:szCs w:val="18"/>
          <w:u w:val="single" w:color="auto"/>
          <w:color w:val="auto"/>
        </w:rPr>
        <w:t>Successor Trustee by Merger,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Any organization or entity into which the Trustee may be merged or converted or with which it may be consolidated, or any organization or entity resulting from any merger, conversion or consolidation to which the Trustee shall be a party, or any organization or entity succeeding to all or substantially all of the corporate trust business of the Trustee, shall be the successor of the Trustee hereunder, provided such organization or entity shall be otherwise qualified and eligible under Section 7.10, without the execution or filing of any paper or any further act on the part of any of the parties hereto.</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Eligibility; Disqualification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This Indenture shall always have a Trustee who satisfies the requirements of TIA § 310(a)(1), (2) and (5). The Trustee shall always have a combined capital and surplus of at least $25,000,000 as set forth in its most recent published annual report of condition. The Trustee shall comply with TIA § 310(b).</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Preferential Collection of Claims Against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The Trustee is subject to TIA § 311(a), excluding any creditor relationship listed in TIA § 311(b). A Trustee who has resigned or been removed shall be subject to TIA § 311(a) to the extent indicated.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SATISFACTION AND DISCHARGE; DEFEASANCE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Satisfaction and Discharge of Indenture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This Indenture shall upon Company Order be discharged with respect to the Securities of any Series and cease to be of further effect as to all Securities of such Series (except as hereinafter provided in this Section 8.1), and the Trustee, at the expense of the Company, shall execute instruments acknowledging satisfaction and discharge of this Indenture, when</w:t>
      </w:r>
    </w:p>
    <w:p>
      <w:pPr>
        <w:spacing w:after="0" w:line="68" w:lineRule="exact"/>
        <w:rPr>
          <w:sz w:val="20"/>
          <w:szCs w:val="20"/>
          <w:color w:val="auto"/>
        </w:rPr>
      </w:pPr>
    </w:p>
    <w:p>
      <w:pPr>
        <w:ind w:left="1100" w:hanging="241"/>
        <w:spacing w:after="0"/>
        <w:tabs>
          <w:tab w:leader="none" w:pos="11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17" w:lineRule="exact"/>
        <w:rPr>
          <w:rFonts w:ascii="Times New Roman" w:cs="Times New Roman" w:eastAsia="Times New Roman" w:hAnsi="Times New Roman"/>
          <w:sz w:val="18"/>
          <w:szCs w:val="18"/>
          <w:color w:val="auto"/>
        </w:rPr>
      </w:pPr>
    </w:p>
    <w:p>
      <w:pPr>
        <w:ind w:left="980" w:right="100" w:firstLine="408"/>
        <w:spacing w:after="0" w:line="282" w:lineRule="auto"/>
        <w:tabs>
          <w:tab w:leader="none" w:pos="1596"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of such Series theretofore authenticated and delivered (other than Securities that have been destroyed, lost or stolen and that have been replaced or paid) have been delivered to the Trustee for cancellation; or</w:t>
      </w:r>
    </w:p>
    <w:p>
      <w:pPr>
        <w:spacing w:after="0" w:line="53"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Securities of such Series not theretofore delivered to the Trustee for cancellation:</w:t>
      </w:r>
    </w:p>
    <w:p>
      <w:pPr>
        <w:spacing w:after="0" w:line="117" w:lineRule="exact"/>
        <w:rPr>
          <w:rFonts w:ascii="Times New Roman" w:cs="Times New Roman" w:eastAsia="Times New Roman" w:hAnsi="Times New Roman"/>
          <w:sz w:val="18"/>
          <w:szCs w:val="18"/>
          <w:color w:val="auto"/>
        </w:rPr>
      </w:pPr>
    </w:p>
    <w:p>
      <w:pPr>
        <w:ind w:left="2060" w:hanging="249"/>
        <w:spacing w:after="0"/>
        <w:tabs>
          <w:tab w:leader="none" w:pos="2060"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due and payable by reason of sending a notice of redemption or otherwise,</w:t>
      </w:r>
    </w:p>
    <w:p>
      <w:pPr>
        <w:spacing w:after="0" w:line="117" w:lineRule="exact"/>
        <w:rPr>
          <w:rFonts w:ascii="Times New Roman" w:cs="Times New Roman" w:eastAsia="Times New Roman" w:hAnsi="Times New Roman"/>
          <w:sz w:val="18"/>
          <w:szCs w:val="18"/>
          <w:color w:val="auto"/>
        </w:rPr>
      </w:pPr>
    </w:p>
    <w:p>
      <w:pPr>
        <w:ind w:left="2060" w:hanging="249"/>
        <w:spacing w:after="0"/>
        <w:tabs>
          <w:tab w:leader="none" w:pos="2060"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become due and payable at their Stated Maturity within one year,</w:t>
      </w:r>
    </w:p>
    <w:p>
      <w:pPr>
        <w:spacing w:after="0" w:line="117" w:lineRule="exact"/>
        <w:rPr>
          <w:rFonts w:ascii="Times New Roman" w:cs="Times New Roman" w:eastAsia="Times New Roman" w:hAnsi="Times New Roman"/>
          <w:sz w:val="18"/>
          <w:szCs w:val="18"/>
          <w:color w:val="auto"/>
        </w:rPr>
      </w:pPr>
    </w:p>
    <w:p>
      <w:pPr>
        <w:ind w:left="1420" w:right="180" w:firstLine="391"/>
        <w:spacing w:after="0" w:line="282" w:lineRule="auto"/>
        <w:tabs>
          <w:tab w:leader="none" w:pos="2058"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40" w:top="270" w:right="479" w:bottom="1440" w:gutter="0" w:footer="0" w:header="0"/>
        </w:sectPr>
      </w:pPr>
    </w:p>
    <w:bookmarkStart w:id="137" w:name="page138"/>
    <w:bookmarkEnd w:id="137"/>
    <w:p>
      <w:pPr>
        <w:ind w:left="18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 are deemed paid and discharged pursuant to Section 8.3, as applicable;</w:t>
      </w:r>
    </w:p>
    <w:p>
      <w:pPr>
        <w:spacing w:after="0" w:line="27" w:lineRule="exact"/>
        <w:rPr>
          <w:sz w:val="20"/>
          <w:szCs w:val="20"/>
          <w:color w:val="auto"/>
        </w:rPr>
      </w:pPr>
    </w:p>
    <w:p>
      <w:pPr>
        <w:jc w:val="both"/>
        <w:ind w:right="440"/>
        <w:spacing w:after="0" w:line="253" w:lineRule="auto"/>
        <w:rPr>
          <w:sz w:val="20"/>
          <w:szCs w:val="20"/>
          <w:color w:val="auto"/>
        </w:rPr>
      </w:pPr>
      <w:r>
        <w:rPr>
          <w:rFonts w:ascii="Times New Roman" w:cs="Times New Roman" w:eastAsia="Times New Roman" w:hAnsi="Times New Roman"/>
          <w:sz w:val="18"/>
          <w:szCs w:val="18"/>
          <w:color w:val="auto"/>
        </w:rPr>
        <w:t>and the Company, in the case of (1), (2) or (3) above, has irrevocably deposited or caused to be deposited with the Trustee as trust funds in trust an amount of money or U.S. Government Obligations, which amount shall be sufficient for the purpose of paying and discharging each installment of principal (including mandatory sinking fund payments or analogous payments) of and interest on all the Securities of such Series on the dates such installments of principal or interest are due;</w:t>
      </w:r>
    </w:p>
    <w:p>
      <w:pPr>
        <w:spacing w:after="0" w:line="81" w:lineRule="exact"/>
        <w:rPr>
          <w:sz w:val="20"/>
          <w:szCs w:val="20"/>
          <w:color w:val="auto"/>
        </w:rPr>
      </w:pPr>
    </w:p>
    <w:p>
      <w:pPr>
        <w:ind w:left="1120" w:hanging="261"/>
        <w:spacing w:after="0"/>
        <w:tabs>
          <w:tab w:leader="none" w:pos="11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caused to be paid all other sums payable hereunder by the Company; and</w:t>
      </w:r>
    </w:p>
    <w:p>
      <w:pPr>
        <w:spacing w:after="0" w:line="117"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10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all conditions precedent provided for relating to the satisfaction and discharge contemplated by this Section have been complied with.</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satisfaction and discharge of this Indenture, (x) the obligations of the Company to the Trustee under Section 7.7, (y) if money shall have been deposited with the Trustee pursuant to clause (a) of this Section, the provisions of Sections 2.4, 2.7, 2.8, 8.2 and 8.5, and (z) the rights, powers, trusts and immunities of the Trustee hereunder and the Company’s obligations in connection therewith shall survive.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Application of Trust Funds; Indemnification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40" w:firstLine="419"/>
        <w:spacing w:after="0" w:line="255" w:lineRule="auto"/>
        <w:tabs>
          <w:tab w:leader="none" w:pos="110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8.5, all money and U.S. Government Obligations or Foreign Government Obligations deposited with the Trustee pursuant to Section 8.1, 8.3 or 8.4 and all money received by the Trustee in respect of U.S. Government Obligations or Foreign Government Obligations deposited with the Trustee pursuant to Section 8.1,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8.1, 8.3 or 8.4.</w:t>
      </w:r>
    </w:p>
    <w:p>
      <w:pPr>
        <w:spacing w:after="0" w:line="80" w:lineRule="exact"/>
        <w:rPr>
          <w:rFonts w:ascii="Times New Roman" w:cs="Times New Roman" w:eastAsia="Times New Roman" w:hAnsi="Times New Roman"/>
          <w:sz w:val="18"/>
          <w:szCs w:val="18"/>
          <w:color w:val="auto"/>
        </w:rPr>
      </w:pPr>
    </w:p>
    <w:p>
      <w:pPr>
        <w:ind w:left="440" w:right="240" w:firstLine="419"/>
        <w:spacing w:after="0" w:line="289" w:lineRule="auto"/>
        <w:tabs>
          <w:tab w:leader="none" w:pos="1118"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pay and shall indemnify the Trustee (which indemnity shall survive termination of this Indenture)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w:t>
      </w:r>
    </w:p>
    <w:p>
      <w:pPr>
        <w:spacing w:after="0" w:line="49" w:lineRule="exact"/>
        <w:rPr>
          <w:rFonts w:ascii="Times New Roman" w:cs="Times New Roman" w:eastAsia="Times New Roman" w:hAnsi="Times New Roman"/>
          <w:sz w:val="17"/>
          <w:szCs w:val="17"/>
          <w:color w:val="auto"/>
        </w:rPr>
      </w:pPr>
    </w:p>
    <w:p>
      <w:pPr>
        <w:ind w:left="440" w:right="40" w:firstLine="419"/>
        <w:spacing w:after="0" w:line="256" w:lineRule="auto"/>
        <w:tabs>
          <w:tab w:leader="none" w:pos="110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Legal Defeasance of Securities of any Series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w:t>
      </w:r>
    </w:p>
    <w:p>
      <w:pPr>
        <w:spacing w:after="0" w:line="72" w:lineRule="exact"/>
        <w:rPr>
          <w:sz w:val="20"/>
          <w:szCs w:val="20"/>
          <w:color w:val="auto"/>
        </w:rPr>
      </w:pPr>
    </w:p>
    <w:p>
      <w:pPr>
        <w:ind w:left="440" w:right="60" w:firstLine="419"/>
        <w:spacing w:after="0" w:line="261" w:lineRule="auto"/>
        <w:tabs>
          <w:tab w:leader="none" w:pos="110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Securities of such Series to receive, from the trust funds described in subparagraph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138" w:name="page139"/>
    <w:bookmarkEnd w:id="138"/>
    <w:p>
      <w:pPr>
        <w:ind w:left="1120" w:hanging="261"/>
        <w:spacing w:after="0"/>
        <w:tabs>
          <w:tab w:leader="none" w:pos="11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provisions of Sections 2.4, 2.5, 2.7, 2.8, 7.7, 8.2, 8.3, 8.5 and 8.6; and</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and immunities of the Trustee hereunder and the Company’s obligations in connection therewith;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that, the following conditions shall have been satisfied:</w:t>
      </w:r>
    </w:p>
    <w:p>
      <w:pPr>
        <w:spacing w:after="0" w:line="117" w:lineRule="exact"/>
        <w:rPr>
          <w:sz w:val="20"/>
          <w:szCs w:val="20"/>
          <w:color w:val="auto"/>
        </w:rPr>
      </w:pPr>
    </w:p>
    <w:p>
      <w:pPr>
        <w:ind w:left="440" w:right="40" w:firstLine="419"/>
        <w:spacing w:after="0" w:line="254" w:lineRule="auto"/>
        <w:tabs>
          <w:tab w:leader="none" w:pos="111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irrevocably deposited or caused to be deposited (except as provided in Section 8.2(c))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 all the Securities of such Series on the dates such installments of principal or interest and such sinking fund payments are due;</w:t>
      </w:r>
    </w:p>
    <w:p>
      <w:pPr>
        <w:spacing w:after="0" w:line="80"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0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53"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08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Securities of such Series shall have occurred and be continuing on the date of such deposit or during the period ending on the 91st day after such date;</w:t>
      </w:r>
    </w:p>
    <w:p>
      <w:pPr>
        <w:spacing w:after="0" w:line="53" w:lineRule="exact"/>
        <w:rPr>
          <w:rFonts w:ascii="Times New Roman" w:cs="Times New Roman" w:eastAsia="Times New Roman" w:hAnsi="Times New Roman"/>
          <w:sz w:val="18"/>
          <w:szCs w:val="18"/>
          <w:color w:val="auto"/>
        </w:rPr>
      </w:pPr>
    </w:p>
    <w:p>
      <w:pPr>
        <w:ind w:left="440" w:firstLine="419"/>
        <w:spacing w:after="0" w:line="256" w:lineRule="auto"/>
        <w:tabs>
          <w:tab w:leader="none" w:pos="111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79"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1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stating that the deposit was not made by the Company with the intent of defeating, hindering, delaying or defrauding any other creditors of the Company; and</w:t>
      </w:r>
    </w:p>
    <w:p>
      <w:pPr>
        <w:spacing w:after="0" w:line="53" w:lineRule="exact"/>
        <w:rPr>
          <w:rFonts w:ascii="Times New Roman" w:cs="Times New Roman" w:eastAsia="Times New Roman" w:hAnsi="Times New Roman"/>
          <w:sz w:val="18"/>
          <w:szCs w:val="18"/>
          <w:color w:val="auto"/>
        </w:rPr>
      </w:pPr>
    </w:p>
    <w:p>
      <w:pPr>
        <w:ind w:left="440" w:right="480" w:firstLine="419"/>
        <w:spacing w:after="0" w:line="282" w:lineRule="auto"/>
        <w:tabs>
          <w:tab w:leader="none" w:pos="107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440"/>
        <w:spacing w:after="0" w:line="258" w:lineRule="auto"/>
        <w:rPr>
          <w:sz w:val="20"/>
          <w:szCs w:val="20"/>
          <w:color w:val="auto"/>
        </w:rPr>
      </w:pPr>
      <w:r>
        <w:rPr>
          <w:rFonts w:ascii="Times New Roman" w:cs="Times New Roman" w:eastAsia="Times New Roman" w:hAnsi="Times New Roman"/>
          <w:sz w:val="18"/>
          <w:szCs w:val="18"/>
          <w:color w:val="auto"/>
        </w:rPr>
        <w:t>Unless this Section 8.4 is otherwise specified pursuant to Section 2.2 to be inapplicable to Securities of any Series, the Company may omit to comply with respect to the Securities of any Series with any term, provision or condition set forth under Sections 4.2, 4.3, 4.4 and 5.1 and, unless otherwise specified therein,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139" w:name="page140"/>
    <w:bookmarkEnd w:id="139"/>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specified in a supplemental indenture for such Series of Securities or a Board Resolution or an Officer’s Certificate delivered pursuant to Section 2.2 and designated as an Event of Default shall not constitute a Default or Event of Default hereunder, with respect to the Securities of such Series, but, except as specified above, the remainder of this Indenture and such Securities will be unaffected thereby; provided that the following conditions shall have been satisfied:</w:t>
      </w:r>
    </w:p>
    <w:p>
      <w:pPr>
        <w:spacing w:after="0" w:line="72" w:lineRule="exact"/>
        <w:rPr>
          <w:sz w:val="20"/>
          <w:szCs w:val="20"/>
          <w:color w:val="auto"/>
        </w:rPr>
      </w:pPr>
    </w:p>
    <w:p>
      <w:pPr>
        <w:ind w:left="440" w:right="20" w:firstLine="419"/>
        <w:spacing w:after="0" w:line="253" w:lineRule="auto"/>
        <w:tabs>
          <w:tab w:leader="none" w:pos="110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reference to this Section 8.4, the Company has irrevocably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(including mandatory sinking fund payments or analogous payments) of and interest on all the Securities of such Series on the dates such installments of principal or interest are due;</w:t>
      </w:r>
    </w:p>
    <w:p>
      <w:pPr>
        <w:spacing w:after="0" w:line="86"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1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5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Securities of such Series shall have occurred and be continuing on the date of such</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w:t>
      </w:r>
    </w:p>
    <w:p>
      <w:pPr>
        <w:spacing w:after="0" w:line="98" w:lineRule="exact"/>
        <w:rPr>
          <w:rFonts w:ascii="Times New Roman" w:cs="Times New Roman" w:eastAsia="Times New Roman" w:hAnsi="Times New Roman"/>
          <w:sz w:val="18"/>
          <w:szCs w:val="18"/>
          <w:color w:val="auto"/>
        </w:rPr>
      </w:pPr>
    </w:p>
    <w:p>
      <w:pPr>
        <w:ind w:left="440" w:right="160" w:firstLine="419"/>
        <w:spacing w:after="0" w:line="261" w:lineRule="auto"/>
        <w:tabs>
          <w:tab w:leader="none" w:pos="111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to the effect that the Holders of the Securities of such Series will not recognize income, gain or loss for Federal income tax purposes as a result of such deposit and covenant defeasance and will be subject to Federal income tax on the same amount and in the same manner and at the same times as would have been the case if such deposit and covenant defeasance had not occurred;</w:t>
      </w:r>
    </w:p>
    <w:p>
      <w:pPr>
        <w:spacing w:after="0" w:line="71" w:lineRule="exact"/>
        <w:rPr>
          <w:rFonts w:ascii="Times New Roman" w:cs="Times New Roman" w:eastAsia="Times New Roman" w:hAnsi="Times New Roman"/>
          <w:sz w:val="18"/>
          <w:szCs w:val="18"/>
          <w:color w:val="auto"/>
        </w:rPr>
      </w:pPr>
    </w:p>
    <w:p>
      <w:pPr>
        <w:ind w:left="440" w:right="400" w:firstLine="419"/>
        <w:spacing w:after="0" w:line="282" w:lineRule="auto"/>
        <w:tabs>
          <w:tab w:leader="none" w:pos="110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stating the deposit was not made by the Company with the intent of defeating, hindering, delaying or defrauding any other creditors of the Company; and</w:t>
      </w:r>
    </w:p>
    <w:p>
      <w:pPr>
        <w:spacing w:after="0" w:line="53" w:lineRule="exact"/>
        <w:rPr>
          <w:rFonts w:ascii="Times New Roman" w:cs="Times New Roman" w:eastAsia="Times New Roman" w:hAnsi="Times New Roman"/>
          <w:sz w:val="18"/>
          <w:szCs w:val="18"/>
          <w:color w:val="auto"/>
        </w:rPr>
      </w:pPr>
    </w:p>
    <w:p>
      <w:pPr>
        <w:ind w:left="440" w:right="420" w:firstLine="419"/>
        <w:spacing w:after="0" w:line="282" w:lineRule="auto"/>
        <w:tabs>
          <w:tab w:leader="none" w:pos="108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Repayment to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Subject to applicable abandoned property law, the Trustee and the Paying Agent shall pay to the Company upon request any money held by them for the payment of principal and interest that remains unclaimed for two years. After that, Holders entitled to the money must look to the Company for payment as general creditors unless an applicable abandoned property law designates another person.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8.6.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Company has made any payment of principal of or interest on [or any Additional Amounts with respect to]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140" w:name="page141"/>
    <w:bookmarkEnd w:id="140"/>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IX.</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AMENDMENTS AND WAIVERS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Without Consent of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Company and the Trustee may amend or supplement this Indenture or the Securities of one or more Series without the consent of any Holder:</w:t>
      </w:r>
    </w:p>
    <w:p>
      <w:pPr>
        <w:spacing w:after="0" w:line="129" w:lineRule="exact"/>
        <w:rPr>
          <w:sz w:val="20"/>
          <w:szCs w:val="20"/>
          <w:color w:val="auto"/>
        </w:rPr>
      </w:pPr>
    </w:p>
    <w:p>
      <w:pPr>
        <w:ind w:left="1100" w:hanging="241"/>
        <w:spacing w:after="0"/>
        <w:tabs>
          <w:tab w:leader="none" w:pos="11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Article V;</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Securities of any Series or secure Securities of any Series;</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the Company’s rights or powers under this Indenture;</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Securities of any Series;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Securities of any Series as permitted by this Indenture;</w:t>
      </w:r>
    </w:p>
    <w:p>
      <w:pPr>
        <w:spacing w:after="0" w:line="117" w:lineRule="exact"/>
        <w:rPr>
          <w:rFonts w:ascii="Times New Roman" w:cs="Times New Roman" w:eastAsia="Times New Roman" w:hAnsi="Times New Roman"/>
          <w:sz w:val="18"/>
          <w:szCs w:val="18"/>
          <w:color w:val="auto"/>
        </w:rPr>
      </w:pPr>
    </w:p>
    <w:p>
      <w:pPr>
        <w:ind w:left="440" w:firstLine="419"/>
        <w:spacing w:after="0" w:line="266" w:lineRule="auto"/>
        <w:tabs>
          <w:tab w:leader="none" w:pos="107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this Indenture under the TIA.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With Consent of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Subject to Section 9.3, 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Holders of each such Series. Except as provided in Section 6.13, and subject to Section 9.3,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89"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 notice briefly describing the supplemental indenture or waiver. Any failure by the Company to send such notice, or any defect therein, shall not, however, in any way impair or affect the validity of any such supplemental indenture or waiver.</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60"/>
          </w:cols>
          <w:pgMar w:left="440" w:top="270" w:right="499" w:bottom="1440" w:gutter="0" w:footer="0" w:header="0"/>
        </w:sectPr>
      </w:pPr>
    </w:p>
    <w:bookmarkStart w:id="141" w:name="page142"/>
    <w:bookmarkEnd w:id="14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9.3. </w:t>
      </w: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Without the consent of each Holder affected, an amendment or waiver may not:</w:t>
      </w:r>
    </w:p>
    <w:p>
      <w:pPr>
        <w:spacing w:after="0" w:line="117" w:lineRule="exact"/>
        <w:rPr>
          <w:sz w:val="20"/>
          <w:szCs w:val="20"/>
          <w:color w:val="auto"/>
        </w:rPr>
      </w:pPr>
    </w:p>
    <w:p>
      <w:pPr>
        <w:ind w:left="1100" w:hanging="241"/>
        <w:spacing w:after="0"/>
        <w:tabs>
          <w:tab w:leader="none" w:pos="11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Securities whose Holders must consent to an amendment, supplement or waiver;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Security;</w:t>
      </w:r>
    </w:p>
    <w:p>
      <w:pPr>
        <w:spacing w:after="0" w:line="117" w:lineRule="exact"/>
        <w:rPr>
          <w:rFonts w:ascii="Times New Roman" w:cs="Times New Roman" w:eastAsia="Times New Roman" w:hAnsi="Times New Roman"/>
          <w:sz w:val="18"/>
          <w:szCs w:val="18"/>
          <w:color w:val="auto"/>
        </w:rPr>
      </w:pPr>
    </w:p>
    <w:p>
      <w:pPr>
        <w:ind w:left="440" w:firstLine="419"/>
        <w:spacing w:after="0" w:line="282" w:lineRule="auto"/>
        <w:tabs>
          <w:tab w:leader="none" w:pos="110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or change the Stated Maturity of any Security or reduce the amount of, or postpone the date fixed for, the payment of any sinking fund or analogous obligation;</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the maturity thereof;</w:t>
      </w:r>
    </w:p>
    <w:p>
      <w:pPr>
        <w:spacing w:after="0" w:line="117" w:lineRule="exact"/>
        <w:rPr>
          <w:rFonts w:ascii="Times New Roman" w:cs="Times New Roman" w:eastAsia="Times New Roman" w:hAnsi="Times New Roman"/>
          <w:sz w:val="18"/>
          <w:szCs w:val="18"/>
          <w:color w:val="auto"/>
        </w:rPr>
      </w:pPr>
    </w:p>
    <w:p>
      <w:pPr>
        <w:ind w:left="440" w:right="260" w:firstLine="419"/>
        <w:spacing w:after="0" w:line="266" w:lineRule="auto"/>
        <w:tabs>
          <w:tab w:leader="none" w:pos="110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6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interest, if any, on any Security payable in any currency other than that stated in the Security;</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Sections 6.8, 6.13 or 9.3 (this sentence); or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Security, provided that such redemption is made at the Company’s option.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Compliance with Trust Indenture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Every amendment to this Indenture or the Securities of one or more Series shall be set forth in a supplemental indenture hereto that complies with the TIA as then in effect.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u w:val="single" w:color="auto"/>
          <w:color w:val="auto"/>
        </w:rPr>
        <w:t>Revocation and Effect of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her or its Security or portion of a Security if the Trustee receives the notice of revocation before the date of the supplemental indenture or the date the waiver becomes effective.</w:t>
      </w:r>
    </w:p>
    <w:p>
      <w:pPr>
        <w:spacing w:after="0" w:line="183"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Any amendment or waiver once effective shall bind every 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76"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142" w:name="page143"/>
    <w:bookmarkEnd w:id="14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9.6. </w:t>
      </w:r>
      <w:r>
        <w:rPr>
          <w:rFonts w:ascii="Times New Roman" w:cs="Times New Roman" w:eastAsia="Times New Roman" w:hAnsi="Times New Roman"/>
          <w:sz w:val="18"/>
          <w:szCs w:val="18"/>
          <w:u w:val="single" w:color="auto"/>
          <w:color w:val="auto"/>
        </w:rPr>
        <w:t>Notation on or Exchange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Company or the Trustee may, but shall not be obligated to, place an appropriate notation about an amendment or waiver on any Security of any Series thereafter authenticated. The Company in exchange for Securities of that Series may issue and the Trustee shall authenticate upon receipt of a Company Order in accordance with Section 2.3 new Securities of that Series that reflect the amendment or waiver.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9.7. </w:t>
      </w:r>
      <w:r>
        <w:rPr>
          <w:rFonts w:ascii="Times New Roman" w:cs="Times New Roman" w:eastAsia="Times New Roman" w:hAnsi="Times New Roman"/>
          <w:sz w:val="18"/>
          <w:szCs w:val="18"/>
          <w:u w:val="single" w:color="auto"/>
          <w:color w:val="auto"/>
        </w:rPr>
        <w:t>Trustee Protected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In executing, or accepting the additional trusts created by, any supplemental indenture permitted by this Article or the modifications thereby of the trusts created by this Indenture, the Trustee shall be entitled to receive, upon request, an Officer’s Certificate and/or an Opinion of Counsel complying with Sections 10.4 and 10.5 and (subject to Section 7.1) shall be fully protected in relying upon such Officer’s Certificate and/or Opinion of Counsel. The Trustee shall sign all supplemental indentures upon delivery of such an Officer’s Certificate or Opinion of Counsel or both, except that the Trustee need not sign any supplemental indenture that adversely affects its rights, duties, liabilities or immunities under this Indenture.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Trust Indenture Act Controls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If any provision of this Indenture limits, qualifies, or conflicts with another provision which is required or deemed to be included in this Indenture by the TIA, such required or deemed provision shall control.</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Any notice or communication by the Company or the Trustee to the other, or by a Holder to the Company or the Trustee, is duly given if in writing and delivered in person or mailed by first-class mail (registered or certified, return receipt requested), email or overnight air courier guaranteeing next day delivery, to the others’ address: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Three Bala Plaza East, Suite 506</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Bala Cynwyd, PA 19004</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Chief Executive Officer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Telephone: (844) 511-9056</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One Commerce Square</w:t>
      </w:r>
    </w:p>
    <w:p>
      <w:pPr>
        <w:ind w:left="980"/>
        <w:spacing w:after="0" w:line="181" w:lineRule="auto"/>
        <w:rPr>
          <w:sz w:val="20"/>
          <w:szCs w:val="20"/>
          <w:color w:val="auto"/>
        </w:rPr>
      </w:pPr>
      <w:r>
        <w:rPr>
          <w:rFonts w:ascii="Times New Roman" w:cs="Times New Roman" w:eastAsia="Times New Roman" w:hAnsi="Times New Roman"/>
          <w:sz w:val="18"/>
          <w:szCs w:val="18"/>
          <w:color w:val="auto"/>
        </w:rPr>
        <w:t>2005 Market St., 32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Philadelphia, Pennsylvania 19103</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Rachael M. Bushey, Esq. and Jennifer L. Porter, Esq.</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Telephone: (445) 207-7805</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Trustee:</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Telephone: [•]</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Telephone: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0"/>
          </w:cols>
          <w:pgMar w:left="440" w:top="270" w:right="439" w:bottom="1440" w:gutter="0" w:footer="0" w:header="0"/>
        </w:sectPr>
      </w:pPr>
    </w:p>
    <w:bookmarkStart w:id="143" w:name="page144"/>
    <w:bookmarkEnd w:id="14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or the Trustee by notice to the other may designate additional or different addresses for subsequent notices or communications.</w:t>
      </w:r>
    </w:p>
    <w:p>
      <w:pPr>
        <w:spacing w:after="0" w:line="225"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Any notice or communication to a Holder shall be sent electronically or by first-class mail or overnight air courier to his, her or its address shown on the register kept by the Registrar, in accordance with the procedures of the Depositary. Failure to send a notice or communication to a Holder of any Series or any defect in it shall not affect its sufficiency with respect to other Holders of that or any other Series.</w:t>
      </w:r>
    </w:p>
    <w:p>
      <w:pPr>
        <w:spacing w:after="0" w:line="176"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If a notice or communication is sent or published in the manner provided above, within the time prescribed, it is duly given, whether or not the Holder receives it.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the Company sends a notice or communication to Holders, it shall send a copy to the Trustee and each Agent at the same time.</w:t>
      </w:r>
    </w:p>
    <w:p>
      <w:pPr>
        <w:spacing w:after="0" w:line="225"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The Trustee shall not have any duty to confirm that the person sending any notice, instruction or other communication by electronic transmission (including by e-mail, facsimile transmission, web portal or other electronic methods) is, in fact, a person authorized to do so. Electronic signatures believed by the Trustee to comply with the ESIGN Act of 2000 or other applicable law (including electronic images of handwritten signatures and digital signatures provided by DocuSign, Orbit, Adobe Sign or any other digital signature provider acceptable to the Trustee) shall be deemed original signatures for all purposes. The Company assumes all risks arising out of the use of electronic signatures and electronic methods to send communications to the Trustee, including without limitation the risk of the Trustee acting on an unauthorized communication, and the risk of interception or misuse by third parties.</w:t>
      </w:r>
    </w:p>
    <w:p>
      <w:pPr>
        <w:spacing w:after="0" w:line="189" w:lineRule="exact"/>
        <w:rPr>
          <w:sz w:val="20"/>
          <w:szCs w:val="20"/>
          <w:color w:val="auto"/>
        </w:rPr>
      </w:pPr>
    </w:p>
    <w:p>
      <w:pPr>
        <w:jc w:val="both"/>
        <w:ind w:right="46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Communication by Holders with Other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Holders of any Series may communicate pursuant to TIA § 312(b) with other Holders of that Series or any other Series with respect to their rights under this Indenture or the Securities of that Series or all Series. The Company, the Trustee, the Registrar and anyone else shall have the protection of TIA § 312(c).</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Certificate and Opinion as to Conditions Precedent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Upon any request or application by the Company to the Trustee to take any action under this Indenture, the Company shall furnish to the Trustee:</w:t>
      </w:r>
    </w:p>
    <w:p>
      <w:pPr>
        <w:spacing w:after="0" w:line="117" w:lineRule="exact"/>
        <w:rPr>
          <w:sz w:val="20"/>
          <w:szCs w:val="20"/>
          <w:color w:val="auto"/>
        </w:rPr>
      </w:pPr>
    </w:p>
    <w:p>
      <w:pPr>
        <w:ind w:left="440" w:firstLine="419"/>
        <w:spacing w:after="0" w:line="282" w:lineRule="auto"/>
        <w:tabs>
          <w:tab w:leader="none" w:pos="110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stating that, in the opinion of the signers, all conditions precedent, if any, provided for in this Indenture relating to the proposed action have been complied with;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stating that, in the opinion of such counsel, all such conditions precedent have been complied with.</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Statements Required in Certificate or Opinion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54" w:lineRule="exact"/>
        <w:rPr>
          <w:sz w:val="20"/>
          <w:szCs w:val="20"/>
          <w:color w:val="auto"/>
        </w:rPr>
      </w:pPr>
    </w:p>
    <w:p>
      <w:pPr>
        <w:ind w:left="5420" w:right="2780" w:hanging="4561"/>
        <w:spacing w:after="0" w:line="454" w:lineRule="auto"/>
        <w:tabs>
          <w:tab w:leader="none" w:pos="111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person making such certificate or opinion has read such covenant or condition; 31</w:t>
      </w:r>
    </w:p>
    <w:p>
      <w:pPr>
        <w:sectPr>
          <w:pgSz w:w="11900" w:h="16838" w:orient="portrait"/>
          <w:cols w:equalWidth="0" w:num="1">
            <w:col w:w="11000"/>
          </w:cols>
          <w:pgMar w:left="440" w:top="270" w:right="459" w:bottom="1440" w:gutter="0" w:footer="0" w:header="0"/>
        </w:sectPr>
      </w:pPr>
    </w:p>
    <w:bookmarkStart w:id="144" w:name="page145"/>
    <w:bookmarkEnd w:id="144"/>
    <w:p>
      <w:pPr>
        <w:ind w:left="440" w:right="100" w:firstLine="419"/>
        <w:spacing w:after="0" w:line="282" w:lineRule="auto"/>
        <w:tabs>
          <w:tab w:leader="none" w:pos="111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brief statement as to the nature and scope of the examination or investigation upon which the statements or opinions contained in such certificate or opinion are based;</w:t>
      </w:r>
    </w:p>
    <w:p>
      <w:pPr>
        <w:spacing w:after="0" w:line="53"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10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such person, such person has made such examination or investigation as is necessary to enable such person to express an informed opinion as to whether or not such covenant or condition has been complied with;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or not, in the opinion of such person, such condition or covenant has been complied with.</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Rules by Trustee and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The Trustee may make reasonable rules for action by or a meeting of Holders of one or more Series. Any Agent may make reasonable rules and set reasonable requirements for its functions.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Legal Holidays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If a payment date for any payment made under this Indenture is not a Business Day, payment may be made on the next succeeding Business Day, and no interest shall accrue for the intervening period.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No Recourse Against Others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A director, officer, employee or stockholder (past or present), as such, of the Company shall not have any liability for any obligations of the Company under the Securities or the Indenture or for any claim based on, in respect of or by reason of such obligations or their creation. Each Holder by accepting a Security waives and releases all such liability. The waiver and release are part of the consideration for the issue of the Securities.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electronic format (e.g., “.pdf” or “.tif”) transmission shall constitute effective execution and delivery of this Indenture as to the parties hereto and may be used in lieu of the original Indenture for all purposes. Signatures of the parties hereto transmitted by facsimile or electronic format (e.g., “.pdf” or “.tif”) shall be deemed to be their original signatures for all purposes.</w:t>
      </w:r>
    </w:p>
    <w:p>
      <w:pPr>
        <w:spacing w:after="0" w:line="183"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Unless otherwise provided herein or in any other Securities, the words “execute”, “execution”, “signed” and “signature” and words of similar import used in or related to any document to be signed in connection with this Indenture, any Securities or any of the transactions contemplated hereby (including amendments, waivers, consents and other modifications) shall be deemed to include electronic signatures and the keeping of records in electronic form, each of which shall be of the same legal effect, validity or enforceability as a manually executed signature in ink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Governing Law; Waiver of Jury Trial; Consent to Jurisdiction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260" w:firstLine="991"/>
        <w:spacing w:after="0" w:line="317" w:lineRule="auto"/>
        <w:rPr>
          <w:sz w:val="20"/>
          <w:szCs w:val="20"/>
          <w:color w:val="auto"/>
        </w:rPr>
      </w:pPr>
      <w:r>
        <w:rPr>
          <w:rFonts w:ascii="Times New Roman" w:cs="Times New Roman" w:eastAsia="Times New Roman" w:hAnsi="Times New Roman"/>
          <w:sz w:val="17"/>
          <w:szCs w:val="17"/>
          <w:b w:val="1"/>
          <w:bCs w:val="1"/>
          <w:color w:val="auto"/>
        </w:rPr>
        <w:t>THIS INDENTURE AND THE SECURITIES, INCLUDING ANY CLAIM OR CONTROVERSY ARISING OUT OF OR RELATING TO THE INDENTURE OR THE SECURITIES, SHALL BE GOVERNED BY THE LAWS OF THE STATE OF NEW YORK.</w:t>
      </w:r>
    </w:p>
    <w:p>
      <w:pPr>
        <w:spacing w:after="0" w:line="132"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THE COMPANY, THE TRUSTEE AND THE HOLDERS (BY THEIR ACCEPTANCE OF THE SECURITIES) EACH HEREBY IRREVOCABLY WAIVE, TO THE FULLEST EXTENT PERMITTED BY APPLICABLE LAW, ANY AND ALL RIGHT TO TRIAL BY JURY IN ANY LEGAL PROCEEDING ARISING OUT OF OR RELATING TO THIS INDENTURE, THE SECURITIES OR THE TRANSACTIONS CONTEMPLATED HEREBY OR THEREBY.</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145" w:name="page146"/>
    <w:bookmarkEnd w:id="145"/>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Times New Roman" w:cs="Times New Roman" w:eastAsia="Times New Roman" w:hAnsi="Times New Roman"/>
          <w:sz w:val="18"/>
          <w:szCs w:val="18"/>
          <w:i w:val="1"/>
          <w:iCs w:val="1"/>
          <w:color w:val="auto"/>
        </w:rPr>
        <w:t>Specified Courts</w:t>
      </w:r>
      <w:r>
        <w:rPr>
          <w:rFonts w:ascii="Times New Roman" w:cs="Times New Roman" w:eastAsia="Times New Roman" w:hAnsi="Times New Roman"/>
          <w:sz w:val="18"/>
          <w:szCs w:val="18"/>
          <w:color w:val="auto"/>
        </w:rPr>
        <w:t>”),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No Adverse Interpretation of Other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This Indenture may not be used to interpret another indenture, loan or debt agreement of the Company or a Subsidiary of the Company. Any such indenture, loan or debt agreement may not be used to interpret this Indenture.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All agreements of the Company in this Indenture and the Securities shall bind its successor. All agreements of the Trustee in this Indenture shall bind its successor.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10.14. </w:t>
      </w:r>
      <w:r>
        <w:rPr>
          <w:rFonts w:ascii="Times New Roman" w:cs="Times New Roman" w:eastAsia="Times New Roman" w:hAnsi="Times New Roman"/>
          <w:sz w:val="18"/>
          <w:szCs w:val="18"/>
          <w:u w:val="single" w:color="auto"/>
          <w:color w:val="auto"/>
        </w:rPr>
        <w:t>Table of Contents, Headings, Etc.</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10.15. </w:t>
      </w:r>
      <w:r>
        <w:rPr>
          <w:rFonts w:ascii="Times New Roman" w:cs="Times New Roman" w:eastAsia="Times New Roman" w:hAnsi="Times New Roman"/>
          <w:sz w:val="18"/>
          <w:szCs w:val="18"/>
          <w:u w:val="single" w:color="auto"/>
          <w:color w:val="auto"/>
        </w:rPr>
        <w:t>Securities in a Foreign Currency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190"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All decisions and determinations provided for in the preceding paragraph shall, in the absence of manifest error, to the extent permitted by law, be conclusive for all purposes and irrevocably binding upon the Trustee and all Holders.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146" w:name="page147"/>
    <w:bookmarkEnd w:id="14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10.16.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52" w:lineRule="auto"/>
        <w:rPr>
          <w:sz w:val="20"/>
          <w:szCs w:val="20"/>
          <w:color w:val="auto"/>
        </w:rPr>
      </w:pPr>
      <w:r>
        <w:rPr>
          <w:rFonts w:ascii="Times New Roman" w:cs="Times New Roman" w:eastAsia="Times New Roman" w:hAnsi="Times New Roman"/>
          <w:sz w:val="18"/>
          <w:szCs w:val="18"/>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Times New Roman" w:cs="Times New Roman" w:eastAsia="Times New Roman" w:hAnsi="Times New Roman"/>
          <w:sz w:val="18"/>
          <w:szCs w:val="18"/>
          <w:i w:val="1"/>
          <w:iCs w:val="1"/>
          <w:color w:val="auto"/>
        </w:rPr>
        <w:t>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Currency</w:t>
      </w:r>
      <w:r>
        <w:rPr>
          <w:rFonts w:ascii="Times New Roman" w:cs="Times New Roman" w:eastAsia="Times New Roman" w:hAnsi="Times New Roman"/>
          <w:sz w:val="18"/>
          <w:szCs w:val="18"/>
          <w:color w:val="auto"/>
        </w:rPr>
        <w:t>”) into a currency in which a judgment will be rendered (the “</w:t>
      </w:r>
      <w:r>
        <w:rPr>
          <w:rFonts w:ascii="Times New Roman" w:cs="Times New Roman" w:eastAsia="Times New Roman" w:hAnsi="Times New Roman"/>
          <w:sz w:val="18"/>
          <w:szCs w:val="18"/>
          <w:i w:val="1"/>
          <w:iCs w:val="1"/>
          <w:color w:val="auto"/>
        </w:rPr>
        <w:t>Judgment Currency</w:t>
      </w:r>
      <w:r>
        <w:rPr>
          <w:rFonts w:ascii="Times New Roman" w:cs="Times New Roman" w:eastAsia="Times New Roman" w:hAnsi="Times New Roman"/>
          <w:sz w:val="18"/>
          <w:szCs w:val="18"/>
          <w:color w:val="auto"/>
        </w:rPr>
        <w:t>”), the rate of exchange used shall be the rate at which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Times New Roman" w:cs="Times New Roman" w:eastAsia="Times New Roman" w:hAnsi="Times New Roman"/>
          <w:sz w:val="18"/>
          <w:szCs w:val="18"/>
          <w:i w:val="1"/>
          <w:iCs w:val="1"/>
          <w:color w:val="auto"/>
        </w:rPr>
        <w:t>New York Banking Day</w:t>
      </w:r>
      <w:r>
        <w:rPr>
          <w:rFonts w:ascii="Times New Roman" w:cs="Times New Roman" w:eastAsia="Times New Roman" w:hAnsi="Times New Roman"/>
          <w:sz w:val="18"/>
          <w:szCs w:val="18"/>
          <w:color w:val="auto"/>
        </w:rPr>
        <w:t>” means any day except a Saturday, Sunday or a legal holiday in the City of New York on which banking institutions are authorized or required by law, regulation or executive order to close.</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10.17.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pandemics, epidemics or other public health emergencies,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10.18.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SINKING FUNDS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Applicability of Article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The provisions of this Article shall be applicable to any sinking fund for the retirement of the Securities of a Series if so provided by the terms of such Securities pursuant to Section 2.2, except as otherwise permitted or required by any form of Security of such Series issued pursuant to this Indenture.</w:t>
      </w:r>
    </w:p>
    <w:p>
      <w:pPr>
        <w:spacing w:after="0" w:line="174"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the Securities of any Series is herein referred to as a “</w:t>
      </w:r>
      <w:r>
        <w:rPr>
          <w:rFonts w:ascii="Times New Roman" w:cs="Times New Roman" w:eastAsia="Times New Roman" w:hAnsi="Times New Roman"/>
          <w:sz w:val="18"/>
          <w:szCs w:val="18"/>
          <w:i w:val="1"/>
          <w:iCs w:val="1"/>
          <w:color w:val="auto"/>
        </w:rPr>
        <w:t>mandatory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sinking fund payment</w:t>
      </w:r>
      <w:r>
        <w:rPr>
          <w:rFonts w:ascii="Times New Roman" w:cs="Times New Roman" w:eastAsia="Times New Roman" w:hAnsi="Times New Roman"/>
          <w:sz w:val="18"/>
          <w:szCs w:val="18"/>
          <w:color w:val="auto"/>
        </w:rPr>
        <w:t>” and any other amount provided for by the terms of Securities of such Series is herein referred to as an “</w:t>
      </w:r>
      <w:r>
        <w:rPr>
          <w:rFonts w:ascii="Times New Roman" w:cs="Times New Roman" w:eastAsia="Times New Roman" w:hAnsi="Times New Roman"/>
          <w:sz w:val="18"/>
          <w:szCs w:val="18"/>
          <w:i w:val="1"/>
          <w:iCs w:val="1"/>
          <w:color w:val="auto"/>
        </w:rPr>
        <w:t>optional sinking fund payment</w:t>
      </w:r>
      <w:r>
        <w:rPr>
          <w:rFonts w:ascii="Times New Roman" w:cs="Times New Roman" w:eastAsia="Times New Roman" w:hAnsi="Times New Roman"/>
          <w:sz w:val="18"/>
          <w:szCs w:val="18"/>
          <w:color w:val="auto"/>
        </w:rPr>
        <w:t>.” If provided for by the terms of Securities of any Series, the cash amount of any sinking fund payment may be subject to reduction as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Section 11.2. Each sinking fund payment shall be applied to the redemption of Securities of any Series as provided for by the terms of the Securities of such Series.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147" w:name="page148"/>
    <w:bookmarkEnd w:id="14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11.2. </w:t>
      </w:r>
      <w:r>
        <w:rPr>
          <w:rFonts w:ascii="Times New Roman" w:cs="Times New Roman" w:eastAsia="Times New Roman" w:hAnsi="Times New Roman"/>
          <w:sz w:val="18"/>
          <w:szCs w:val="18"/>
          <w:u w:val="single" w:color="auto"/>
          <w:color w:val="auto"/>
        </w:rPr>
        <w:t>Satisfaction of Sinking Fund Payments with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Redemption of Securities for Sinking Fund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Securities to be redeemed upon such sinking fund payment date will be selected in the manner specified in Section 3.2, and the Company shall send or cause to be sent a notice of the redemption thereof to be given in the name of and at the expense of the Company in the manner provided in and in accordance with Section 3.3. Such notice having been duly given, the redemption of such Securities shall be made upon the terms and in the manner stated in Sections 3.4, 3.5 and 3.6.</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Indenture to be duly executed as of the day and year first above written.</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Its: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80"/>
          </w:cols>
          <w:pgMar w:left="440" w:top="270" w:right="479" w:bottom="1440" w:gutter="0" w:footer="0" w:header="0"/>
        </w:sectPr>
      </w:pPr>
    </w:p>
    <w:bookmarkStart w:id="148" w:name="page149"/>
    <w:bookmarkEnd w:id="148"/>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as Trustee</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9019"/>
          </w:cols>
          <w:pgMar w:left="1440" w:top="270" w:right="1440"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ind w:left="8484"/>
        <w:spacing w:after="0"/>
        <w:rPr>
          <w:sz w:val="20"/>
          <w:szCs w:val="20"/>
          <w:color w:val="auto"/>
        </w:rPr>
      </w:pPr>
      <w:r>
        <w:rPr>
          <w:rFonts w:ascii="Times New Roman" w:cs="Times New Roman" w:eastAsia="Times New Roman" w:hAnsi="Times New Roman"/>
          <w:sz w:val="18"/>
          <w:szCs w:val="18"/>
          <w:color w:val="auto"/>
        </w:rPr>
        <w:t xml:space="preserve">Goodwin Procter </w:t>
      </w:r>
      <w:r>
        <w:rPr>
          <w:rFonts w:ascii="Times New Roman" w:cs="Times New Roman" w:eastAsia="Times New Roman" w:hAnsi="Times New Roman"/>
          <w:sz w:val="14"/>
          <w:szCs w:val="14"/>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714500" cy="3771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3">
                      <a:extLst>
                        <a:ext uri="{28A0092B-C50C-407E-A947-70E740481C1C}"/>
                      </a:extLst>
                    </a:blip>
                    <a:srcRect/>
                    <a:stretch>
                      <a:fillRect/>
                    </a:stretch>
                  </pic:blipFill>
                  <pic:spPr bwMode="auto">
                    <a:xfrm>
                      <a:off x="0" y="0"/>
                      <a:ext cx="1714500" cy="377190"/>
                    </a:xfrm>
                    <a:prstGeom prst="rect">
                      <a:avLst/>
                    </a:prstGeom>
                    <a:noFill/>
                  </pic:spPr>
                </pic:pic>
              </a:graphicData>
            </a:graphic>
          </wp:anchor>
        </w:drawing>
      </w:r>
    </w:p>
    <w:p>
      <w:pPr>
        <w:spacing w:after="0" w:line="7" w:lineRule="exact"/>
        <w:rPr>
          <w:sz w:val="20"/>
          <w:szCs w:val="20"/>
          <w:color w:val="auto"/>
        </w:rPr>
      </w:pPr>
    </w:p>
    <w:p>
      <w:pPr>
        <w:ind w:left="8484"/>
        <w:spacing w:after="0"/>
        <w:rPr>
          <w:sz w:val="20"/>
          <w:szCs w:val="20"/>
          <w:color w:val="auto"/>
        </w:rPr>
      </w:pPr>
      <w:r>
        <w:rPr>
          <w:rFonts w:ascii="Times New Roman" w:cs="Times New Roman" w:eastAsia="Times New Roman" w:hAnsi="Times New Roman"/>
          <w:sz w:val="18"/>
          <w:szCs w:val="18"/>
          <w:color w:val="auto"/>
        </w:rPr>
        <w:t>One Commerce Square</w:t>
      </w:r>
    </w:p>
    <w:p>
      <w:pPr>
        <w:spacing w:after="0" w:line="9" w:lineRule="exact"/>
        <w:rPr>
          <w:sz w:val="20"/>
          <w:szCs w:val="20"/>
          <w:color w:val="auto"/>
        </w:rPr>
      </w:pPr>
    </w:p>
    <w:p>
      <w:pPr>
        <w:ind w:left="8484"/>
        <w:spacing w:after="0"/>
        <w:rPr>
          <w:sz w:val="20"/>
          <w:szCs w:val="20"/>
          <w:color w:val="auto"/>
        </w:rPr>
      </w:pPr>
      <w:r>
        <w:rPr>
          <w:rFonts w:ascii="Times New Roman" w:cs="Times New Roman" w:eastAsia="Times New Roman" w:hAnsi="Times New Roman"/>
          <w:sz w:val="18"/>
          <w:szCs w:val="18"/>
          <w:color w:val="auto"/>
        </w:rPr>
        <w:t>2005 Market Street, 32nd Floor</w:t>
      </w:r>
    </w:p>
    <w:p>
      <w:pPr>
        <w:spacing w:after="0" w:line="9" w:lineRule="exact"/>
        <w:rPr>
          <w:sz w:val="20"/>
          <w:szCs w:val="20"/>
          <w:color w:val="auto"/>
        </w:rPr>
      </w:pPr>
    </w:p>
    <w:p>
      <w:pPr>
        <w:ind w:left="8484"/>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234" w:lineRule="exact"/>
        <w:rPr>
          <w:sz w:val="20"/>
          <w:szCs w:val="20"/>
          <w:color w:val="auto"/>
        </w:rPr>
      </w:pPr>
    </w:p>
    <w:p>
      <w:pPr>
        <w:ind w:left="8484"/>
        <w:spacing w:after="0"/>
        <w:rPr>
          <w:sz w:val="20"/>
          <w:szCs w:val="20"/>
          <w:color w:val="auto"/>
        </w:rPr>
      </w:pPr>
      <w:r>
        <w:rPr>
          <w:rFonts w:ascii="Times New Roman" w:cs="Times New Roman" w:eastAsia="Times New Roman" w:hAnsi="Times New Roman"/>
          <w:sz w:val="18"/>
          <w:szCs w:val="18"/>
          <w:color w:val="auto"/>
        </w:rPr>
        <w:t>gooodwinlaw.com</w:t>
      </w:r>
    </w:p>
    <w:p>
      <w:pPr>
        <w:spacing w:after="0" w:line="27" w:lineRule="exact"/>
        <w:rPr>
          <w:sz w:val="20"/>
          <w:szCs w:val="20"/>
          <w:color w:val="auto"/>
        </w:rPr>
      </w:pPr>
    </w:p>
    <w:p>
      <w:pPr>
        <w:ind w:left="8484"/>
        <w:spacing w:after="0"/>
        <w:rPr>
          <w:sz w:val="20"/>
          <w:szCs w:val="20"/>
          <w:color w:val="auto"/>
        </w:rPr>
      </w:pPr>
      <w:r>
        <w:rPr>
          <w:rFonts w:ascii="Times New Roman" w:cs="Times New Roman" w:eastAsia="Times New Roman" w:hAnsi="Times New Roman"/>
          <w:sz w:val="18"/>
          <w:szCs w:val="18"/>
          <w:color w:val="auto"/>
        </w:rPr>
        <w:t>+1 445 207 7800</w:t>
      </w:r>
    </w:p>
    <w:p>
      <w:pPr>
        <w:spacing w:after="0" w:line="247" w:lineRule="exact"/>
        <w:rPr>
          <w:sz w:val="20"/>
          <w:szCs w:val="20"/>
          <w:color w:val="auto"/>
        </w:rPr>
      </w:pPr>
    </w:p>
    <w:p>
      <w:pPr>
        <w:ind w:left="7624"/>
        <w:spacing w:after="0"/>
        <w:rPr>
          <w:sz w:val="20"/>
          <w:szCs w:val="20"/>
          <w:color w:val="auto"/>
        </w:rPr>
      </w:pPr>
      <w:r>
        <w:rPr>
          <w:rFonts w:ascii="Times New Roman" w:cs="Times New Roman" w:eastAsia="Times New Roman" w:hAnsi="Times New Roman"/>
          <w:sz w:val="18"/>
          <w:szCs w:val="18"/>
          <w:color w:val="auto"/>
        </w:rPr>
        <w:t>May 9, 2024</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Three Bala Plaza East, Suite 506</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Bala Cynwyd, PA 19004</w:t>
      </w:r>
    </w:p>
    <w:p>
      <w:pPr>
        <w:spacing w:after="0" w:line="234"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Securities Being Registered under Registration Statement on Form S-3</w:t>
      </w:r>
    </w:p>
    <w:p>
      <w:pPr>
        <w:spacing w:after="0" w:line="225" w:lineRule="exact"/>
        <w:rPr>
          <w:sz w:val="20"/>
          <w:szCs w:val="20"/>
          <w:color w:val="auto"/>
        </w:rPr>
      </w:pPr>
    </w:p>
    <w:p>
      <w:pPr>
        <w:ind w:left="4" w:right="40"/>
        <w:spacing w:after="0" w:line="270" w:lineRule="auto"/>
        <w:rPr>
          <w:sz w:val="20"/>
          <w:szCs w:val="20"/>
          <w:color w:val="auto"/>
        </w:rPr>
      </w:pPr>
      <w:r>
        <w:rPr>
          <w:rFonts w:ascii="Times New Roman" w:cs="Times New Roman" w:eastAsia="Times New Roman" w:hAnsi="Times New Roman"/>
          <w:sz w:val="17"/>
          <w:szCs w:val="17"/>
          <w:color w:val="auto"/>
        </w:rPr>
        <w:t>We have acted as counsel to you in connection with your filing of a Registration Statement on Form S-3 (as amended or supplemented, the “Registration Statement”) pursuant to the Securities Act of 1933, as amended (the “Securities Act”), relating to the offering by Larimar Therapeutics, Inc., a Delaware corporation (the “Company”), of up to $300,000,000 of any combination of (i) the Company’s common stock, par value $0.001 per share (“Common Stock”), (ii) the Company’s preferred stock, par value $0.001 per share (“Preferred Stock”), (iii) the Company’s debt securities (“Debt Securities”),</w:t>
      </w:r>
    </w:p>
    <w:p>
      <w:pPr>
        <w:spacing w:after="0" w:line="3" w:lineRule="exact"/>
        <w:rPr>
          <w:sz w:val="20"/>
          <w:szCs w:val="20"/>
          <w:color w:val="auto"/>
        </w:rPr>
      </w:pPr>
    </w:p>
    <w:p>
      <w:pPr>
        <w:ind w:left="4" w:right="20" w:hanging="4"/>
        <w:spacing w:after="0" w:line="252" w:lineRule="auto"/>
        <w:tabs>
          <w:tab w:leader="none" w:pos="30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Common Stock, Preferred Stock or Debt Securities (“Warrants”), (v) units comprised of Common Stock, Preferred Stock, Debt Securities, Warrants, or Subscription Rights (as defined below) in any combination (“Units”), and (vi) subscription rights to purchase Common Stock, Preferred Stock or Debt Securities (“Subscription Rights”). The Common Stock, Preferred Stock, Debt Securities, Warrants, Units and Subscription Rights are sometimes referred to collectively herein as the “Securities.” Securities may be issued in an unspecified number (with respect to Common Stock, Preferred Stock, Warrants, Units and Subscription Rights) or in an unspecified principal amount (with respect to Debt Securities). The Registration Statement provides that the Securities may be offered separately or together, in separate series, in amounts, at prices and on terms to be set forth in one or more prospectus supplements (each a “Prospectus Supplement”) to the prospectus contained in the Registration Statement.</w:t>
      </w:r>
    </w:p>
    <w:p>
      <w:pPr>
        <w:spacing w:after="0" w:line="188" w:lineRule="exact"/>
        <w:rPr>
          <w:sz w:val="20"/>
          <w:szCs w:val="20"/>
          <w:color w:val="auto"/>
        </w:rPr>
      </w:pPr>
    </w:p>
    <w:p>
      <w:pPr>
        <w:ind w:left="4" w:right="360"/>
        <w:spacing w:after="0" w:line="26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opinions set forth below are limited to the Delaware General Corporation Law and the law of New York.</w:t>
      </w:r>
    </w:p>
    <w:p>
      <w:pPr>
        <w:sectPr>
          <w:pgSz w:w="11900" w:h="16838" w:orient="portrait"/>
          <w:cols w:equalWidth="0" w:num="1">
            <w:col w:w="11024"/>
          </w:cols>
          <w:pgMar w:left="436" w:top="117" w:right="4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Larimar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9,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purposes of the opinions set forth below, without limiting any other exceptions or qualifications set forth herein, we have assumed that (i) each of the Debt Securities, Warrants, Units and Subscription Rights, and the indentures, warrant agreements, unit agreements, subscription rights agreements and other agreements governing Securities offered pursuant to the Registration Statement will be governed by the internal law of New York and (ii) after the issuance of any Securities offered pursuant to the Registration Statement, the total number of issued shares of Common Stock or Preferred Stock, as applicable, together with the total number of shares of such stock issuable upon the exercise, exchange, conversion or settlement, as the case may be, of any exercisable, exchangeable or convertible security (including without limitation any Unit), as the case may be, then outstanding, will not exceed the total number of authorized shares of Common Stock or Preferred Stock, as applicable, then available for issuance under the Company’s certificate of incorporation as then in effect (the “Charter”).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opinions set forth below, we refer to the following as the “Future Approval and Issuance” of Securities:</w:t>
      </w:r>
    </w:p>
    <w:p>
      <w:pPr>
        <w:spacing w:after="0" w:line="131" w:lineRule="exact"/>
        <w:rPr>
          <w:sz w:val="20"/>
          <w:szCs w:val="20"/>
          <w:color w:val="auto"/>
        </w:rPr>
      </w:pPr>
    </w:p>
    <w:p>
      <w:pPr>
        <w:ind w:left="960" w:right="20" w:hanging="424"/>
        <w:spacing w:after="0" w:line="261" w:lineRule="auto"/>
        <w:tabs>
          <w:tab w:leader="none" w:pos="9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of the Securities, (a) the approval by the Company of the amount, terms and issuance of such Securities (the “Approval”) and (b) the issuance of such Securities in accordance with the Approval upon the receipt by the Company of the consideration (which, in the case of shares of Common Stock or Preferred Stock, is not less than the par value of such shares) to be paid in accordance with the Approval;</w:t>
      </w:r>
    </w:p>
    <w:p>
      <w:pPr>
        <w:spacing w:after="0" w:line="85" w:lineRule="exact"/>
        <w:rPr>
          <w:rFonts w:ascii="Times New Roman" w:cs="Times New Roman" w:eastAsia="Times New Roman" w:hAnsi="Times New Roman"/>
          <w:sz w:val="18"/>
          <w:szCs w:val="18"/>
          <w:color w:val="auto"/>
        </w:rPr>
      </w:pPr>
    </w:p>
    <w:p>
      <w:pPr>
        <w:ind w:left="960" w:right="80" w:hanging="424"/>
        <w:spacing w:after="0" w:line="289" w:lineRule="auto"/>
        <w:tabs>
          <w:tab w:leader="none" w:pos="96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Preferred Stock, (a) the establishment of the terms of such Preferred Stock by the Company in conformity with the Charter and applicable law and (b) the execution, acknowledgement and filing with the Delaware Secretary of State, and the effectiveness of, a certificate of designations to the Charter setting forth the terms of such Preferred Stock in accordance with the Charter and applicable law;</w:t>
      </w:r>
    </w:p>
    <w:p>
      <w:pPr>
        <w:spacing w:after="0" w:line="63" w:lineRule="exact"/>
        <w:rPr>
          <w:rFonts w:ascii="Times New Roman" w:cs="Times New Roman" w:eastAsia="Times New Roman" w:hAnsi="Times New Roman"/>
          <w:sz w:val="17"/>
          <w:szCs w:val="17"/>
          <w:color w:val="auto"/>
        </w:rPr>
      </w:pPr>
    </w:p>
    <w:p>
      <w:pPr>
        <w:ind w:left="960" w:right="80" w:hanging="424"/>
        <w:spacing w:after="0" w:line="261" w:lineRule="auto"/>
        <w:tabs>
          <w:tab w:leader="none" w:pos="9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Debt Securities, (a) the approval, execution and delivery of the indenture or a supplemental indenture relating to such Securities by the Company and the trustee and/or (b) the establishment of the terms of such Securities by the Company in conformity with the indenture or supplemental indenture and applicable law, and (c) the execution, authentication and issuance of such Securities in accordance with the indenture or supplemental indenture and applicable law; and</w:t>
      </w:r>
    </w:p>
    <w:p>
      <w:pPr>
        <w:spacing w:after="0" w:line="85" w:lineRule="exact"/>
        <w:rPr>
          <w:rFonts w:ascii="Times New Roman" w:cs="Times New Roman" w:eastAsia="Times New Roman" w:hAnsi="Times New Roman"/>
          <w:sz w:val="18"/>
          <w:szCs w:val="18"/>
          <w:color w:val="auto"/>
        </w:rPr>
      </w:pPr>
    </w:p>
    <w:p>
      <w:pPr>
        <w:ind w:left="960" w:right="300" w:hanging="424"/>
        <w:spacing w:after="0" w:line="266" w:lineRule="auto"/>
        <w:tabs>
          <w:tab w:leader="none" w:pos="9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Warrants, Units or Subscription Rights, (a) the approval, execution and delivery by the Company and any other parties thereto of any agreement under which such Securities are to be issued, and (b) the establishment of the terms of such Securities and the issuance of such Securities in conformity with those terms, the terms of any applicable agreement and applicable law.</w:t>
      </w:r>
    </w:p>
    <w:p>
      <w:pPr>
        <w:sectPr>
          <w:pgSz w:w="11900" w:h="16838" w:orient="portrait"/>
          <w:cols w:equalWidth="0" w:num="1">
            <w:col w:w="11000"/>
          </w:cols>
          <w:pgMar w:left="440" w:top="270"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Larimar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9,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the foregoing, and subject to the additional qualifications set forth below, we are of the opinion that:</w:t>
      </w:r>
    </w:p>
    <w:p>
      <w:pPr>
        <w:spacing w:after="0" w:line="117" w:lineRule="exact"/>
        <w:rPr>
          <w:sz w:val="20"/>
          <w:szCs w:val="20"/>
          <w:color w:val="auto"/>
        </w:rPr>
      </w:pPr>
    </w:p>
    <w:p>
      <w:pPr>
        <w:ind w:right="480" w:firstLine="436"/>
        <w:spacing w:after="0" w:line="282" w:lineRule="auto"/>
        <w:tabs>
          <w:tab w:leader="none" w:pos="6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Future Approval and Issuance of shares of Common Stock, such shares of Common Stock will be validly issued, fully paid and nonassessable.</w:t>
      </w:r>
    </w:p>
    <w:p>
      <w:pPr>
        <w:spacing w:after="0" w:line="161" w:lineRule="exact"/>
        <w:rPr>
          <w:rFonts w:ascii="Times New Roman" w:cs="Times New Roman" w:eastAsia="Times New Roman" w:hAnsi="Times New Roman"/>
          <w:sz w:val="18"/>
          <w:szCs w:val="18"/>
          <w:color w:val="auto"/>
        </w:rPr>
      </w:pPr>
    </w:p>
    <w:p>
      <w:pPr>
        <w:ind w:right="480" w:firstLine="436"/>
        <w:spacing w:after="0" w:line="282" w:lineRule="auto"/>
        <w:tabs>
          <w:tab w:leader="none" w:pos="6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Future Approval and Issuance of shares of Preferred Stock, such shares of Preferred Stock will be validly issued, fully paid and nonassessable.</w:t>
      </w:r>
    </w:p>
    <w:p>
      <w:pPr>
        <w:spacing w:after="0" w:line="16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Future Approval and Issuance of Debt Securities, such Debt Securities will be valid and binding obligations of the Company.</w:t>
      </w:r>
    </w:p>
    <w:p>
      <w:pPr>
        <w:spacing w:after="0" w:line="22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Future Approval and Issuance of Warrants, such Warrants will be valid and binding obligations of the Company.</w:t>
      </w:r>
    </w:p>
    <w:p>
      <w:pPr>
        <w:spacing w:after="0" w:line="22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Future Approval and Issuance of Units, such Units will be valid and binding obligations of the Company.</w:t>
      </w:r>
    </w:p>
    <w:p>
      <w:pPr>
        <w:spacing w:after="0" w:line="22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Future Approval and Issuance of Subscription Rights, such Subscription Rights will be valid and binding obligations of the Company.</w:t>
      </w:r>
    </w:p>
    <w:p>
      <w:pPr>
        <w:spacing w:after="0" w:line="23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opinions expressed above are subject to bankruptcy, insolvency, fraudulent transfer, reorganization, moratorium and other similar laws of general application affecting the rights and remedies of creditors and to general principles of equity.</w:t>
      </w:r>
    </w:p>
    <w:p>
      <w:pPr>
        <w:spacing w:after="0" w:line="160"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color w:val="auto"/>
        </w:rPr>
        <w:t xml:space="preserve">This opinion letter and the opinions it contains shall be interpreted in accordance with the Core Opinion Principles as published in 74 </w:t>
      </w:r>
      <w:r>
        <w:rPr>
          <w:rFonts w:ascii="Times New Roman" w:cs="Times New Roman" w:eastAsia="Times New Roman" w:hAnsi="Times New Roman"/>
          <w:sz w:val="18"/>
          <w:szCs w:val="18"/>
          <w:i w:val="1"/>
          <w:iCs w:val="1"/>
          <w:color w:val="auto"/>
        </w:rPr>
        <w:t>Business Lawyer</w:t>
      </w:r>
      <w:r>
        <w:rPr>
          <w:rFonts w:ascii="Times New Roman" w:cs="Times New Roman" w:eastAsia="Times New Roman" w:hAnsi="Times New Roman"/>
          <w:sz w:val="18"/>
          <w:szCs w:val="18"/>
          <w:color w:val="auto"/>
        </w:rPr>
        <w:t xml:space="preserve"> 815 (Summer 2019).</w:t>
      </w:r>
    </w:p>
    <w:p>
      <w:pPr>
        <w:spacing w:after="0" w:line="16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xml:space="preserve">/ Goodwin Procter </w:t>
      </w:r>
      <w:r>
        <w:rPr>
          <w:rFonts w:ascii="Times New Roman" w:cs="Times New Roman" w:eastAsia="Times New Roman" w:hAnsi="Times New Roman"/>
          <w:sz w:val="14"/>
          <w:szCs w:val="14"/>
          <w:color w:val="auto"/>
        </w:rPr>
        <w:t>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GOODWIN PROCTER LLP</w:t>
      </w:r>
    </w:p>
    <w:p>
      <w:pPr>
        <w:sectPr>
          <w:pgSz w:w="11900" w:h="16838" w:orient="portrait"/>
          <w:cols w:equalWidth="0" w:num="1">
            <w:col w:w="10980"/>
          </w:cols>
          <w:pgMar w:left="440" w:top="270" w:right="47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5.2</w:t>
      </w:r>
    </w:p>
    <w:p>
      <w:pPr>
        <w:spacing w:after="0" w:line="256"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color w:val="auto"/>
        </w:rPr>
        <w:t xml:space="preserve">Goodwin Procter </w:t>
      </w:r>
      <w:r>
        <w:rPr>
          <w:rFonts w:ascii="Times New Roman" w:cs="Times New Roman" w:eastAsia="Times New Roman" w:hAnsi="Times New Roman"/>
          <w:sz w:val="14"/>
          <w:szCs w:val="14"/>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714500" cy="3771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6">
                      <a:extLst>
                        <a:ext uri="{28A0092B-C50C-407E-A947-70E740481C1C}"/>
                      </a:extLst>
                    </a:blip>
                    <a:srcRect/>
                    <a:stretch>
                      <a:fillRect/>
                    </a:stretch>
                  </pic:blipFill>
                  <pic:spPr bwMode="auto">
                    <a:xfrm>
                      <a:off x="0" y="0"/>
                      <a:ext cx="1714500" cy="377190"/>
                    </a:xfrm>
                    <a:prstGeom prst="rect">
                      <a:avLst/>
                    </a:prstGeom>
                    <a:noFill/>
                  </pic:spPr>
                </pic:pic>
              </a:graphicData>
            </a:graphic>
          </wp:anchor>
        </w:drawing>
      </w:r>
    </w:p>
    <w:p>
      <w:pPr>
        <w:spacing w:after="0" w:line="7"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color w:val="auto"/>
        </w:rPr>
        <w:t>One Commerce Square</w:t>
      </w:r>
    </w:p>
    <w:p>
      <w:pPr>
        <w:spacing w:after="0" w:line="9"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color w:val="auto"/>
        </w:rPr>
        <w:t>2005 Market Street, 32nd Floor</w:t>
      </w:r>
    </w:p>
    <w:p>
      <w:pPr>
        <w:spacing w:after="0" w:line="9"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234"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color w:val="auto"/>
        </w:rPr>
        <w:t>gooodwinlaw.com</w:t>
      </w:r>
    </w:p>
    <w:p>
      <w:pPr>
        <w:spacing w:after="0" w:line="27"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color w:val="auto"/>
        </w:rPr>
        <w:t>+1 445 207 7800</w:t>
      </w:r>
    </w:p>
    <w:p>
      <w:pPr>
        <w:spacing w:after="0" w:line="24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May 9,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Bala Plaza East, Suite 506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 Cynwyd, PA 19004</w:t>
      </w:r>
    </w:p>
    <w:p>
      <w:pPr>
        <w:spacing w:after="0" w:line="234"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Securities Registered under Registration Statement on Form S-3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have acted as counsel to you in connection with your filing of a Registration Statement on Form S-3 (as amended or supplemented,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filed on May 9, 2024 with the Securities and Exchange Commission (the “Commission”) pursuant to the Securities Act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1933, as amended (the “Securities Act”), relating to the registration of the offering by Larimar Therapeutics, Inc., a Delaware corporation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of up to $100,000,000 of any combination of securities of the types specified therein. Reference is made to our opinion letter dated May 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and included as Exhibit 5.1 to the Registration Statement. We are delivering this supplemental opinion letter in connection with the sales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prospectus (the “Prospectus”) contained in the Registration Statement. The Prospectus relates to the offering by the Company of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$100,000,000 in shares (the “Shares”) of the Company’s common stock, par value $0.001 per share (“Common Stock”), covered by the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The Shares are being offered and sold by the sales agent named in, and pursuant to, the Sales Agreement, dated May 9, 2024, by and between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such sales agent.</w:t>
      </w:r>
    </w:p>
    <w:p>
      <w:pPr>
        <w:spacing w:after="0" w:line="207"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76"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For purposes of the opinion set forth below, we have assumed that the Shares are issued for a price per share equal to or greater than the minimum price authorized by the Company’s board of directors (or a duly authorized committee of the board of directors) prior to the date hereof (the “Minimum Price”) and that no event occurs that causes the number of authorized shares of Common Stock available for issuance by the Company to be less than the number of then unissued Shares that may be issued for the Minimum Price.</w:t>
      </w:r>
    </w:p>
    <w:p>
      <w:pPr>
        <w:sectPr>
          <w:pgSz w:w="11900" w:h="16838" w:orient="portrait"/>
          <w:cols w:equalWidth="0" w:num="1">
            <w:col w:w="11020"/>
          </w:cols>
          <w:pgMar w:left="440" w:top="117" w:right="4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Larimar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9,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For purposes of the opinion set forth below, we refer to the following as “Future Approval and Issuance”: (a) the approval by the Company’s board of directors (or a duly authorized committee of the board of directors) of the issuance of the Shares (the “Approval”) and (b) the issuance of the Shares in accordance with the Approval and the receipt by the Company of the consideration (which shall not be less than the par value of such Shares) to be paid in accordance with the Approval.</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opinion set forth below is limited to the Delaware General Corporation Law.</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and, upon Future Approval and Issuance, will be validly issued, fully paid and nonassessable.</w:t>
      </w:r>
    </w:p>
    <w:p>
      <w:pPr>
        <w:spacing w:after="0" w:line="160" w:lineRule="exact"/>
        <w:rPr>
          <w:sz w:val="20"/>
          <w:szCs w:val="20"/>
          <w:color w:val="auto"/>
        </w:rPr>
      </w:pPr>
    </w:p>
    <w:p>
      <w:pPr>
        <w:ind w:right="2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This opinion letter and the opinions it contains shall be interpreted in accordance with the Core Opinion Principles as published in 74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Lawyer </w:t>
      </w:r>
      <w:r>
        <w:rPr>
          <w:rFonts w:ascii="Times New Roman" w:cs="Times New Roman" w:eastAsia="Times New Roman" w:hAnsi="Times New Roman"/>
          <w:sz w:val="18"/>
          <w:szCs w:val="18"/>
          <w:color w:val="auto"/>
        </w:rPr>
        <w:t>815 (Summer 2019).</w:t>
      </w:r>
    </w:p>
    <w:p>
      <w:pPr>
        <w:spacing w:after="0" w:line="16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letter as Exhibit 5.2 to the Registration Statement and its incorporation by reference and the reference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xml:space="preserve">/ Goodwin Procter </w:t>
      </w:r>
      <w:r>
        <w:rPr>
          <w:rFonts w:ascii="Times New Roman" w:cs="Times New Roman" w:eastAsia="Times New Roman" w:hAnsi="Times New Roman"/>
          <w:sz w:val="14"/>
          <w:szCs w:val="14"/>
          <w:color w:val="auto"/>
        </w:rPr>
        <w:t>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GOODWIN PROCTER </w:t>
      </w:r>
      <w:r>
        <w:rPr>
          <w:rFonts w:ascii="Times New Roman" w:cs="Times New Roman" w:eastAsia="Times New Roman" w:hAnsi="Times New Roman"/>
          <w:sz w:val="14"/>
          <w:szCs w:val="14"/>
          <w:color w:val="auto"/>
        </w:rPr>
        <w:t>LLP</w:t>
      </w:r>
    </w:p>
    <w:p>
      <w:pPr>
        <w:sectPr>
          <w:pgSz w:w="11900" w:h="16838" w:orient="portrait"/>
          <w:cols w:equalWidth="0" w:num="1">
            <w:col w:w="10960"/>
          </w:cols>
          <w:pgMar w:left="440" w:top="270" w:right="49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S-3 of Larimar Therapeutics, Inc. of our report dated March 14, 2024 relating to the financial statements, which appears in Larimar Therapeutics, Inc.’s Annual Report on Form 10-K for the year ended December 31, 2023. We also consent to the reference to us under the heading “Experts” in such Registration Statement.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9, 2024</w:t>
      </w:r>
    </w:p>
    <w:p>
      <w:pPr>
        <w:sectPr>
          <w:pgSz w:w="11900" w:h="16838" w:orient="portrait"/>
          <w:cols w:equalWidth="0" w:num="1">
            <w:col w:w="11020"/>
          </w:cols>
          <w:pgMar w:left="440" w:top="117" w:right="439" w:bottom="1440" w:gutter="0" w:footer="0" w:header="0"/>
        </w:sectPr>
      </w:pPr>
    </w:p>
    <w:bookmarkStart w:id="155" w:name="page156"/>
    <w:bookmarkEnd w:id="155"/>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50" w:lineRule="exact"/>
        <w:rPr>
          <w:sz w:val="20"/>
          <w:szCs w:val="20"/>
          <w:color w:val="auto"/>
        </w:rPr>
      </w:pPr>
    </w:p>
    <w:tbl>
      <w:tblPr>
        <w:tblLayout w:type="fixed"/>
        <w:tblInd w:w="74" w:type="dxa"/>
        <w:tblCellMar>
          <w:top w:w="0" w:type="dxa"/>
          <w:left w:w="0" w:type="dxa"/>
          <w:bottom w:w="0" w:type="dxa"/>
          <w:right w:w="0" w:type="dxa"/>
        </w:tblCellMar>
      </w:tblPr>
      <w:tr>
        <w:trPr>
          <w:trHeight w:val="144"/>
        </w:trPr>
        <w:tc>
          <w:tcPr>
            <w:tcW w:w="1200" w:type="dxa"/>
            <w:vAlign w:val="bottom"/>
            <w:tcBorders>
              <w:top w:val="single" w:sz="8" w:color="auto"/>
              <w:left w:val="single" w:sz="8" w:color="auto"/>
              <w:right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1160" w:type="dxa"/>
            <w:vAlign w:val="bottom"/>
            <w:tcBorders>
              <w:top w:val="single" w:sz="8" w:color="auto"/>
              <w:right w:val="single" w:sz="8" w:color="auto"/>
            </w:tcBorders>
          </w:tcPr>
          <w:p>
            <w:pPr>
              <w:spacing w:after="0"/>
              <w:rPr>
                <w:sz w:val="12"/>
                <w:szCs w:val="12"/>
                <w:color w:val="auto"/>
              </w:rPr>
            </w:pPr>
          </w:p>
        </w:tc>
        <w:tc>
          <w:tcPr>
            <w:tcW w:w="102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600" w:type="dxa"/>
            <w:vAlign w:val="bottom"/>
            <w:tcBorders>
              <w:top w:val="single" w:sz="8" w:color="auto"/>
              <w:right w:val="single" w:sz="8" w:color="auto"/>
            </w:tcBorders>
          </w:tcPr>
          <w:p>
            <w:pPr>
              <w:spacing w:after="0"/>
              <w:rPr>
                <w:sz w:val="12"/>
                <w:szCs w:val="12"/>
                <w:color w:val="auto"/>
              </w:rPr>
            </w:pPr>
          </w:p>
        </w:tc>
        <w:tc>
          <w:tcPr>
            <w:tcW w:w="600" w:type="dxa"/>
            <w:vAlign w:val="bottom"/>
            <w:tcBorders>
              <w:top w:val="single" w:sz="8" w:color="auto"/>
              <w:right w:val="single" w:sz="8" w:color="auto"/>
            </w:tcBorders>
          </w:tcPr>
          <w:p>
            <w:pPr>
              <w:spacing w:after="0"/>
              <w:rPr>
                <w:sz w:val="12"/>
                <w:szCs w:val="12"/>
                <w:color w:val="auto"/>
              </w:rPr>
            </w:pPr>
          </w:p>
        </w:tc>
        <w:tc>
          <w:tcPr>
            <w:tcW w:w="58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7"/>
              </w:rPr>
              <w:t>Filing Fee</w:t>
            </w:r>
          </w:p>
        </w:tc>
        <w:tc>
          <w:tcPr>
            <w:tcW w:w="0" w:type="dxa"/>
            <w:vAlign w:val="bottom"/>
          </w:tcPr>
          <w:p>
            <w:pPr>
              <w:spacing w:after="0"/>
              <w:rPr>
                <w:sz w:val="1"/>
                <w:szCs w:val="1"/>
                <w:color w:val="auto"/>
              </w:rPr>
            </w:pPr>
          </w:p>
        </w:tc>
      </w:tr>
      <w:tr>
        <w:trPr>
          <w:trHeight w:val="135"/>
        </w:trPr>
        <w:tc>
          <w:tcPr>
            <w:tcW w:w="1200" w:type="dxa"/>
            <w:vAlign w:val="bottom"/>
            <w:tcBorders>
              <w:left w:val="single" w:sz="8" w:color="auto"/>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Previously</w:t>
            </w:r>
          </w:p>
        </w:tc>
        <w:tc>
          <w:tcPr>
            <w:tcW w:w="0" w:type="dxa"/>
            <w:vAlign w:val="bottom"/>
          </w:tcPr>
          <w:p>
            <w:pPr>
              <w:spacing w:after="0"/>
              <w:rPr>
                <w:sz w:val="1"/>
                <w:szCs w:val="1"/>
                <w:color w:val="auto"/>
              </w:rPr>
            </w:pPr>
          </w:p>
        </w:tc>
      </w:tr>
      <w:tr>
        <w:trPr>
          <w:trHeight w:val="135"/>
        </w:trPr>
        <w:tc>
          <w:tcPr>
            <w:tcW w:w="1200" w:type="dxa"/>
            <w:vAlign w:val="bottom"/>
            <w:tcBorders>
              <w:left w:val="single" w:sz="8" w:color="auto"/>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Paid In</w:t>
            </w:r>
          </w:p>
        </w:tc>
        <w:tc>
          <w:tcPr>
            <w:tcW w:w="0" w:type="dxa"/>
            <w:vAlign w:val="bottom"/>
          </w:tcPr>
          <w:p>
            <w:pPr>
              <w:spacing w:after="0"/>
              <w:rPr>
                <w:sz w:val="1"/>
                <w:szCs w:val="1"/>
                <w:color w:val="auto"/>
              </w:rPr>
            </w:pPr>
          </w:p>
        </w:tc>
      </w:tr>
      <w:tr>
        <w:trPr>
          <w:trHeight w:val="135"/>
        </w:trPr>
        <w:tc>
          <w:tcPr>
            <w:tcW w:w="1200" w:type="dxa"/>
            <w:vAlign w:val="bottom"/>
            <w:tcBorders>
              <w:left w:val="single" w:sz="8" w:color="auto"/>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7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Proposed</w:t>
            </w:r>
          </w:p>
        </w:tc>
        <w:tc>
          <w:tcPr>
            <w:tcW w:w="116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4"/>
              </w:rPr>
              <w:t>Carry</w:t>
            </w:r>
          </w:p>
        </w:tc>
        <w:tc>
          <w:tcPr>
            <w:tcW w:w="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4"/>
              </w:rPr>
              <w:t>Carry</w:t>
            </w:r>
          </w:p>
        </w:tc>
        <w:tc>
          <w:tcPr>
            <w:tcW w:w="5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Carry</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Connection</w:t>
            </w:r>
          </w:p>
        </w:tc>
        <w:tc>
          <w:tcPr>
            <w:tcW w:w="0" w:type="dxa"/>
            <w:vAlign w:val="bottom"/>
          </w:tcPr>
          <w:p>
            <w:pPr>
              <w:spacing w:after="0"/>
              <w:rPr>
                <w:sz w:val="1"/>
                <w:szCs w:val="1"/>
                <w:color w:val="auto"/>
              </w:rPr>
            </w:pPr>
          </w:p>
        </w:tc>
      </w:tr>
      <w:tr>
        <w:trPr>
          <w:trHeight w:val="126"/>
        </w:trPr>
        <w:tc>
          <w:tcPr>
            <w:tcW w:w="1200" w:type="dxa"/>
            <w:vAlign w:val="bottom"/>
            <w:tcBorders>
              <w:left w:val="single" w:sz="8" w:color="auto"/>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6"/>
              </w:rPr>
              <w:t>Calculation</w:t>
            </w:r>
          </w:p>
        </w:tc>
        <w:tc>
          <w:tcPr>
            <w:tcW w:w="7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Maximum</w:t>
            </w:r>
          </w:p>
        </w:tc>
        <w:tc>
          <w:tcPr>
            <w:tcW w:w="116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Maximum</w:t>
            </w:r>
          </w:p>
        </w:tc>
        <w:tc>
          <w:tcPr>
            <w:tcW w:w="102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600" w:type="dxa"/>
            <w:vAlign w:val="bottom"/>
            <w:tcBorders>
              <w:right w:val="single" w:sz="8" w:color="auto"/>
            </w:tcBorders>
            <w:vMerge w:val="continue"/>
          </w:tcPr>
          <w:p>
            <w:pPr>
              <w:spacing w:after="0"/>
              <w:rPr>
                <w:sz w:val="10"/>
                <w:szCs w:val="10"/>
                <w:color w:val="auto"/>
              </w:rPr>
            </w:pPr>
          </w:p>
        </w:tc>
        <w:tc>
          <w:tcPr>
            <w:tcW w:w="600" w:type="dxa"/>
            <w:vAlign w:val="bottom"/>
            <w:tcBorders>
              <w:right w:val="single" w:sz="8" w:color="auto"/>
            </w:tcBorders>
            <w:vMerge w:val="continue"/>
          </w:tcPr>
          <w:p>
            <w:pPr>
              <w:spacing w:after="0"/>
              <w:rPr>
                <w:sz w:val="10"/>
                <w:szCs w:val="10"/>
                <w:color w:val="auto"/>
              </w:rPr>
            </w:pPr>
          </w:p>
        </w:tc>
        <w:tc>
          <w:tcPr>
            <w:tcW w:w="58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Forward</w:t>
            </w:r>
          </w:p>
        </w:tc>
        <w:tc>
          <w:tcPr>
            <w:tcW w:w="74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6"/>
              </w:rPr>
              <w:t>with Unsold</w:t>
            </w:r>
          </w:p>
        </w:tc>
        <w:tc>
          <w:tcPr>
            <w:tcW w:w="0" w:type="dxa"/>
            <w:vAlign w:val="bottom"/>
          </w:tcPr>
          <w:p>
            <w:pPr>
              <w:spacing w:after="0"/>
              <w:rPr>
                <w:sz w:val="1"/>
                <w:szCs w:val="1"/>
                <w:color w:val="auto"/>
              </w:rPr>
            </w:pPr>
          </w:p>
        </w:tc>
      </w:tr>
      <w:tr>
        <w:trPr>
          <w:trHeight w:val="135"/>
        </w:trPr>
        <w:tc>
          <w:tcPr>
            <w:tcW w:w="1200" w:type="dxa"/>
            <w:vAlign w:val="bottom"/>
            <w:tcBorders>
              <w:left w:val="single" w:sz="8" w:color="auto"/>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or Carry</w:t>
            </w:r>
          </w:p>
        </w:tc>
        <w:tc>
          <w:tcPr>
            <w:tcW w:w="700" w:type="dxa"/>
            <w:vAlign w:val="bottom"/>
            <w:tcBorders>
              <w:right w:val="single" w:sz="8" w:color="auto"/>
            </w:tcBorders>
          </w:tcPr>
          <w:p>
            <w:pPr>
              <w:jc w:val="right"/>
              <w:ind w:right="36"/>
              <w:spacing w:after="0" w:line="135" w:lineRule="exact"/>
              <w:rPr>
                <w:sz w:val="20"/>
                <w:szCs w:val="20"/>
                <w:color w:val="auto"/>
              </w:rPr>
            </w:pPr>
            <w:r>
              <w:rPr>
                <w:rFonts w:ascii="Times New Roman" w:cs="Times New Roman" w:eastAsia="Times New Roman" w:hAnsi="Times New Roman"/>
                <w:sz w:val="13"/>
                <w:szCs w:val="13"/>
                <w:color w:val="auto"/>
              </w:rPr>
              <w:t>Amount</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1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10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Amount of</w:t>
            </w:r>
          </w:p>
        </w:tc>
        <w:tc>
          <w:tcPr>
            <w:tcW w:w="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Forward</w:t>
            </w:r>
          </w:p>
        </w:tc>
        <w:tc>
          <w:tcPr>
            <w:tcW w:w="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5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Initial</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Securities to</w:t>
            </w:r>
          </w:p>
        </w:tc>
        <w:tc>
          <w:tcPr>
            <w:tcW w:w="0" w:type="dxa"/>
            <w:vAlign w:val="bottom"/>
          </w:tcPr>
          <w:p>
            <w:pPr>
              <w:spacing w:after="0"/>
              <w:rPr>
                <w:sz w:val="1"/>
                <w:szCs w:val="1"/>
                <w:color w:val="auto"/>
              </w:rPr>
            </w:pPr>
          </w:p>
        </w:tc>
      </w:tr>
      <w:tr>
        <w:trPr>
          <w:trHeight w:val="135"/>
        </w:trPr>
        <w:tc>
          <w:tcPr>
            <w:tcW w:w="1200" w:type="dxa"/>
            <w:vAlign w:val="bottom"/>
            <w:tcBorders>
              <w:left w:val="single" w:sz="8" w:color="auto"/>
              <w:right w:val="single" w:sz="8" w:color="auto"/>
            </w:tcBorders>
          </w:tcPr>
          <w:p>
            <w:pPr>
              <w:spacing w:after="0"/>
              <w:rPr>
                <w:sz w:val="11"/>
                <w:szCs w:val="11"/>
                <w:color w:val="auto"/>
              </w:rPr>
            </w:pPr>
          </w:p>
        </w:tc>
        <w:tc>
          <w:tcPr>
            <w:tcW w:w="10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0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Class</w:t>
            </w: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Forward</w:t>
            </w:r>
          </w:p>
        </w:tc>
        <w:tc>
          <w:tcPr>
            <w:tcW w:w="70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Registered</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Price Per</w:t>
            </w:r>
          </w:p>
        </w:tc>
        <w:tc>
          <w:tcPr>
            <w:tcW w:w="11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0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c>
          <w:tcPr>
            <w:tcW w:w="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Form</w:t>
            </w:r>
          </w:p>
        </w:tc>
        <w:tc>
          <w:tcPr>
            <w:tcW w:w="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File</w:t>
            </w:r>
          </w:p>
        </w:tc>
        <w:tc>
          <w:tcPr>
            <w:tcW w:w="5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Effective</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be Carried</w:t>
            </w:r>
          </w:p>
        </w:tc>
        <w:tc>
          <w:tcPr>
            <w:tcW w:w="0" w:type="dxa"/>
            <w:vAlign w:val="bottom"/>
          </w:tcPr>
          <w:p>
            <w:pPr>
              <w:spacing w:after="0"/>
              <w:rPr>
                <w:sz w:val="1"/>
                <w:szCs w:val="1"/>
                <w:color w:val="auto"/>
              </w:rPr>
            </w:pPr>
          </w:p>
        </w:tc>
      </w:tr>
      <w:tr>
        <w:trPr>
          <w:trHeight w:val="174"/>
        </w:trPr>
        <w:tc>
          <w:tcPr>
            <w:tcW w:w="1200" w:type="dxa"/>
            <w:vAlign w:val="bottom"/>
            <w:tcBorders>
              <w:left w:val="single" w:sz="8" w:color="auto"/>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Type</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Title</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Unit (2)</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Rate</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Type</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Number</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Date</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Forward</w:t>
            </w:r>
          </w:p>
        </w:tc>
        <w:tc>
          <w:tcPr>
            <w:tcW w:w="0" w:type="dxa"/>
            <w:vAlign w:val="bottom"/>
          </w:tcPr>
          <w:p>
            <w:pPr>
              <w:spacing w:after="0"/>
              <w:rPr>
                <w:sz w:val="1"/>
                <w:szCs w:val="1"/>
                <w:color w:val="auto"/>
              </w:rPr>
            </w:pPr>
          </w:p>
        </w:tc>
      </w:tr>
      <w:tr>
        <w:trPr>
          <w:trHeight w:val="233"/>
        </w:trPr>
        <w:tc>
          <w:tcPr>
            <w:tcW w:w="1200" w:type="dxa"/>
            <w:vAlign w:val="bottom"/>
            <w:tcBorders>
              <w:left w:val="single" w:sz="8" w:color="auto"/>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center"/>
              <w:ind w:left="356"/>
              <w:spacing w:after="0"/>
              <w:rPr>
                <w:sz w:val="20"/>
                <w:szCs w:val="20"/>
                <w:color w:val="auto"/>
              </w:rPr>
            </w:pPr>
            <w:r>
              <w:rPr>
                <w:rFonts w:ascii="Times New Roman" w:cs="Times New Roman" w:eastAsia="Times New Roman" w:hAnsi="Times New Roman"/>
                <w:sz w:val="18"/>
                <w:szCs w:val="18"/>
                <w:color w:val="auto"/>
                <w:w w:val="99"/>
              </w:rPr>
              <w:t>Newly Registered Securities</w:t>
            </w:r>
          </w:p>
        </w:tc>
        <w:tc>
          <w:tcPr>
            <w:tcW w:w="10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0" w:type="dxa"/>
            <w:vAlign w:val="bottom"/>
            <w:tcBorders>
              <w:left w:val="single" w:sz="8" w:color="auto"/>
              <w:bottom w:val="single" w:sz="8" w:color="auto"/>
            </w:tcBorders>
          </w:tcPr>
          <w:p>
            <w:pPr>
              <w:spacing w:after="0"/>
              <w:rPr>
                <w:sz w:val="20"/>
                <w:szCs w:val="20"/>
                <w:color w:val="auto"/>
              </w:rPr>
            </w:pPr>
          </w:p>
        </w:tc>
        <w:tc>
          <w:tcPr>
            <w:tcW w:w="280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8"/>
                <w:szCs w:val="18"/>
                <w:color w:val="auto"/>
              </w:rPr>
              <w:t>Primary Offering of Securities:</w:t>
            </w:r>
          </w:p>
        </w:tc>
        <w:tc>
          <w:tcPr>
            <w:tcW w:w="7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00" w:type="dxa"/>
            <w:vAlign w:val="bottom"/>
            <w:tcBorders>
              <w:left w:val="single" w:sz="8" w:color="auto"/>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w:t>
            </w:r>
          </w:p>
        </w:tc>
        <w:tc>
          <w:tcPr>
            <w:tcW w:w="7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Borders>
              <w:left w:val="single" w:sz="8" w:color="auto"/>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7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Borders>
              <w:left w:val="single" w:sz="8" w:color="auto"/>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w:t>
            </w:r>
          </w:p>
        </w:tc>
        <w:tc>
          <w:tcPr>
            <w:tcW w:w="7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Fees to Be</w:t>
            </w:r>
          </w:p>
        </w:tc>
        <w:tc>
          <w:tcPr>
            <w:tcW w:w="10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$0.001 per</w:t>
            </w:r>
          </w:p>
        </w:tc>
        <w:tc>
          <w:tcPr>
            <w:tcW w:w="7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20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share (3)</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Borders>
              <w:bottom w:val="single" w:sz="8" w:color="auto"/>
              <w:right w:val="single" w:sz="8" w:color="auto"/>
            </w:tcBorders>
          </w:tcPr>
          <w:p>
            <w:pPr>
              <w:spacing w:after="0"/>
              <w:rPr>
                <w:sz w:val="22"/>
                <w:szCs w:val="22"/>
                <w:color w:val="auto"/>
              </w:rPr>
            </w:pPr>
          </w:p>
        </w:tc>
        <w:tc>
          <w:tcPr>
            <w:tcW w:w="600" w:type="dxa"/>
            <w:vAlign w:val="bottom"/>
            <w:tcBorders>
              <w:bottom w:val="single" w:sz="8" w:color="auto"/>
              <w:right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200" w:type="dxa"/>
            <w:vAlign w:val="bottom"/>
            <w:tcBorders>
              <w:left w:val="single" w:sz="8" w:color="auto"/>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Preferred</w:t>
            </w:r>
          </w:p>
        </w:tc>
        <w:tc>
          <w:tcPr>
            <w:tcW w:w="7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Borders>
              <w:left w:val="single" w:sz="8" w:color="auto"/>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 par</w:t>
            </w:r>
          </w:p>
        </w:tc>
        <w:tc>
          <w:tcPr>
            <w:tcW w:w="7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Fees to Be</w:t>
            </w:r>
          </w:p>
        </w:tc>
        <w:tc>
          <w:tcPr>
            <w:tcW w:w="10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value $0.001</w:t>
            </w:r>
          </w:p>
        </w:tc>
        <w:tc>
          <w:tcPr>
            <w:tcW w:w="7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20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per share (4)</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200" w:type="dxa"/>
            <w:vAlign w:val="bottom"/>
            <w:tcBorders>
              <w:left w:val="single" w:sz="8" w:color="auto"/>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Debt</w:t>
            </w:r>
          </w:p>
        </w:tc>
        <w:tc>
          <w:tcPr>
            <w:tcW w:w="7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Fees to Be</w:t>
            </w:r>
          </w:p>
        </w:tc>
        <w:tc>
          <w:tcPr>
            <w:tcW w:w="10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Securities</w:t>
            </w:r>
          </w:p>
        </w:tc>
        <w:tc>
          <w:tcPr>
            <w:tcW w:w="7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20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Debt</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20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Fees to Be</w:t>
            </w:r>
          </w:p>
        </w:tc>
        <w:tc>
          <w:tcPr>
            <w:tcW w:w="10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20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Warrants (6)</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20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Fees to Be</w:t>
            </w:r>
          </w:p>
        </w:tc>
        <w:tc>
          <w:tcPr>
            <w:tcW w:w="10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20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Units (7)</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20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Fees to Be</w:t>
            </w:r>
          </w:p>
        </w:tc>
        <w:tc>
          <w:tcPr>
            <w:tcW w:w="10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Subscription</w:t>
            </w:r>
          </w:p>
        </w:tc>
        <w:tc>
          <w:tcPr>
            <w:tcW w:w="7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20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Rights</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200" w:type="dxa"/>
            <w:vAlign w:val="bottom"/>
            <w:tcBorders>
              <w:left w:val="single" w:sz="8" w:color="auto"/>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Unallocated</w:t>
            </w:r>
          </w:p>
        </w:tc>
        <w:tc>
          <w:tcPr>
            <w:tcW w:w="10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Fees to Be</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(Universal)</w:t>
            </w:r>
          </w:p>
        </w:tc>
        <w:tc>
          <w:tcPr>
            <w:tcW w:w="10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20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Shelf</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$300,000,000</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0.00014760</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$44,280</w:t>
            </w:r>
          </w:p>
        </w:tc>
        <w:tc>
          <w:tcPr>
            <w:tcW w:w="60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200" w:type="dxa"/>
            <w:vAlign w:val="bottom"/>
            <w:tcBorders>
              <w:left w:val="single" w:sz="8" w:color="auto"/>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center"/>
              <w:ind w:left="376"/>
              <w:spacing w:after="0"/>
              <w:rPr>
                <w:sz w:val="20"/>
                <w:szCs w:val="20"/>
                <w:color w:val="auto"/>
              </w:rPr>
            </w:pPr>
            <w:r>
              <w:rPr>
                <w:rFonts w:ascii="Times New Roman" w:cs="Times New Roman" w:eastAsia="Times New Roman" w:hAnsi="Times New Roman"/>
                <w:sz w:val="18"/>
                <w:szCs w:val="18"/>
                <w:color w:val="auto"/>
                <w:w w:val="99"/>
              </w:rPr>
              <w:t>Carry Forward Securities</w:t>
            </w:r>
          </w:p>
        </w:tc>
        <w:tc>
          <w:tcPr>
            <w:tcW w:w="10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0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Carry</w:t>
            </w:r>
          </w:p>
        </w:tc>
        <w:tc>
          <w:tcPr>
            <w:tcW w:w="10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Forward</w:t>
            </w:r>
          </w:p>
        </w:tc>
        <w:tc>
          <w:tcPr>
            <w:tcW w:w="10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20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Securities</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9"/>
        </w:trPr>
        <w:tc>
          <w:tcPr>
            <w:tcW w:w="120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6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Total Offering Amounts </w:t>
            </w:r>
          </w:p>
        </w:tc>
        <w:tc>
          <w:tcPr>
            <w:tcW w:w="7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$300,000,000</w:t>
            </w:r>
          </w:p>
        </w:tc>
        <w:tc>
          <w:tcPr>
            <w:tcW w:w="10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$44,280</w:t>
            </w:r>
          </w:p>
        </w:tc>
        <w:tc>
          <w:tcPr>
            <w:tcW w:w="60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6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Total Fees Previously Paid </w:t>
            </w:r>
          </w:p>
        </w:tc>
        <w:tc>
          <w:tcPr>
            <w:tcW w:w="7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Total Fee Offsets </w:t>
            </w:r>
          </w:p>
        </w:tc>
        <w:tc>
          <w:tcPr>
            <w:tcW w:w="7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Net Fee Due </w:t>
            </w:r>
          </w:p>
        </w:tc>
        <w:tc>
          <w:tcPr>
            <w:tcW w:w="7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$44,280</w:t>
            </w:r>
          </w:p>
        </w:tc>
        <w:tc>
          <w:tcPr>
            <w:tcW w:w="60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20" w:hanging="424"/>
        <w:spacing w:after="0" w:line="252" w:lineRule="auto"/>
        <w:tabs>
          <w:tab w:leader="none" w:pos="42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to be registered consists of up to $300,000,000 of an indeterminate amount of common stock, preferred stock, debt securities, warrants, units and/or subscription rights. There is also being registered hereunder such currently indeterminate number of (i) shares of common stock or other securities of the registrant as may be issued upon conversion of, or in exchange for, convertible or exchangeable debt securities and/or preferred stock registered hereby, or (ii) shares of debt securities, common stock or preferred stock as may be issued upon exercise of warrants registered hereby, as the case may be, including under any applicable antidilution provisions. Any securities registered hereunder may be sold separately or together with other securities registered hereunder.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w:t>
      </w:r>
    </w:p>
    <w:p>
      <w:pPr>
        <w:spacing w:after="0" w:line="6" w:lineRule="exact"/>
        <w:rPr>
          <w:rFonts w:ascii="Times New Roman" w:cs="Times New Roman" w:eastAsia="Times New Roman" w:hAnsi="Times New Roman"/>
          <w:sz w:val="18"/>
          <w:szCs w:val="18"/>
          <w:color w:val="auto"/>
        </w:rPr>
      </w:pPr>
    </w:p>
    <w:p>
      <w:pPr>
        <w:ind w:left="424" w:right="200" w:hanging="424"/>
        <w:spacing w:after="0" w:line="250" w:lineRule="auto"/>
        <w:tabs>
          <w:tab w:leader="none" w:pos="42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offering price per security will be determined from time to time by the registrant in connection with the issuance by the registrant of the securities registered hereunder and is not specified as to each class of security pursuant to General Instruction II.D. of</w:t>
      </w: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S-3 under the Securities Act.</w:t>
      </w:r>
    </w:p>
    <w:p>
      <w:pPr>
        <w:spacing w:after="0" w:line="9" w:lineRule="exact"/>
        <w:rPr>
          <w:rFonts w:ascii="Times New Roman" w:cs="Times New Roman" w:eastAsia="Times New Roman" w:hAnsi="Times New Roman"/>
          <w:sz w:val="18"/>
          <w:szCs w:val="18"/>
          <w:color w:val="auto"/>
        </w:rPr>
      </w:pPr>
    </w:p>
    <w:p>
      <w:pPr>
        <w:ind w:left="424" w:right="380" w:hanging="424"/>
        <w:spacing w:after="0" w:line="250" w:lineRule="auto"/>
        <w:tabs>
          <w:tab w:leader="none" w:pos="42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such indeterminate amount of common stock as may be issued from time to time at indeterminate prices or upon conversion of debt securities and/or preferred stock registered hereby, or upon exercise of warrants registered hereby, as the case may be.</w:t>
      </w:r>
    </w:p>
    <w:p>
      <w:pPr>
        <w:ind w:left="424" w:right="340" w:hanging="424"/>
        <w:spacing w:after="0" w:line="250" w:lineRule="auto"/>
        <w:tabs>
          <w:tab w:leader="none" w:pos="42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such indeterminate amount of preferred stock as may be issued from time to time at indeterminate prices or upon conversion of debt securities and/or preferred stock registered hereby, or upon exercise of warrants registered hereby, as the case may be.</w:t>
      </w:r>
    </w:p>
    <w:p>
      <w:pPr>
        <w:ind w:left="424" w:right="260" w:hanging="424"/>
        <w:spacing w:after="0" w:line="250" w:lineRule="auto"/>
        <w:tabs>
          <w:tab w:leader="none" w:pos="42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such indeterminate principal amount of debt securities as may be issued from time to time at indeterminate prices or upon exercise of warrants registered hereby, as the case may be.</w:t>
      </w:r>
    </w:p>
    <w:p>
      <w:pPr>
        <w:jc w:val="both"/>
        <w:ind w:left="424" w:right="460" w:hanging="424"/>
        <w:spacing w:after="0" w:line="250" w:lineRule="auto"/>
        <w:tabs>
          <w:tab w:leader="none" w:pos="42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may be sold separately or together with any of the securities registered hereby and may be exercisable for shares of common stock, preferred stock, debt securities, or units registered hereby. Because the warrants will provide a right only to purchase such securities offered hereunder, no additional registration fee is required.</w:t>
      </w:r>
    </w:p>
    <w:p>
      <w:pPr>
        <w:spacing w:after="0" w:line="1" w:lineRule="exact"/>
        <w:rPr>
          <w:rFonts w:ascii="Times New Roman" w:cs="Times New Roman" w:eastAsia="Times New Roman" w:hAnsi="Times New Roman"/>
          <w:sz w:val="18"/>
          <w:szCs w:val="18"/>
          <w:color w:val="auto"/>
        </w:rPr>
      </w:pPr>
    </w:p>
    <w:p>
      <w:pPr>
        <w:ind w:left="424" w:right="300" w:hanging="424"/>
        <w:spacing w:after="0" w:line="255" w:lineRule="auto"/>
        <w:tabs>
          <w:tab w:leader="none" w:pos="42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unit will be issued under a unit agreement and will represent an interest in two or more securities registered pursuant to this registration statement, which may or may not be separable from one another. Because the units will provide a right only to purchase such securities offered hereunder, no additional registration fee is required.</w:t>
      </w:r>
    </w:p>
    <w:sectPr>
      <w:pgSz w:w="11900" w:h="16862" w:orient="portrait"/>
      <w:cols w:equalWidth="0" w:num="1">
        <w:col w:w="11024"/>
      </w:cols>
      <w:pgMar w:left="436" w:top="117" w:right="43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BABF00"/>
    <w:multiLevelType w:val="hybridMultilevel"/>
    <w:lvl w:ilvl="0">
      <w:lvlJc w:val="left"/>
      <w:lvlText w:val="•"/>
      <w:numFmt w:val="bullet"/>
      <w:start w:val="1"/>
    </w:lvl>
  </w:abstractNum>
  <w:abstractNum w:abstractNumId="1">
    <w:nsid w:val="4AD084E9"/>
    <w:multiLevelType w:val="hybridMultilevel"/>
    <w:lvl w:ilvl="0">
      <w:lvlJc w:val="left"/>
      <w:lvlText w:val="•"/>
      <w:numFmt w:val="bullet"/>
      <w:start w:val="1"/>
    </w:lvl>
  </w:abstractNum>
  <w:abstractNum w:abstractNumId="2">
    <w:nsid w:val="1F48EAA1"/>
    <w:multiLevelType w:val="hybridMultilevel"/>
    <w:lvl w:ilvl="0">
      <w:lvlJc w:val="left"/>
      <w:lvlText w:val="(%1)"/>
      <w:numFmt w:val="decimal"/>
      <w:start w:val="844"/>
    </w:lvl>
  </w:abstractNum>
  <w:abstractNum w:abstractNumId="3">
    <w:nsid w:val="1381823A"/>
    <w:multiLevelType w:val="hybridMultilevel"/>
    <w:lvl w:ilvl="0">
      <w:lvlJc w:val="left"/>
      <w:lvlText w:val="•"/>
      <w:numFmt w:val="bullet"/>
      <w:start w:val="1"/>
    </w:lvl>
  </w:abstractNum>
  <w:abstractNum w:abstractNumId="4">
    <w:nsid w:val="5DB70AE5"/>
    <w:multiLevelType w:val="hybridMultilevel"/>
    <w:lvl w:ilvl="0">
      <w:lvlJc w:val="left"/>
      <w:lvlText w:val="•"/>
      <w:numFmt w:val="bullet"/>
      <w:start w:val="1"/>
    </w:lvl>
  </w:abstractNum>
  <w:abstractNum w:abstractNumId="5">
    <w:nsid w:val="100F8FCA"/>
    <w:multiLevelType w:val="hybridMultilevel"/>
    <w:lvl w:ilvl="0">
      <w:lvlJc w:val="left"/>
      <w:lvlText w:val="•"/>
      <w:numFmt w:val="bullet"/>
      <w:start w:val="1"/>
    </w:lvl>
  </w:abstractNum>
  <w:abstractNum w:abstractNumId="6">
    <w:nsid w:val="6590700B"/>
    <w:multiLevelType w:val="hybridMultilevel"/>
    <w:lvl w:ilvl="0">
      <w:lvlJc w:val="left"/>
      <w:lvlText w:val="•"/>
      <w:numFmt w:val="bullet"/>
      <w:start w:val="1"/>
    </w:lvl>
  </w:abstractNum>
  <w:abstractNum w:abstractNumId="7">
    <w:nsid w:val="15014ACB"/>
    <w:multiLevelType w:val="hybridMultilevel"/>
    <w:lvl w:ilvl="0">
      <w:lvlJc w:val="left"/>
      <w:lvlText w:val="•"/>
      <w:numFmt w:val="bullet"/>
      <w:start w:val="1"/>
    </w:lvl>
  </w:abstractNum>
  <w:abstractNum w:abstractNumId="8">
    <w:nsid w:val="5F5E7FD0"/>
    <w:multiLevelType w:val="hybridMultilevel"/>
    <w:lvl w:ilvl="0">
      <w:lvlJc w:val="left"/>
      <w:lvlText w:val="•"/>
      <w:numFmt w:val="bullet"/>
      <w:start w:val="1"/>
    </w:lvl>
  </w:abstractNum>
  <w:abstractNum w:abstractNumId="9">
    <w:nsid w:val="98A3148"/>
    <w:multiLevelType w:val="hybridMultilevel"/>
    <w:lvl w:ilvl="0">
      <w:lvlJc w:val="left"/>
      <w:lvlText w:val="•"/>
      <w:numFmt w:val="bullet"/>
      <w:start w:val="1"/>
    </w:lvl>
  </w:abstractNum>
  <w:abstractNum w:abstractNumId="10">
    <w:nsid w:val="799D0247"/>
    <w:multiLevelType w:val="hybridMultilevel"/>
    <w:lvl w:ilvl="0">
      <w:lvlJc w:val="left"/>
      <w:lvlText w:val="•"/>
      <w:numFmt w:val="bullet"/>
      <w:start w:val="1"/>
    </w:lvl>
  </w:abstractNum>
  <w:abstractNum w:abstractNumId="11">
    <w:nsid w:val="6B94764"/>
    <w:multiLevelType w:val="hybridMultilevel"/>
    <w:lvl w:ilvl="0">
      <w:lvlJc w:val="left"/>
      <w:lvlText w:val="•"/>
      <w:numFmt w:val="bullet"/>
      <w:start w:val="1"/>
    </w:lvl>
  </w:abstractNum>
  <w:abstractNum w:abstractNumId="12">
    <w:nsid w:val="42C296BD"/>
    <w:multiLevelType w:val="hybridMultilevel"/>
    <w:lvl w:ilvl="0">
      <w:lvlJc w:val="left"/>
      <w:lvlText w:val="•"/>
      <w:numFmt w:val="bullet"/>
      <w:start w:val="1"/>
    </w:lvl>
  </w:abstractNum>
  <w:abstractNum w:abstractNumId="13">
    <w:nsid w:val="168E121F"/>
    <w:multiLevelType w:val="hybridMultilevel"/>
    <w:lvl w:ilvl="0">
      <w:lvlJc w:val="left"/>
      <w:lvlText w:val="•"/>
      <w:numFmt w:val="bullet"/>
      <w:start w:val="1"/>
    </w:lvl>
  </w:abstractNum>
  <w:abstractNum w:abstractNumId="14">
    <w:nsid w:val="1EBA5D23"/>
    <w:multiLevelType w:val="hybridMultilevel"/>
    <w:lvl w:ilvl="0">
      <w:lvlJc w:val="left"/>
      <w:lvlText w:val="•"/>
      <w:numFmt w:val="bullet"/>
      <w:start w:val="1"/>
    </w:lvl>
  </w:abstractNum>
  <w:abstractNum w:abstractNumId="15">
    <w:nsid w:val="661E3F1E"/>
    <w:multiLevelType w:val="hybridMultilevel"/>
    <w:lvl w:ilvl="0">
      <w:lvlJc w:val="left"/>
      <w:lvlText w:val="•"/>
      <w:numFmt w:val="bullet"/>
      <w:start w:val="1"/>
    </w:lvl>
  </w:abstractNum>
  <w:abstractNum w:abstractNumId="16">
    <w:nsid w:val="5DC79EA8"/>
    <w:multiLevelType w:val="hybridMultilevel"/>
    <w:lvl w:ilvl="0">
      <w:lvlJc w:val="left"/>
      <w:lvlText w:val="•"/>
      <w:numFmt w:val="bullet"/>
      <w:start w:val="1"/>
    </w:lvl>
  </w:abstractNum>
  <w:abstractNum w:abstractNumId="17">
    <w:nsid w:val="540A471C"/>
    <w:multiLevelType w:val="hybridMultilevel"/>
    <w:lvl w:ilvl="0">
      <w:lvlJc w:val="left"/>
      <w:lvlText w:val="•"/>
      <w:numFmt w:val="bullet"/>
      <w:start w:val="1"/>
    </w:lvl>
  </w:abstractNum>
  <w:abstractNum w:abstractNumId="18">
    <w:nsid w:val="7BD3EE7B"/>
    <w:multiLevelType w:val="hybridMultilevel"/>
    <w:lvl w:ilvl="0">
      <w:lvlJc w:val="left"/>
      <w:lvlText w:val="•"/>
      <w:numFmt w:val="bullet"/>
      <w:start w:val="1"/>
    </w:lvl>
  </w:abstractNum>
  <w:abstractNum w:abstractNumId="19">
    <w:nsid w:val="51D9C564"/>
    <w:multiLevelType w:val="hybridMultilevel"/>
    <w:lvl w:ilvl="0">
      <w:lvlJc w:val="left"/>
      <w:lvlText w:val="•"/>
      <w:numFmt w:val="bullet"/>
      <w:start w:val="1"/>
    </w:lvl>
  </w:abstractNum>
  <w:abstractNum w:abstractNumId="20">
    <w:nsid w:val="613EFDC5"/>
    <w:multiLevelType w:val="hybridMultilevel"/>
    <w:lvl w:ilvl="0">
      <w:lvlJc w:val="left"/>
      <w:lvlText w:val="•"/>
      <w:numFmt w:val="bullet"/>
      <w:start w:val="1"/>
    </w:lvl>
  </w:abstractNum>
  <w:abstractNum w:abstractNumId="21">
    <w:nsid w:val="BF72B14"/>
    <w:multiLevelType w:val="hybridMultilevel"/>
    <w:lvl w:ilvl="0">
      <w:lvlJc w:val="left"/>
      <w:lvlText w:val="•"/>
      <w:numFmt w:val="bullet"/>
      <w:start w:val="1"/>
    </w:lvl>
  </w:abstractNum>
  <w:abstractNum w:abstractNumId="22">
    <w:nsid w:val="11447B73"/>
    <w:multiLevelType w:val="hybridMultilevel"/>
    <w:lvl w:ilvl="0">
      <w:lvlJc w:val="left"/>
      <w:lvlText w:val="•"/>
      <w:numFmt w:val="bullet"/>
      <w:start w:val="1"/>
    </w:lvl>
  </w:abstractNum>
  <w:abstractNum w:abstractNumId="23">
    <w:nsid w:val="42963E5A"/>
    <w:multiLevelType w:val="hybridMultilevel"/>
    <w:lvl w:ilvl="0">
      <w:lvlJc w:val="left"/>
      <w:lvlText w:val="•"/>
      <w:numFmt w:val="bullet"/>
      <w:start w:val="1"/>
    </w:lvl>
  </w:abstractNum>
  <w:abstractNum w:abstractNumId="24">
    <w:nsid w:val="A0382C5"/>
    <w:multiLevelType w:val="hybridMultilevel"/>
    <w:lvl w:ilvl="0">
      <w:lvlJc w:val="left"/>
      <w:lvlText w:val="•"/>
      <w:numFmt w:val="bullet"/>
      <w:start w:val="1"/>
    </w:lvl>
  </w:abstractNum>
  <w:abstractNum w:abstractNumId="25">
    <w:nsid w:val="8F2B15E"/>
    <w:multiLevelType w:val="hybridMultilevel"/>
    <w:lvl w:ilvl="0">
      <w:lvlJc w:val="left"/>
      <w:lvlText w:val="(%1)"/>
      <w:numFmt w:val="decimal"/>
      <w:start w:val="844"/>
    </w:lvl>
  </w:abstractNum>
  <w:abstractNum w:abstractNumId="26">
    <w:nsid w:val="1A32234B"/>
    <w:multiLevelType w:val="hybridMultilevel"/>
    <w:lvl w:ilvl="0">
      <w:lvlJc w:val="left"/>
      <w:lvlText w:val="•"/>
      <w:numFmt w:val="bullet"/>
      <w:start w:val="1"/>
    </w:lvl>
  </w:abstractNum>
  <w:abstractNum w:abstractNumId="27">
    <w:nsid w:val="3B0FD379"/>
    <w:multiLevelType w:val="hybridMultilevel"/>
    <w:lvl w:ilvl="0">
      <w:lvlJc w:val="left"/>
      <w:lvlText w:val="•"/>
      <w:numFmt w:val="bullet"/>
      <w:start w:val="1"/>
    </w:lvl>
  </w:abstractNum>
  <w:abstractNum w:abstractNumId="28">
    <w:nsid w:val="68EB2F63"/>
    <w:multiLevelType w:val="hybridMultilevel"/>
    <w:lvl w:ilvl="0">
      <w:lvlJc w:val="left"/>
      <w:lvlText w:val="•"/>
      <w:numFmt w:val="bullet"/>
      <w:start w:val="1"/>
    </w:lvl>
  </w:abstractNum>
  <w:abstractNum w:abstractNumId="29">
    <w:nsid w:val="4962813B"/>
    <w:multiLevelType w:val="hybridMultilevel"/>
    <w:lvl w:ilvl="0">
      <w:lvlJc w:val="left"/>
      <w:lvlText w:val="•"/>
      <w:numFmt w:val="bullet"/>
      <w:start w:val="1"/>
    </w:lvl>
  </w:abstractNum>
  <w:abstractNum w:abstractNumId="30">
    <w:nsid w:val="60B6DF70"/>
    <w:multiLevelType w:val="hybridMultilevel"/>
    <w:lvl w:ilvl="0">
      <w:lvlJc w:val="left"/>
      <w:lvlText w:val="•"/>
      <w:numFmt w:val="bullet"/>
      <w:start w:val="1"/>
    </w:lvl>
  </w:abstractNum>
  <w:abstractNum w:abstractNumId="31">
    <w:nsid w:val="6A5EE64"/>
    <w:multiLevelType w:val="hybridMultilevel"/>
    <w:lvl w:ilvl="0">
      <w:lvlJc w:val="left"/>
      <w:lvlText w:val="•"/>
      <w:numFmt w:val="bullet"/>
      <w:start w:val="1"/>
    </w:lvl>
  </w:abstractNum>
  <w:abstractNum w:abstractNumId="32">
    <w:nsid w:val="14330624"/>
    <w:multiLevelType w:val="hybridMultilevel"/>
    <w:lvl w:ilvl="0">
      <w:lvlJc w:val="left"/>
      <w:lvlText w:val="•"/>
      <w:numFmt w:val="bullet"/>
      <w:start w:val="1"/>
    </w:lvl>
  </w:abstractNum>
  <w:abstractNum w:abstractNumId="33">
    <w:nsid w:val="7FFFCA11"/>
    <w:multiLevelType w:val="hybridMultilevel"/>
    <w:lvl w:ilvl="0">
      <w:lvlJc w:val="left"/>
      <w:lvlText w:val="•"/>
      <w:numFmt w:val="bullet"/>
      <w:start w:val="1"/>
    </w:lvl>
  </w:abstractNum>
  <w:abstractNum w:abstractNumId="34">
    <w:nsid w:val="1A27709E"/>
    <w:multiLevelType w:val="hybridMultilevel"/>
    <w:lvl w:ilvl="0">
      <w:lvlJc w:val="left"/>
      <w:lvlText w:val="(%1)"/>
      <w:numFmt w:val="decimal"/>
      <w:start w:val="1"/>
    </w:lvl>
  </w:abstractNum>
  <w:abstractNum w:abstractNumId="35">
    <w:nsid w:val="71EA1109"/>
    <w:multiLevelType w:val="hybridMultilevel"/>
    <w:lvl w:ilvl="0">
      <w:lvlJc w:val="left"/>
      <w:lvlText w:val="•"/>
      <w:numFmt w:val="bullet"/>
      <w:start w:val="1"/>
    </w:lvl>
  </w:abstractNum>
  <w:abstractNum w:abstractNumId="36">
    <w:nsid w:val="100F59DC"/>
    <w:multiLevelType w:val="hybridMultilevel"/>
    <w:lvl w:ilvl="0">
      <w:lvlJc w:val="left"/>
      <w:lvlText w:val="•"/>
      <w:numFmt w:val="bullet"/>
      <w:start w:val="1"/>
    </w:lvl>
  </w:abstractNum>
  <w:abstractNum w:abstractNumId="37">
    <w:nsid w:val="7FB7E0AA"/>
    <w:multiLevelType w:val="hybridMultilevel"/>
    <w:lvl w:ilvl="0">
      <w:lvlJc w:val="left"/>
      <w:lvlText w:val="(%1)"/>
      <w:numFmt w:val="lowerLetter"/>
      <w:start w:val="1"/>
    </w:lvl>
  </w:abstractNum>
  <w:abstractNum w:abstractNumId="38">
    <w:nsid w:val="6EB5BD4"/>
    <w:multiLevelType w:val="hybridMultilevel"/>
    <w:lvl w:ilvl="0">
      <w:lvlJc w:val="left"/>
      <w:lvlText w:val="%1"/>
      <w:numFmt w:val="decimal"/>
      <w:start w:val="107"/>
    </w:lvl>
  </w:abstractNum>
  <w:abstractNum w:abstractNumId="39">
    <w:nsid w:val="6F6DD9AC"/>
    <w:multiLevelType w:val="hybridMultilevel"/>
    <w:lvl w:ilvl="0">
      <w:lvlJc w:val="left"/>
      <w:lvlText w:val="*"/>
      <w:numFmt w:val="bullet"/>
      <w:start w:val="1"/>
    </w:lvl>
  </w:abstractNum>
  <w:abstractNum w:abstractNumId="40">
    <w:nsid w:val="94211F2"/>
    <w:multiLevelType w:val="hybridMultilevel"/>
    <w:lvl w:ilvl="0">
      <w:lvlJc w:val="left"/>
      <w:lvlText w:val="(%1)"/>
      <w:numFmt w:val="decimal"/>
      <w:start w:val="1"/>
    </w:lvl>
  </w:abstractNum>
  <w:abstractNum w:abstractNumId="41">
    <w:nsid w:val="885E1B"/>
    <w:multiLevelType w:val="hybridMultilevel"/>
    <w:lvl w:ilvl="0">
      <w:lvlJc w:val="left"/>
      <w:lvlText w:val="(%1)"/>
      <w:numFmt w:val="lowerRoman"/>
      <w:start w:val="2"/>
    </w:lvl>
  </w:abstractNum>
  <w:abstractNum w:abstractNumId="42">
    <w:nsid w:val="76272110"/>
    <w:multiLevelType w:val="hybridMultilevel"/>
    <w:lvl w:ilvl="0">
      <w:lvlJc w:val="left"/>
      <w:lvlText w:val="(%1)"/>
      <w:numFmt w:val="decimal"/>
      <w:start w:val="2"/>
    </w:lvl>
  </w:abstractNum>
  <w:abstractNum w:abstractNumId="43">
    <w:nsid w:val="4C04A8AF"/>
    <w:multiLevelType w:val="hybridMultilevel"/>
    <w:lvl w:ilvl="0">
      <w:lvlJc w:val="left"/>
      <w:lvlText w:val="(%1)"/>
      <w:numFmt w:val="lowerRoman"/>
      <w:start w:val="1"/>
    </w:lvl>
  </w:abstractNum>
  <w:abstractNum w:abstractNumId="44">
    <w:nsid w:val="1716703B"/>
    <w:multiLevelType w:val="hybridMultilevel"/>
    <w:lvl w:ilvl="0">
      <w:lvlJc w:val="left"/>
      <w:lvlText w:val="(%1)"/>
      <w:numFmt w:val="decimal"/>
      <w:start w:val="6"/>
    </w:lvl>
  </w:abstractNum>
  <w:abstractNum w:abstractNumId="45">
    <w:nsid w:val="14E17E33"/>
    <w:multiLevelType w:val="hybridMultilevel"/>
    <w:lvl w:ilvl="0">
      <w:lvlJc w:val="left"/>
      <w:lvlText w:val="(%1)"/>
      <w:numFmt w:val="lowerRoman"/>
      <w:start w:val="1"/>
    </w:lvl>
  </w:abstractNum>
  <w:abstractNum w:abstractNumId="46">
    <w:nsid w:val="3222E7CD"/>
    <w:multiLevelType w:val="hybridMultilevel"/>
    <w:lvl w:ilvl="0">
      <w:lvlJc w:val="left"/>
      <w:lvlText w:val="(%1)"/>
      <w:numFmt w:val="lowerLetter"/>
      <w:start w:val="2"/>
    </w:lvl>
  </w:abstractNum>
  <w:abstractNum w:abstractNumId="47">
    <w:nsid w:val="74DE0EE3"/>
    <w:multiLevelType w:val="hybridMultilevel"/>
    <w:lvl w:ilvl="0">
      <w:lvlJc w:val="left"/>
      <w:lvlText w:val="(%1)"/>
      <w:numFmt w:val="lowerLetter"/>
      <w:start w:val="8"/>
    </w:lvl>
  </w:abstractNum>
  <w:abstractNum w:abstractNumId="48">
    <w:nsid w:val="68EBC550"/>
    <w:multiLevelType w:val="hybridMultilevel"/>
    <w:lvl w:ilvl="0">
      <w:lvlJc w:val="left"/>
      <w:lvlText w:val="(%1)"/>
      <w:numFmt w:val="lowerLetter"/>
      <w:start w:val="10"/>
    </w:lvl>
  </w:abstractNum>
  <w:abstractNum w:abstractNumId="49">
    <w:nsid w:val="2DF6D64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50">
    <w:nsid w:val="46B7D447"/>
    <w:multiLevelType w:val="hybridMultilevel"/>
    <w:lvl w:ilvl="0">
      <w:lvlJc w:val="left"/>
      <w:lvlText w:val="(%1)"/>
      <w:numFmt w:val="lowerRoman"/>
      <w:start w:val="2"/>
    </w:lvl>
  </w:abstractNum>
  <w:abstractNum w:abstractNumId="51">
    <w:nsid w:val="4A2AC315"/>
    <w:multiLevelType w:val="hybridMultilevel"/>
    <w:lvl w:ilvl="0">
      <w:lvlJc w:val="left"/>
      <w:lvlText w:val="(%1)"/>
      <w:numFmt w:val="lowerRoman"/>
      <w:start w:val="4"/>
    </w:lvl>
  </w:abstractNum>
  <w:abstractNum w:abstractNumId="52">
    <w:nsid w:val="39EE015C"/>
    <w:multiLevelType w:val="hybridMultilevel"/>
    <w:lvl w:ilvl="0">
      <w:lvlJc w:val="left"/>
      <w:lvlText w:val="(%1)"/>
      <w:numFmt w:val="lowerRoman"/>
      <w:start w:val="8"/>
    </w:lvl>
  </w:abstractNum>
  <w:abstractNum w:abstractNumId="53">
    <w:nsid w:val="57FC4FBB"/>
    <w:multiLevelType w:val="hybridMultilevel"/>
    <w:lvl w:ilvl="0">
      <w:lvlJc w:val="left"/>
      <w:lvlText w:val="%1"/>
      <w:numFmt w:val="lowerRoman"/>
      <w:start w:val="1"/>
    </w:lvl>
    <w:lvl w:ilvl="1">
      <w:lvlJc w:val="left"/>
      <w:lvlText w:val="(%2)"/>
      <w:numFmt w:val="lowerRoman"/>
      <w:start w:val="11"/>
    </w:lvl>
  </w:abstractNum>
  <w:abstractNum w:abstractNumId="54">
    <w:nsid w:val="CC1016F"/>
    <w:multiLevelType w:val="hybridMultilevel"/>
    <w:lvl w:ilvl="0">
      <w:lvlJc w:val="left"/>
      <w:lvlText w:val="(%1)"/>
      <w:numFmt w:val="lowerRoman"/>
      <w:start w:val="3"/>
    </w:lvl>
    <w:lvl w:ilvl="1">
      <w:lvlJc w:val="left"/>
      <w:lvlText w:val="(%2)"/>
      <w:numFmt w:val="lowerRoman"/>
      <w:start w:val="14"/>
    </w:lvl>
  </w:abstractNum>
  <w:abstractNum w:abstractNumId="55">
    <w:nsid w:val="43F18422"/>
    <w:multiLevelType w:val="hybridMultilevel"/>
    <w:lvl w:ilvl="0">
      <w:lvlJc w:val="left"/>
      <w:lvlText w:val="(%1)"/>
      <w:numFmt w:val="lowerRoman"/>
      <w:start w:val="15"/>
    </w:lvl>
  </w:abstractNum>
  <w:abstractNum w:abstractNumId="56">
    <w:nsid w:val="60EF0119"/>
    <w:multiLevelType w:val="hybridMultilevel"/>
    <w:lvl w:ilvl="0">
      <w:lvlJc w:val="left"/>
      <w:lvlText w:val="(%1)"/>
      <w:numFmt w:val="lowerRoman"/>
      <w:start w:val="18"/>
    </w:lvl>
  </w:abstractNum>
  <w:abstractNum w:abstractNumId="57">
    <w:nsid w:val="26F324BA"/>
    <w:multiLevelType w:val="hybridMultilevel"/>
    <w:lvl w:ilvl="0">
      <w:lvlJc w:val="left"/>
      <w:lvlText w:val="(%1)"/>
      <w:numFmt w:val="upperLetter"/>
      <w:start w:val="8"/>
    </w:lvl>
  </w:abstractNum>
  <w:abstractNum w:abstractNumId="58">
    <w:nsid w:val="7F01579B"/>
    <w:multiLevelType w:val="hybridMultilevel"/>
    <w:lvl w:ilvl="0">
      <w:lvlJc w:val="left"/>
      <w:lvlText w:val="(%1)"/>
      <w:numFmt w:val="lowerRoman"/>
      <w:start w:val="22"/>
    </w:lvl>
  </w:abstractNum>
  <w:abstractNum w:abstractNumId="59">
    <w:nsid w:val="49DA307D"/>
    <w:multiLevelType w:val="hybridMultilevel"/>
    <w:lvl w:ilvl="0">
      <w:lvlJc w:val="left"/>
      <w:lvlText w:val="(%1)"/>
      <w:numFmt w:val="lowerRoman"/>
      <w:start w:val="24"/>
    </w:lvl>
  </w:abstractNum>
  <w:abstractNum w:abstractNumId="60">
    <w:nsid w:val="7055A5F5"/>
    <w:multiLevelType w:val="hybridMultilevel"/>
    <w:lvl w:ilvl="0">
      <w:lvlJc w:val="left"/>
      <w:lvlText w:val="(%1)"/>
      <w:numFmt w:val="lowerRoman"/>
      <w:start w:val="27"/>
    </w:lvl>
  </w:abstractNum>
  <w:abstractNum w:abstractNumId="61">
    <w:nsid w:val="5FB8370B"/>
    <w:multiLevelType w:val="hybridMultilevel"/>
    <w:lvl w:ilvl="0">
      <w:lvlJc w:val="left"/>
      <w:lvlText w:val="%1"/>
      <w:numFmt w:val="lowerRoman"/>
      <w:start w:val="1"/>
    </w:lvl>
    <w:lvl w:ilvl="1">
      <w:lvlJc w:val="left"/>
      <w:lvlText w:val="(%2)"/>
      <w:numFmt w:val="lowerRoman"/>
      <w:start w:val="32"/>
    </w:lvl>
  </w:abstractNum>
  <w:abstractNum w:abstractNumId="62">
    <w:nsid w:val="50801EE1"/>
    <w:multiLevelType w:val="hybridMultilevel"/>
    <w:lvl w:ilvl="0">
      <w:lvlJc w:val="left"/>
      <w:lvlText w:val="(%1)"/>
      <w:numFmt w:val="lowerRoman"/>
      <w:start w:val="1"/>
    </w:lvl>
    <w:lvl w:ilvl="1">
      <w:lvlJc w:val="left"/>
      <w:lvlText w:val="(%2)"/>
      <w:numFmt w:val="lowerRoman"/>
      <w:start w:val="33"/>
    </w:lvl>
  </w:abstractNum>
  <w:abstractNum w:abstractNumId="63">
    <w:nsid w:val="488AC1A"/>
    <w:multiLevelType w:val="hybridMultilevel"/>
    <w:lvl w:ilvl="0">
      <w:lvlJc w:val="left"/>
      <w:lvlText w:val="(%1)"/>
      <w:numFmt w:val="lowerRoman"/>
      <w:start w:val="35"/>
    </w:lvl>
  </w:abstractNum>
  <w:abstractNum w:abstractNumId="64">
    <w:nsid w:val="5FB8011C"/>
    <w:multiLevelType w:val="hybridMultilevel"/>
    <w:lvl w:ilvl="0">
      <w:lvlJc w:val="left"/>
      <w:lvlText w:val="(%1)"/>
      <w:numFmt w:val="lowerRoman"/>
      <w:start w:val="39"/>
    </w:lvl>
  </w:abstractNum>
  <w:abstractNum w:abstractNumId="65">
    <w:nsid w:val="6AA78F7F"/>
    <w:multiLevelType w:val="hybridMultilevel"/>
    <w:lvl w:ilvl="0">
      <w:lvlJc w:val="left"/>
      <w:lvlText w:val="(%1)"/>
      <w:numFmt w:val="upperLetter"/>
      <w:start w:val="1"/>
    </w:lvl>
    <w:lvl w:ilvl="1">
      <w:lvlJc w:val="left"/>
      <w:lvlText w:val="(%2)"/>
      <w:numFmt w:val="decimal"/>
      <w:start w:val="1"/>
    </w:lvl>
  </w:abstractNum>
  <w:abstractNum w:abstractNumId="66">
    <w:nsid w:val="7672BD23"/>
    <w:multiLevelType w:val="hybridMultilevel"/>
    <w:lvl w:ilvl="0">
      <w:lvlJc w:val="left"/>
      <w:lvlText w:val="(%1)"/>
      <w:numFmt w:val="lowerLetter"/>
      <w:start w:val="12"/>
    </w:lvl>
  </w:abstractNum>
  <w:abstractNum w:abstractNumId="67">
    <w:nsid w:val="6FC75AF8"/>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68">
    <w:nsid w:val="6A5F7029"/>
    <w:multiLevelType w:val="hybridMultilevel"/>
    <w:lvl w:ilvl="0">
      <w:lvlJc w:val="left"/>
      <w:lvlText w:val="%1"/>
      <w:numFmt w:val="lowerRoman"/>
      <w:start w:val="1"/>
    </w:lvl>
    <w:lvl w:ilvl="1">
      <w:lvlJc w:val="left"/>
      <w:lvlText w:val="(%2)"/>
      <w:numFmt w:val="lowerRoman"/>
      <w:start w:val="2"/>
    </w:lvl>
  </w:abstractNum>
  <w:abstractNum w:abstractNumId="69">
    <w:nsid w:val="7D5E18F8"/>
    <w:multiLevelType w:val="hybridMultilevel"/>
    <w:lvl w:ilvl="0">
      <w:lvlJc w:val="left"/>
      <w:lvlText w:val="(%1)"/>
      <w:numFmt w:val="lowerRoman"/>
      <w:start w:val="3"/>
    </w:lvl>
    <w:lvl w:ilvl="1">
      <w:lvlJc w:val="left"/>
      <w:lvlText w:val="(%2)"/>
      <w:numFmt w:val="lowerRoman"/>
      <w:start w:val="4"/>
    </w:lvl>
  </w:abstractNum>
  <w:abstractNum w:abstractNumId="70">
    <w:nsid w:val="5F3534A4"/>
    <w:multiLevelType w:val="hybridMultilevel"/>
    <w:lvl w:ilvl="0">
      <w:lvlJc w:val="left"/>
      <w:lvlText w:val="%1"/>
      <w:numFmt w:val="lowerLetter"/>
      <w:start w:val="1"/>
    </w:lvl>
    <w:lvl w:ilvl="1">
      <w:lvlJc w:val="left"/>
      <w:lvlText w:val="(%2)"/>
      <w:numFmt w:val="lowerRoman"/>
      <w:start w:val="6"/>
    </w:lvl>
  </w:abstractNum>
  <w:abstractNum w:abstractNumId="71">
    <w:nsid w:val="73A1821B"/>
    <w:multiLevelType w:val="hybridMultilevel"/>
    <w:lvl w:ilvl="0">
      <w:lvlJc w:val="left"/>
      <w:lvlText w:val="(%1)"/>
      <w:numFmt w:val="lowerLetter"/>
      <w:start w:val="2"/>
    </w:lvl>
    <w:lvl w:ilvl="1">
      <w:lvlJc w:val="left"/>
      <w:lvlText w:val="%2"/>
      <w:numFmt w:val="lowerRoman"/>
      <w:start w:val="1"/>
    </w:lvl>
  </w:abstractNum>
  <w:abstractNum w:abstractNumId="72">
    <w:nsid w:val="7DE67713"/>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4"/>
    </w:lvl>
  </w:abstractNum>
  <w:abstractNum w:abstractNumId="73">
    <w:nsid w:val="555C55B5"/>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74">
    <w:nsid w:val="3FA62ACA"/>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75">
    <w:nsid w:val="14FCE74E"/>
    <w:multiLevelType w:val="hybridMultilevel"/>
    <w:lvl w:ilvl="0">
      <w:lvlJc w:val="left"/>
      <w:lvlText w:val="(%1)"/>
      <w:numFmt w:val="lowerLetter"/>
      <w:start w:val="2"/>
    </w:lvl>
  </w:abstractNum>
  <w:abstractNum w:abstractNumId="76">
    <w:nsid w:val="6A3DD3E8"/>
    <w:multiLevelType w:val="hybridMultilevel"/>
    <w:lvl w:ilvl="0">
      <w:lvlJc w:val="left"/>
      <w:lvlText w:val="%1"/>
      <w:numFmt w:val="lowerRoman"/>
      <w:start w:val="1"/>
    </w:lvl>
    <w:lvl w:ilvl="1">
      <w:lvlJc w:val="left"/>
      <w:lvlText w:val="(%2)"/>
      <w:numFmt w:val="lowerLetter"/>
      <w:start w:val="6"/>
    </w:lvl>
  </w:abstractNum>
  <w:abstractNum w:abstractNumId="77">
    <w:nsid w:val="71C91298"/>
    <w:multiLevelType w:val="hybridMultilevel"/>
    <w:lvl w:ilvl="0">
      <w:lvlJc w:val="left"/>
      <w:lvlText w:val="(%1)"/>
      <w:numFmt w:val="lowerRoman"/>
      <w:start w:val="9"/>
    </w:lvl>
    <w:lvl w:ilvl="1">
      <w:lvlJc w:val="left"/>
      <w:lvlText w:val="(%2)"/>
      <w:numFmt w:val="lowerLetter"/>
      <w:start w:val="8"/>
    </w:lvl>
  </w:abstractNum>
  <w:abstractNum w:abstractNumId="78">
    <w:nsid w:val="9DAF632"/>
    <w:multiLevelType w:val="hybridMultilevel"/>
    <w:lvl w:ilvl="0">
      <w:lvlJc w:val="left"/>
      <w:lvlText w:val="(%1)"/>
      <w:numFmt w:val="lowerLetter"/>
      <w:start w:val="10"/>
    </w:lvl>
  </w:abstractNum>
  <w:abstractNum w:abstractNumId="79">
    <w:nsid w:val="53299938"/>
    <w:multiLevelType w:val="hybridMultilevel"/>
    <w:lvl w:ilvl="0">
      <w:lvlJc w:val="left"/>
      <w:lvlText w:val="(%1)"/>
      <w:numFmt w:val="lowerLetter"/>
      <w:start w:val="14"/>
    </w:lvl>
  </w:abstractNum>
  <w:abstractNum w:abstractNumId="80">
    <w:nsid w:val="1FBFE8E0"/>
    <w:multiLevelType w:val="hybridMultilevel"/>
    <w:lvl w:ilvl="0">
      <w:lvlJc w:val="left"/>
      <w:lvlText w:val="(%1)"/>
      <w:numFmt w:val="lowerRoman"/>
      <w:start w:val="1"/>
    </w:lvl>
  </w:abstractNum>
  <w:abstractNum w:abstractNumId="81">
    <w:nsid w:val="5092CA79"/>
    <w:multiLevelType w:val="hybridMultilevel"/>
    <w:lvl w:ilvl="0">
      <w:lvlJc w:val="left"/>
      <w:lvlText w:val="%1"/>
      <w:numFmt w:val="decimal"/>
      <w:start w:val="1"/>
    </w:lvl>
    <w:lvl w:ilvl="1">
      <w:lvlJc w:val="left"/>
      <w:lvlText w:val="(%2)"/>
      <w:numFmt w:val="lowerLetter"/>
      <w:start w:val="16"/>
    </w:lvl>
  </w:abstractNum>
  <w:abstractNum w:abstractNumId="82">
    <w:nsid w:val="1D545C4D"/>
    <w:multiLevelType w:val="hybridMultilevel"/>
    <w:lvl w:ilvl="0">
      <w:lvlJc w:val="left"/>
      <w:lvlText w:val="%1."/>
      <w:numFmt w:val="decimal"/>
      <w:start w:val="4"/>
    </w:lvl>
    <w:lvl w:ilvl="1">
      <w:lvlJc w:val="left"/>
      <w:lvlText w:val="%2"/>
      <w:numFmt w:val="lowerLetter"/>
      <w:start w:val="1"/>
    </w:lvl>
  </w:abstractNum>
  <w:abstractNum w:abstractNumId="83">
    <w:nsid w:val="59ADEA3D"/>
    <w:multiLevelType w:val="hybridMultilevel"/>
    <w:lvl w:ilvl="0">
      <w:lvlJc w:val="left"/>
      <w:lvlText w:val="(%1)"/>
      <w:numFmt w:val="lowerLetter"/>
      <w:start w:val="1"/>
    </w:lvl>
  </w:abstractNum>
  <w:abstractNum w:abstractNumId="84">
    <w:nsid w:val="288F1A34"/>
    <w:multiLevelType w:val="hybridMultilevel"/>
    <w:lvl w:ilvl="0">
      <w:lvlJc w:val="left"/>
      <w:lvlText w:val="(%1)"/>
      <w:numFmt w:val="lowerLetter"/>
      <w:start w:val="5"/>
    </w:lvl>
  </w:abstractNum>
  <w:abstractNum w:abstractNumId="85">
    <w:nsid w:val="2A155DB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86">
    <w:nsid w:val="1D9F6E5F"/>
    <w:multiLevelType w:val="hybridMultilevel"/>
    <w:lvl w:ilvl="0">
      <w:lvlJc w:val="left"/>
      <w:lvlText w:val="(%1)"/>
      <w:numFmt w:val="lowerLetter"/>
      <w:start w:val="2"/>
    </w:lvl>
  </w:abstractNum>
  <w:abstractNum w:abstractNumId="87">
    <w:nsid w:val="97E1B4E"/>
    <w:multiLevelType w:val="hybridMultilevel"/>
    <w:lvl w:ilvl="0">
      <w:lvlJc w:val="left"/>
      <w:lvlText w:val="%1"/>
      <w:numFmt w:val="lowerLetter"/>
      <w:start w:val="1"/>
    </w:lvl>
    <w:lvl w:ilvl="1">
      <w:lvlJc w:val="left"/>
      <w:lvlText w:val="(%2)"/>
      <w:numFmt w:val="lowerLetter"/>
      <w:start w:val="4"/>
    </w:lvl>
  </w:abstractNum>
  <w:abstractNum w:abstractNumId="88">
    <w:nsid w:val="51088277"/>
    <w:multiLevelType w:val="hybridMultilevel"/>
    <w:lvl w:ilvl="0">
      <w:lvlJc w:val="left"/>
      <w:lvlText w:val="(%1)"/>
      <w:numFmt w:val="lowerLetter"/>
      <w:start w:val="35"/>
    </w:lvl>
    <w:lvl w:ilvl="1">
      <w:lvlJc w:val="left"/>
      <w:lvlText w:val="%2"/>
      <w:numFmt w:val="lowerLetter"/>
      <w:start w:val="1"/>
    </w:lvl>
  </w:abstractNum>
  <w:abstractNum w:abstractNumId="89">
    <w:nsid w:val="1CA0C5FA"/>
    <w:multiLevelType w:val="hybridMultilevel"/>
    <w:lvl w:ilvl="0">
      <w:lvlJc w:val="left"/>
      <w:lvlText w:val="%1."/>
      <w:numFmt w:val="decimal"/>
      <w:start w:val="6"/>
    </w:lvl>
    <w:lvl w:ilvl="1">
      <w:lvlJc w:val="left"/>
      <w:lvlText w:val="(%2)"/>
      <w:numFmt w:val="lowerLetter"/>
      <w:start w:val="1"/>
    </w:lvl>
  </w:abstractNum>
  <w:abstractNum w:abstractNumId="90">
    <w:nsid w:val="53584BCB"/>
    <w:multiLevelType w:val="hybridMultilevel"/>
    <w:lvl w:ilvl="0">
      <w:lvlJc w:val="left"/>
      <w:lvlText w:val="%1"/>
      <w:numFmt w:val="decimal"/>
      <w:start w:val="1"/>
    </w:lvl>
    <w:lvl w:ilvl="1">
      <w:lvlJc w:val="left"/>
      <w:lvlText w:val="(%2)"/>
      <w:numFmt w:val="lowerLetter"/>
      <w:start w:val="5"/>
    </w:lvl>
  </w:abstractNum>
  <w:abstractNum w:abstractNumId="91">
    <w:nsid w:val="415E286C"/>
    <w:multiLevelType w:val="hybridMultilevel"/>
    <w:lvl w:ilvl="0">
      <w:lvlJc w:val="left"/>
      <w:lvlText w:val="%1."/>
      <w:numFmt w:val="decimal"/>
      <w:start w:val="8"/>
    </w:lvl>
    <w:lvl w:ilvl="1">
      <w:lvlJc w:val="left"/>
      <w:lvlText w:val="%2"/>
      <w:numFmt w:val="lowerLetter"/>
      <w:start w:val="1"/>
    </w:lvl>
  </w:abstractNum>
  <w:abstractNum w:abstractNumId="92">
    <w:nsid w:val="7C58FD05"/>
    <w:multiLevelType w:val="hybridMultilevel"/>
    <w:lvl w:ilvl="0">
      <w:lvlJc w:val="left"/>
      <w:lvlText w:val="%1."/>
      <w:numFmt w:val="decimal"/>
      <w:start w:val="12"/>
    </w:lvl>
    <w:lvl w:ilvl="1">
      <w:lvlJc w:val="left"/>
      <w:lvlText w:val="(%2)"/>
      <w:numFmt w:val="lowerLetter"/>
      <w:start w:val="1"/>
    </w:lvl>
  </w:abstractNum>
  <w:abstractNum w:abstractNumId="93">
    <w:nsid w:val="23D86AAC"/>
    <w:multiLevelType w:val="hybridMultilevel"/>
    <w:lvl w:ilvl="0">
      <w:lvlJc w:val="left"/>
      <w:lvlText w:val="%1."/>
      <w:numFmt w:val="decimal"/>
      <w:start w:val="13"/>
    </w:lvl>
  </w:abstractNum>
  <w:abstractNum w:abstractNumId="94">
    <w:nsid w:val="45E6D486"/>
    <w:multiLevelType w:val="hybridMultilevel"/>
    <w:lvl w:ilvl="0">
      <w:lvlJc w:val="left"/>
      <w:lvlText w:val="(%1)"/>
      <w:numFmt w:val="lowerRoman"/>
      <w:start w:val="1"/>
    </w:lvl>
    <w:lvl w:ilvl="1">
      <w:lvlJc w:val="left"/>
      <w:lvlText w:val="(%2)"/>
      <w:numFmt w:val="upperLetter"/>
      <w:start w:val="1"/>
    </w:lvl>
  </w:abstractNum>
  <w:abstractNum w:abstractNumId="95">
    <w:nsid w:val="5C10FE21"/>
    <w:multiLevelType w:val="hybridMultilevel"/>
    <w:lvl w:ilvl="0">
      <w:lvlJc w:val="left"/>
      <w:lvlText w:val="(%1)"/>
      <w:numFmt w:val="upperLetter"/>
      <w:start w:val="2"/>
    </w:lvl>
  </w:abstractNum>
  <w:abstractNum w:abstractNumId="96">
    <w:nsid w:val="E7FFA2B"/>
    <w:multiLevelType w:val="hybridMultilevel"/>
    <w:lvl w:ilvl="0">
      <w:lvlJc w:val="left"/>
      <w:lvlText w:val="["/>
      <w:numFmt w:val="bullet"/>
      <w:start w:val="1"/>
    </w:lvl>
  </w:abstractNum>
  <w:abstractNum w:abstractNumId="97">
    <w:nsid w:val="3C5991AA"/>
    <w:multiLevelType w:val="hybridMultilevel"/>
    <w:lvl w:ilvl="0">
      <w:lvlJc w:val="left"/>
      <w:lvlText w:val="(%1)"/>
      <w:numFmt w:val="lowerLetter"/>
      <w:start w:val="1"/>
    </w:lvl>
  </w:abstractNum>
  <w:abstractNum w:abstractNumId="98">
    <w:nsid w:val="4BD8591A"/>
    <w:multiLevelType w:val="hybridMultilevel"/>
    <w:lvl w:ilvl="0">
      <w:lvlJc w:val="left"/>
      <w:lvlText w:val="(%1)"/>
      <w:numFmt w:val="lowerLetter"/>
      <w:start w:val="1"/>
    </w:lvl>
  </w:abstractNum>
  <w:abstractNum w:abstractNumId="99">
    <w:nsid w:val="78DF6A55"/>
    <w:multiLevelType w:val="hybridMultilevel"/>
    <w:lvl w:ilvl="0">
      <w:lvlJc w:val="left"/>
      <w:lvlText w:val="(%1)"/>
      <w:numFmt w:val="lowerRoman"/>
      <w:start w:val="2"/>
    </w:lvl>
  </w:abstractNum>
  <w:abstractNum w:abstractNumId="100">
    <w:nsid w:val="39B7AAA2"/>
    <w:multiLevelType w:val="hybridMultilevel"/>
    <w:lvl w:ilvl="0">
      <w:lvlJc w:val="left"/>
      <w:lvlText w:val="(%1)"/>
      <w:numFmt w:val="lowerRoman"/>
      <w:start w:val="2"/>
    </w:lvl>
  </w:abstractNum>
  <w:abstractNum w:abstractNumId="101">
    <w:nsid w:val="2B0D8DBE"/>
    <w:multiLevelType w:val="hybridMultilevel"/>
    <w:lvl w:ilvl="0">
      <w:lvlJc w:val="left"/>
      <w:lvlText w:val="(%1)"/>
      <w:numFmt w:val="lowerLetter"/>
      <w:start w:val="1"/>
    </w:lvl>
  </w:abstractNum>
  <w:abstractNum w:abstractNumId="102">
    <w:nsid w:val="6C80EC70"/>
    <w:multiLevelType w:val="hybridMultilevel"/>
    <w:lvl w:ilvl="0">
      <w:lvlJc w:val="left"/>
      <w:lvlText w:val="(%1)"/>
      <w:numFmt w:val="lowerLetter"/>
      <w:start w:val="4"/>
    </w:lvl>
  </w:abstractNum>
  <w:abstractNum w:abstractNumId="103">
    <w:nsid w:val="379E21B5"/>
    <w:multiLevelType w:val="hybridMultilevel"/>
    <w:lvl w:ilvl="0">
      <w:lvlJc w:val="left"/>
      <w:lvlText w:val="(%1)"/>
      <w:numFmt w:val="lowerLetter"/>
      <w:start w:val="1"/>
    </w:lvl>
  </w:abstractNum>
  <w:abstractNum w:abstractNumId="104">
    <w:nsid w:val="69E373"/>
    <w:multiLevelType w:val="hybridMultilevel"/>
    <w:lvl w:ilvl="0">
      <w:lvlJc w:val="left"/>
      <w:lvlText w:val="(%1)"/>
      <w:numFmt w:val="lowerLetter"/>
      <w:start w:val="1"/>
    </w:lvl>
    <w:lvl w:ilvl="1">
      <w:lvlJc w:val="left"/>
      <w:lvlText w:val="(%2)"/>
      <w:numFmt w:val="lowerRoman"/>
      <w:start w:val="1"/>
    </w:lvl>
  </w:abstractNum>
  <w:abstractNum w:abstractNumId="105">
    <w:nsid w:val="2C27173B"/>
    <w:multiLevelType w:val="hybridMultilevel"/>
    <w:lvl w:ilvl="0">
      <w:lvlJc w:val="left"/>
      <w:lvlText w:val="(%1)"/>
      <w:numFmt w:val="lowerLetter"/>
      <w:start w:val="6"/>
    </w:lvl>
  </w:abstractNum>
  <w:abstractNum w:abstractNumId="106">
    <w:nsid w:val="4C9B0904"/>
    <w:multiLevelType w:val="hybridMultilevel"/>
    <w:lvl w:ilvl="0">
      <w:lvlJc w:val="left"/>
      <w:lvlText w:val="(%1)"/>
      <w:numFmt w:val="lowerLetter"/>
      <w:start w:val="1"/>
    </w:lvl>
  </w:abstractNum>
  <w:abstractNum w:abstractNumId="107">
    <w:nsid w:val="6AA7B75C"/>
    <w:multiLevelType w:val="hybridMultilevel"/>
    <w:lvl w:ilvl="0">
      <w:lvlJc w:val="left"/>
      <w:lvlText w:val="(%1)"/>
      <w:numFmt w:val="lowerLetter"/>
      <w:start w:val="1"/>
    </w:lvl>
  </w:abstractNum>
  <w:abstractNum w:abstractNumId="108">
    <w:nsid w:val="1DF029D3"/>
    <w:multiLevelType w:val="hybridMultilevel"/>
    <w:lvl w:ilvl="0">
      <w:lvlJc w:val="left"/>
      <w:lvlText w:val="(%1)"/>
      <w:numFmt w:val="lowerLetter"/>
      <w:start w:val="1"/>
    </w:lvl>
  </w:abstractNum>
  <w:abstractNum w:abstractNumId="109">
    <w:nsid w:val="5675FF36"/>
    <w:multiLevelType w:val="hybridMultilevel"/>
    <w:lvl w:ilvl="0">
      <w:lvlJc w:val="left"/>
      <w:lvlText w:val="(%1)"/>
      <w:numFmt w:val="lowerLetter"/>
      <w:start w:val="1"/>
    </w:lvl>
  </w:abstractNum>
  <w:abstractNum w:abstractNumId="110">
    <w:nsid w:val="3DD15094"/>
    <w:multiLevelType w:val="hybridMultilevel"/>
    <w:lvl w:ilvl="0">
      <w:lvlJc w:val="left"/>
      <w:lvlText w:val="(%1)"/>
      <w:numFmt w:val="lowerLetter"/>
      <w:start w:val="1"/>
    </w:lvl>
    <w:lvl w:ilvl="1">
      <w:lvlJc w:val="left"/>
      <w:lvlText w:val="(%2)"/>
      <w:numFmt w:val="lowerRoman"/>
      <w:start w:val="1"/>
    </w:lvl>
  </w:abstractNum>
  <w:abstractNum w:abstractNumId="111">
    <w:nsid w:val="3DB012B3"/>
    <w:multiLevelType w:val="hybridMultilevel"/>
    <w:lvl w:ilvl="0">
      <w:lvlJc w:val="left"/>
      <w:lvlText w:val="(%1)"/>
      <w:numFmt w:val="lowerLetter"/>
      <w:start w:val="5"/>
    </w:lvl>
  </w:abstractNum>
  <w:abstractNum w:abstractNumId="112">
    <w:nsid w:val="2708C9AF"/>
    <w:multiLevelType w:val="hybridMultilevel"/>
    <w:lvl w:ilvl="0">
      <w:lvlJc w:val="left"/>
      <w:lvlText w:val="(%1)"/>
      <w:numFmt w:val="lowerLetter"/>
      <w:start w:val="1"/>
    </w:lvl>
  </w:abstractNum>
  <w:abstractNum w:abstractNumId="113">
    <w:nsid w:val="5B25ACE2"/>
    <w:multiLevelType w:val="hybridMultilevel"/>
    <w:lvl w:ilvl="0">
      <w:lvlJc w:val="left"/>
      <w:lvlText w:val="(%1)"/>
      <w:numFmt w:val="lowerLetter"/>
      <w:start w:val="9"/>
    </w:lvl>
  </w:abstractNum>
  <w:abstractNum w:abstractNumId="114">
    <w:nsid w:val="175DFCF0"/>
    <w:multiLevelType w:val="hybridMultilevel"/>
    <w:lvl w:ilvl="0">
      <w:lvlJc w:val="left"/>
      <w:lvlText w:val="(%1)"/>
      <w:numFmt w:val="lowerLetter"/>
      <w:start w:val="1"/>
    </w:lvl>
  </w:abstractNum>
  <w:abstractNum w:abstractNumId="115">
    <w:nsid w:val="4F97E3E4"/>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16">
    <w:nsid w:val="53B0A9E"/>
    <w:multiLevelType w:val="hybridMultilevel"/>
    <w:lvl w:ilvl="0">
      <w:lvlJc w:val="left"/>
      <w:lvlText w:val="(%1)"/>
      <w:numFmt w:val="lowerLetter"/>
      <w:start w:val="2"/>
    </w:lvl>
  </w:abstractNum>
  <w:abstractNum w:abstractNumId="117">
    <w:nsid w:val="34FD6B4F"/>
    <w:multiLevelType w:val="hybridMultilevel"/>
    <w:lvl w:ilvl="0">
      <w:lvlJc w:val="left"/>
      <w:lvlText w:val="(%1)"/>
      <w:numFmt w:val="lowerLetter"/>
      <w:start w:val="1"/>
    </w:lvl>
  </w:abstractNum>
  <w:abstractNum w:abstractNumId="118">
    <w:nsid w:val="5915FF32"/>
    <w:multiLevelType w:val="hybridMultilevel"/>
    <w:lvl w:ilvl="0">
      <w:lvlJc w:val="left"/>
      <w:lvlText w:val="(%1)"/>
      <w:numFmt w:val="lowerLetter"/>
      <w:start w:val="1"/>
    </w:lvl>
  </w:abstractNum>
  <w:abstractNum w:abstractNumId="119">
    <w:nsid w:val="56438D15"/>
    <w:multiLevelType w:val="hybridMultilevel"/>
    <w:lvl w:ilvl="0">
      <w:lvlJc w:val="left"/>
      <w:lvlText w:val="(%1)"/>
      <w:numFmt w:val="lowerLetter"/>
      <w:start w:val="2"/>
    </w:lvl>
  </w:abstractNum>
  <w:abstractNum w:abstractNumId="120">
    <w:nsid w:val="519E3149"/>
    <w:multiLevelType w:val="hybridMultilevel"/>
    <w:lvl w:ilvl="0">
      <w:lvlJc w:val="left"/>
      <w:lvlText w:val="(%1)"/>
      <w:numFmt w:val="lowerLetter"/>
      <w:start w:val="4"/>
    </w:lvl>
  </w:abstractNum>
  <w:abstractNum w:abstractNumId="121">
    <w:nsid w:val="2C6E4AFD"/>
    <w:multiLevelType w:val="hybridMultilevel"/>
    <w:lvl w:ilvl="0">
      <w:lvlJc w:val="left"/>
      <w:lvlText w:val="(%1)"/>
      <w:numFmt w:val="lowerLetter"/>
      <w:start w:val="1"/>
    </w:lvl>
  </w:abstractNum>
  <w:abstractNum w:abstractNumId="122">
    <w:nsid w:val="17A1B582"/>
    <w:multiLevelType w:val="hybridMultilevel"/>
    <w:lvl w:ilvl="0">
      <w:lvlJc w:val="left"/>
      <w:lvlText w:val="(%1)"/>
      <w:numFmt w:val="lowerLetter"/>
      <w:start w:val="1"/>
    </w:lvl>
  </w:abstractNum>
  <w:abstractNum w:abstractNumId="123">
    <w:nsid w:val="4DF72E4E"/>
    <w:multiLevelType w:val="hybridMultilevel"/>
    <w:lvl w:ilvl="0">
      <w:lvlJc w:val="left"/>
      <w:lvlText w:val="(%1)"/>
      <w:numFmt w:val="lowerLetter"/>
      <w:start w:val="1"/>
    </w:lvl>
  </w:abstractNum>
  <w:abstractNum w:abstractNumId="124">
    <w:nsid w:val="5046B5A9"/>
    <w:multiLevelType w:val="hybridMultilevel"/>
    <w:lvl w:ilvl="0">
      <w:lvlJc w:val="left"/>
      <w:lvlText w:val="(%1)"/>
      <w:numFmt w:val="lowerLetter"/>
      <w:start w:val="1"/>
    </w:lvl>
  </w:abstractNum>
  <w:abstractNum w:abstractNumId="125">
    <w:nsid w:val="5D888A08"/>
    <w:multiLevelType w:val="hybridMultilevel"/>
    <w:lvl w:ilvl="0">
      <w:lvlJc w:val="left"/>
      <w:lvlText w:val="(%1)"/>
      <w:numFmt w:val="lowerLetter"/>
      <w:start w:val="1"/>
    </w:lvl>
  </w:abstractNum>
  <w:abstractNum w:abstractNumId="126">
    <w:nsid w:val="2A082C70"/>
    <w:multiLevelType w:val="hybridMultilevel"/>
    <w:lvl w:ilvl="0">
      <w:lvlJc w:val="left"/>
      <w:lvlText w:val="(%1)"/>
      <w:numFmt w:val="lowerLetter"/>
      <w:start w:val="2"/>
    </w:lvl>
  </w:abstractNum>
  <w:abstractNum w:abstractNumId="127">
    <w:nsid w:val="5EC6AFD4"/>
    <w:multiLevelType w:val="hybridMultilevel"/>
    <w:lvl w:ilvl="0">
      <w:lvlJc w:val="left"/>
      <w:lvlText w:val="(%1)"/>
      <w:numFmt w:val="lowerRoman"/>
      <w:start w:val="4"/>
    </w:lvl>
  </w:abstractNum>
  <w:abstractNum w:abstractNumId="128">
    <w:nsid w:val="19E21BB2"/>
    <w:multiLevelType w:val="hybridMultilevel"/>
    <w:lvl w:ilvl="0">
      <w:lvlJc w:val="left"/>
      <w:lvlText w:val="•"/>
      <w:numFmt w:val="bullet"/>
      <w:start w:val="1"/>
    </w:lvl>
  </w:abstractNum>
  <w:abstractNum w:abstractNumId="129">
    <w:nsid w:val="75E0858A"/>
    <w:multiLevelType w:val="hybridMultilevel"/>
    <w:lvl w:ilvl="0">
      <w:lvlJc w:val="left"/>
      <w:lvlText w:val="%1."/>
      <w:numFmt w:val="decimal"/>
      <w:start w:val="1"/>
    </w:lvl>
  </w:abstractNum>
  <w:abstractNum w:abstractNumId="130">
    <w:nsid w:val="57A61A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jpe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jpe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jpe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21" Type="http://schemas.openxmlformats.org/officeDocument/2006/relationships/image" Target="media/image96.png"/><Relationship Id="rId122" Type="http://schemas.openxmlformats.org/officeDocument/2006/relationships/image" Target="media/image97.png"/><Relationship Id="rId123" Type="http://schemas.openxmlformats.org/officeDocument/2006/relationships/image" Target="media/image98.png"/><Relationship Id="rId124" Type="http://schemas.openxmlformats.org/officeDocument/2006/relationships/image" Target="media/image99.png"/><Relationship Id="rId125" Type="http://schemas.openxmlformats.org/officeDocument/2006/relationships/image" Target="media/image100.png"/><Relationship Id="rId126" Type="http://schemas.openxmlformats.org/officeDocument/2006/relationships/image" Target="media/image101.png"/><Relationship Id="rId127" Type="http://schemas.openxmlformats.org/officeDocument/2006/relationships/image" Target="media/image102.png"/><Relationship Id="rId128" Type="http://schemas.openxmlformats.org/officeDocument/2006/relationships/image" Target="media/image103.png"/><Relationship Id="rId129" Type="http://schemas.openxmlformats.org/officeDocument/2006/relationships/image" Target="media/image104.png"/><Relationship Id="rId130" Type="http://schemas.openxmlformats.org/officeDocument/2006/relationships/image" Target="media/image105.png"/><Relationship Id="rId131" Type="http://schemas.openxmlformats.org/officeDocument/2006/relationships/image" Target="media/image106.png"/><Relationship Id="rId132" Type="http://schemas.openxmlformats.org/officeDocument/2006/relationships/image" Target="media/image107.png"/><Relationship Id="rId133" Type="http://schemas.openxmlformats.org/officeDocument/2006/relationships/image" Target="media/image108.png"/><Relationship Id="rId134" Type="http://schemas.openxmlformats.org/officeDocument/2006/relationships/image" Target="media/image109.png"/><Relationship Id="rId135" Type="http://schemas.openxmlformats.org/officeDocument/2006/relationships/image" Target="media/image110.png"/><Relationship Id="rId136" Type="http://schemas.openxmlformats.org/officeDocument/2006/relationships/image" Target="media/image111.png"/><Relationship Id="rId137" Type="http://schemas.openxmlformats.org/officeDocument/2006/relationships/image" Target="media/image112.png"/><Relationship Id="rId138" Type="http://schemas.openxmlformats.org/officeDocument/2006/relationships/image" Target="media/image113.png"/><Relationship Id="rId139" Type="http://schemas.openxmlformats.org/officeDocument/2006/relationships/image" Target="media/image114.png"/><Relationship Id="rId140" Type="http://schemas.openxmlformats.org/officeDocument/2006/relationships/image" Target="media/image115.png"/><Relationship Id="rId141" Type="http://schemas.openxmlformats.org/officeDocument/2006/relationships/image" Target="media/image116.png"/><Relationship Id="rId142" Type="http://schemas.openxmlformats.org/officeDocument/2006/relationships/image" Target="media/image117.png"/><Relationship Id="rId143" Type="http://schemas.openxmlformats.org/officeDocument/2006/relationships/image" Target="media/image118.png"/><Relationship Id="rId144" Type="http://schemas.openxmlformats.org/officeDocument/2006/relationships/image" Target="media/image119.png"/><Relationship Id="rId145" Type="http://schemas.openxmlformats.org/officeDocument/2006/relationships/image" Target="media/image120.png"/><Relationship Id="rId146" Type="http://schemas.openxmlformats.org/officeDocument/2006/relationships/image" Target="media/image121.png"/><Relationship Id="rId147" Type="http://schemas.openxmlformats.org/officeDocument/2006/relationships/image" Target="media/image122.png"/><Relationship Id="rId148" Type="http://schemas.openxmlformats.org/officeDocument/2006/relationships/image" Target="media/image123.png"/><Relationship Id="rId149" Type="http://schemas.openxmlformats.org/officeDocument/2006/relationships/image" Target="media/image124.png"/><Relationship Id="rId150" Type="http://schemas.openxmlformats.org/officeDocument/2006/relationships/image" Target="media/image125.png"/><Relationship Id="rId151" Type="http://schemas.openxmlformats.org/officeDocument/2006/relationships/image" Target="media/image126.png"/><Relationship Id="rId152" Type="http://schemas.openxmlformats.org/officeDocument/2006/relationships/image" Target="media/image127.png"/><Relationship Id="rId153" Type="http://schemas.openxmlformats.org/officeDocument/2006/relationships/image" Target="media/image128.png"/><Relationship Id="rId154" Type="http://schemas.openxmlformats.org/officeDocument/2006/relationships/image" Target="media/image129.png"/><Relationship Id="rId155" Type="http://schemas.openxmlformats.org/officeDocument/2006/relationships/image" Target="media/image130.png"/><Relationship Id="rId156" Type="http://schemas.openxmlformats.org/officeDocument/2006/relationships/image" Target="media/image131.png"/><Relationship Id="rId157" Type="http://schemas.openxmlformats.org/officeDocument/2006/relationships/image" Target="media/image132.png"/><Relationship Id="rId158" Type="http://schemas.openxmlformats.org/officeDocument/2006/relationships/image" Target="media/image133.png"/><Relationship Id="rId159" Type="http://schemas.openxmlformats.org/officeDocument/2006/relationships/image" Target="media/image134.png"/><Relationship Id="rId160" Type="http://schemas.openxmlformats.org/officeDocument/2006/relationships/image" Target="media/image135.png"/><Relationship Id="rId161" Type="http://schemas.openxmlformats.org/officeDocument/2006/relationships/image" Target="media/image136.png"/><Relationship Id="rId162" Type="http://schemas.openxmlformats.org/officeDocument/2006/relationships/image" Target="media/image137.png"/><Relationship Id="rId163" Type="http://schemas.openxmlformats.org/officeDocument/2006/relationships/image" Target="media/image138.png"/><Relationship Id="rId164" Type="http://schemas.openxmlformats.org/officeDocument/2006/relationships/image" Target="media/image139.png"/><Relationship Id="rId165" Type="http://schemas.openxmlformats.org/officeDocument/2006/relationships/image" Target="media/image140.png"/><Relationship Id="rId166" Type="http://schemas.openxmlformats.org/officeDocument/2006/relationships/image" Target="media/image141.png"/><Relationship Id="rId167" Type="http://schemas.openxmlformats.org/officeDocument/2006/relationships/image" Target="media/image142.png"/><Relationship Id="rId168" Type="http://schemas.openxmlformats.org/officeDocument/2006/relationships/image" Target="media/image143.png"/><Relationship Id="rId169" Type="http://schemas.openxmlformats.org/officeDocument/2006/relationships/image" Target="media/image144.png"/><Relationship Id="rId170" Type="http://schemas.openxmlformats.org/officeDocument/2006/relationships/image" Target="media/image145.png"/><Relationship Id="rId171" Type="http://schemas.openxmlformats.org/officeDocument/2006/relationships/image" Target="media/image146.png"/><Relationship Id="rId172" Type="http://schemas.openxmlformats.org/officeDocument/2006/relationships/image" Target="media/image147.png"/><Relationship Id="rId173" Type="http://schemas.openxmlformats.org/officeDocument/2006/relationships/image" Target="media/image148.png"/><Relationship Id="rId174" Type="http://schemas.openxmlformats.org/officeDocument/2006/relationships/image" Target="media/image149.png"/><Relationship Id="rId175" Type="http://schemas.openxmlformats.org/officeDocument/2006/relationships/image" Target="media/image150.png"/><Relationship Id="rId176" Type="http://schemas.openxmlformats.org/officeDocument/2006/relationships/image" Target="media/image151.png"/><Relationship Id="rId177" Type="http://schemas.openxmlformats.org/officeDocument/2006/relationships/image" Target="media/image152.png"/><Relationship Id="rId178" Type="http://schemas.openxmlformats.org/officeDocument/2006/relationships/image" Target="media/image153.png"/><Relationship Id="rId179" Type="http://schemas.openxmlformats.org/officeDocument/2006/relationships/image" Target="media/image154.png"/><Relationship Id="rId180" Type="http://schemas.openxmlformats.org/officeDocument/2006/relationships/image" Target="media/image155.png"/><Relationship Id="rId181" Type="http://schemas.openxmlformats.org/officeDocument/2006/relationships/image" Target="media/image156.png"/><Relationship Id="rId182" Type="http://schemas.openxmlformats.org/officeDocument/2006/relationships/image" Target="media/image157.png"/><Relationship Id="rId183" Type="http://schemas.openxmlformats.org/officeDocument/2006/relationships/image" Target="media/image158.png"/><Relationship Id="rId184" Type="http://schemas.openxmlformats.org/officeDocument/2006/relationships/image" Target="media/image159.png"/><Relationship Id="rId185" Type="http://schemas.openxmlformats.org/officeDocument/2006/relationships/image" Target="media/image160.png"/><Relationship Id="rId186" Type="http://schemas.openxmlformats.org/officeDocument/2006/relationships/image" Target="media/image161.png"/><Relationship Id="rId187" Type="http://schemas.openxmlformats.org/officeDocument/2006/relationships/image" Target="media/image162.png"/><Relationship Id="rId188" Type="http://schemas.openxmlformats.org/officeDocument/2006/relationships/image" Target="media/image163.png"/><Relationship Id="rId189" Type="http://schemas.openxmlformats.org/officeDocument/2006/relationships/image" Target="media/image164.png"/><Relationship Id="rId190" Type="http://schemas.openxmlformats.org/officeDocument/2006/relationships/image" Target="media/image165.png"/><Relationship Id="rId191" Type="http://schemas.openxmlformats.org/officeDocument/2006/relationships/image" Target="media/image166.png"/><Relationship Id="rId192" Type="http://schemas.openxmlformats.org/officeDocument/2006/relationships/image" Target="media/image167.png"/><Relationship Id="rId193" Type="http://schemas.openxmlformats.org/officeDocument/2006/relationships/image" Target="media/image168.png"/><Relationship Id="rId194" Type="http://schemas.openxmlformats.org/officeDocument/2006/relationships/image" Target="media/image169.png"/><Relationship Id="rId195" Type="http://schemas.openxmlformats.org/officeDocument/2006/relationships/image" Target="media/image170.png"/><Relationship Id="rId196" Type="http://schemas.openxmlformats.org/officeDocument/2006/relationships/image" Target="media/image171.png"/><Relationship Id="rId197" Type="http://schemas.openxmlformats.org/officeDocument/2006/relationships/image" Target="media/image172.png"/><Relationship Id="rId198" Type="http://schemas.openxmlformats.org/officeDocument/2006/relationships/image" Target="media/image173.png"/><Relationship Id="rId199" Type="http://schemas.openxmlformats.org/officeDocument/2006/relationships/image" Target="media/image174.png"/><Relationship Id="rId200" Type="http://schemas.openxmlformats.org/officeDocument/2006/relationships/image" Target="media/image175.png"/><Relationship Id="rId201" Type="http://schemas.openxmlformats.org/officeDocument/2006/relationships/image" Target="media/image176.png"/><Relationship Id="rId202" Type="http://schemas.openxmlformats.org/officeDocument/2006/relationships/image" Target="media/image177.png"/><Relationship Id="rId203" Type="http://schemas.openxmlformats.org/officeDocument/2006/relationships/image" Target="media/image178.png"/><Relationship Id="rId204" Type="http://schemas.openxmlformats.org/officeDocument/2006/relationships/image" Target="media/image179.png"/><Relationship Id="rId205" Type="http://schemas.openxmlformats.org/officeDocument/2006/relationships/image" Target="media/image180.png"/><Relationship Id="rId206" Type="http://schemas.openxmlformats.org/officeDocument/2006/relationships/image" Target="media/image181.png"/><Relationship Id="rId207" Type="http://schemas.openxmlformats.org/officeDocument/2006/relationships/image" Target="media/image182.png"/><Relationship Id="rId208" Type="http://schemas.openxmlformats.org/officeDocument/2006/relationships/image" Target="media/image183.png"/><Relationship Id="rId209" Type="http://schemas.openxmlformats.org/officeDocument/2006/relationships/image" Target="media/image184.png"/><Relationship Id="rId210" Type="http://schemas.openxmlformats.org/officeDocument/2006/relationships/image" Target="media/image185.png"/><Relationship Id="rId211" Type="http://schemas.openxmlformats.org/officeDocument/2006/relationships/image" Target="media/image186.png"/><Relationship Id="rId212" Type="http://schemas.openxmlformats.org/officeDocument/2006/relationships/image" Target="media/image187.png"/><Relationship Id="rId213" Type="http://schemas.openxmlformats.org/officeDocument/2006/relationships/image" Target="media/image188.jpeg"/><Relationship Id="rId214" Type="http://schemas.openxmlformats.org/officeDocument/2006/relationships/image" Target="media/image189.png"/><Relationship Id="rId215" Type="http://schemas.openxmlformats.org/officeDocument/2006/relationships/image" Target="media/image190.png"/><Relationship Id="rId216" Type="http://schemas.openxmlformats.org/officeDocument/2006/relationships/image" Target="media/image191.jpeg"/><Relationship Id="rId217" Type="http://schemas.openxmlformats.org/officeDocument/2006/relationships/image" Target="media/image192.png"/><Relationship Id="rId28" Type="http://schemas.openxmlformats.org/officeDocument/2006/relationships/hyperlink" Target="http://www.sec.gov/Archives/edgar/data/1374690/000095017024031529/lrmr-20231231.htm" TargetMode="External"/><Relationship Id="rId29" Type="http://schemas.openxmlformats.org/officeDocument/2006/relationships/hyperlink" Target="http://www.sec.gov/ix?doc=/Archives/edgar/data/0001374690/000095017024056965/lrmr-20240331.htm" TargetMode="External"/><Relationship Id="rId30" Type="http://schemas.openxmlformats.org/officeDocument/2006/relationships/hyperlink" Target="http://www.sec.gov/Archives/edgar/data/1374690/000119312524122191/d636298ddef14a.htm" TargetMode="External"/><Relationship Id="rId31" Type="http://schemas.openxmlformats.org/officeDocument/2006/relationships/hyperlink" Target="http://www.sec.gov/Archives/edgar/data/1374690/000095017024013563/lrmr-20240212.htm" TargetMode="External"/><Relationship Id="rId32" Type="http://schemas.openxmlformats.org/officeDocument/2006/relationships/hyperlink" Target="http://www.sec.gov/Archives/edgar/data/1374690/000095017024014919/lrmr-20240213.htm" TargetMode="External"/><Relationship Id="rId33" Type="http://schemas.openxmlformats.org/officeDocument/2006/relationships/hyperlink" Target="http://www.sec.gov/Archives/edgar/data/1374690/000119312524038473/d780024d8k.htm" TargetMode="External"/><Relationship Id="rId34" Type="http://schemas.openxmlformats.org/officeDocument/2006/relationships/hyperlink" Target="http://www.sec.gov/Archives/edgar/data/1374690/000095017024029236/lrmr-20240311.htm" TargetMode="External"/><Relationship Id="rId35" Type="http://schemas.openxmlformats.org/officeDocument/2006/relationships/hyperlink" Target="http://www.sec.gov/ix?doc=/Archives/edgar/data/0001374690/000095017024056248/lrmr-20240509.htm" TargetMode="External"/><Relationship Id="rId36" Type="http://schemas.openxmlformats.org/officeDocument/2006/relationships/hyperlink" Target="http://www.sec.gov/Archives/edgar/data/1374690/000119312514240257/d745277d8a12b.htm" TargetMode="External"/><Relationship Id="rId37" Type="http://schemas.openxmlformats.org/officeDocument/2006/relationships/hyperlink" Target="http://www.sec.gov/Archives/edgar/data/1374690/000156459021011003/lrmr-ex42_407.htm" TargetMode="External"/><Relationship Id="rId113" Type="http://schemas.openxmlformats.org/officeDocument/2006/relationships/hyperlink" Target="http://www.sec.gov/Archives/edgar/data/1374690/000119312519316828/d845901dex21.htm" TargetMode="External"/><Relationship Id="rId114" Type="http://schemas.openxmlformats.org/officeDocument/2006/relationships/hyperlink" Target="http://www.sec.gov/Archives/edgar/data/1374690/000119312520065288/d846972dex21.htm" TargetMode="External"/><Relationship Id="rId115" Type="http://schemas.openxmlformats.org/officeDocument/2006/relationships/hyperlink" Target="http://www.sec.gov/Archives/edgar/data/1374690/000119312514247362/d747935dex31.htm" TargetMode="External"/><Relationship Id="rId116" Type="http://schemas.openxmlformats.org/officeDocument/2006/relationships/hyperlink" Target="http://www.sec.gov/Archives/edgar/data/1374690/000119312520157924/d936040dex31.htm" TargetMode="External"/><Relationship Id="rId117" Type="http://schemas.openxmlformats.org/officeDocument/2006/relationships/hyperlink" Target="http://www.sec.gov/Archives/edgar/data/1374690/000119312520157924/d936040dex32.htm" TargetMode="External"/><Relationship Id="rId118" Type="http://schemas.openxmlformats.org/officeDocument/2006/relationships/hyperlink" Target="http://www.sec.gov/Archives/edgar/data/1374690/000119312514247362/d747935dex32.htm" TargetMode="External"/><Relationship Id="rId119" Type="http://schemas.openxmlformats.org/officeDocument/2006/relationships/hyperlink" Target="http://www.sec.gov/Archives/edgar/data/1374690/000119312520181162/d926045dex103.htm" TargetMode="External"/><Relationship Id="rId120" Type="http://schemas.openxmlformats.org/officeDocument/2006/relationships/hyperlink" Target="http://www.sec.gov/Archives/edgar/data/1374690/000119312514222253/d642727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2024-05-09T16:41:13Z</dcterms:created>
  <dcterms:modified xsi:type="dcterms:W3CDTF">2024-05-09T16:41:13Z</dcterms:modified>
</cp:coreProperties>
</file>