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
          <w:szCs w:val="4"/>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t</w:t>
      </w: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ind w:left="4260" w:right="3740" w:hanging="4243"/>
        <w:spacing w:after="0" w:line="279" w:lineRule="auto"/>
        <w:tabs>
          <w:tab w:leader="none" w:pos="45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ind w:left="55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jc w:val="center"/>
        <w:ind w:right="3420"/>
        <w:spacing w:after="0" w:line="186" w:lineRule="auto"/>
        <w:tabs>
          <w:tab w:leader="none" w:pos="300" w:val="left"/>
        </w:tabs>
        <w:rPr>
          <w:sz w:val="20"/>
          <w:szCs w:val="20"/>
          <w:color w:val="auto"/>
        </w:rPr>
      </w:pPr>
      <w:r>
        <w:rPr>
          <w:rFonts w:ascii="MS PGothic" w:cs="MS PGothic" w:eastAsia="MS PGothic" w:hAnsi="MS PGothic"/>
          <w:sz w:val="28"/>
          <w:szCs w:val="28"/>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001-36510</w:t>
      </w:r>
    </w:p>
    <w:p>
      <w:pPr>
        <w:spacing w:after="0" w:line="1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LARIMAR THERAPEUTICS, INC.</w:t>
      </w:r>
    </w:p>
    <w:p>
      <w:pPr>
        <w:spacing w:after="0" w:line="49"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980" w:type="dxa"/>
            <w:vAlign w:val="bottom"/>
            <w:vMerge w:val="restart"/>
          </w:tcPr>
          <w:p>
            <w:pPr>
              <w:jc w:val="center"/>
              <w:ind w:left="153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80" w:type="dxa"/>
            <w:vAlign w:val="bottom"/>
            <w:vMerge w:val="restart"/>
          </w:tcPr>
          <w:p>
            <w:pPr>
              <w:jc w:val="right"/>
              <w:ind w:right="2350"/>
              <w:spacing w:after="0"/>
              <w:rPr>
                <w:sz w:val="20"/>
                <w:szCs w:val="20"/>
                <w:color w:val="auto"/>
              </w:rPr>
            </w:pPr>
            <w:r>
              <w:rPr>
                <w:rFonts w:ascii="Times New Roman" w:cs="Times New Roman" w:eastAsia="Times New Roman" w:hAnsi="Times New Roman"/>
                <w:sz w:val="14"/>
                <w:szCs w:val="14"/>
                <w:b w:val="1"/>
                <w:bCs w:val="1"/>
                <w:color w:val="auto"/>
              </w:rPr>
              <w:t>20-3857670</w:t>
            </w:r>
          </w:p>
        </w:tc>
        <w:tc>
          <w:tcPr>
            <w:tcW w:w="0" w:type="dxa"/>
            <w:vAlign w:val="bottom"/>
          </w:tcPr>
          <w:p>
            <w:pPr>
              <w:spacing w:after="0"/>
              <w:rPr>
                <w:sz w:val="1"/>
                <w:szCs w:val="1"/>
                <w:color w:val="auto"/>
              </w:rPr>
            </w:pPr>
          </w:p>
        </w:tc>
      </w:tr>
      <w:tr>
        <w:trPr>
          <w:trHeight w:val="131"/>
        </w:trPr>
        <w:tc>
          <w:tcPr>
            <w:tcW w:w="39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80" w:type="dxa"/>
            <w:vAlign w:val="bottom"/>
          </w:tcPr>
          <w:p>
            <w:pPr>
              <w:jc w:val="center"/>
              <w:ind w:left="1531"/>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jc w:val="center"/>
              <w:ind w:right="1690"/>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980" w:type="dxa"/>
            <w:vAlign w:val="bottom"/>
          </w:tcPr>
          <w:p>
            <w:pPr>
              <w:jc w:val="center"/>
              <w:ind w:left="153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15"/>
        </w:trPr>
        <w:tc>
          <w:tcPr>
            <w:tcW w:w="3980" w:type="dxa"/>
            <w:vAlign w:val="bottom"/>
          </w:tcPr>
          <w:p>
            <w:pPr>
              <w:jc w:val="center"/>
              <w:ind w:left="1531"/>
              <w:spacing w:after="0"/>
              <w:rPr>
                <w:sz w:val="20"/>
                <w:szCs w:val="20"/>
                <w:color w:val="auto"/>
              </w:rPr>
            </w:pPr>
            <w:r>
              <w:rPr>
                <w:rFonts w:ascii="Times New Roman" w:cs="Times New Roman" w:eastAsia="Times New Roman" w:hAnsi="Times New Roman"/>
                <w:sz w:val="14"/>
                <w:szCs w:val="14"/>
                <w:b w:val="1"/>
                <w:bCs w:val="1"/>
                <w:color w:val="auto"/>
              </w:rPr>
              <w:t>Three Bala Plaza East, Suite 506</w:t>
            </w:r>
          </w:p>
        </w:tc>
        <w:tc>
          <w:tcPr>
            <w:tcW w:w="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80" w:type="dxa"/>
            <w:vAlign w:val="bottom"/>
            <w:vMerge w:val="restart"/>
          </w:tcPr>
          <w:p>
            <w:pPr>
              <w:jc w:val="right"/>
              <w:ind w:right="2530"/>
              <w:spacing w:after="0"/>
              <w:rPr>
                <w:sz w:val="20"/>
                <w:szCs w:val="20"/>
                <w:color w:val="auto"/>
              </w:rPr>
            </w:pPr>
            <w:r>
              <w:rPr>
                <w:rFonts w:ascii="Times New Roman" w:cs="Times New Roman" w:eastAsia="Times New Roman" w:hAnsi="Times New Roman"/>
                <w:sz w:val="14"/>
                <w:szCs w:val="14"/>
                <w:b w:val="1"/>
                <w:bCs w:val="1"/>
                <w:color w:val="auto"/>
              </w:rPr>
              <w:t>19004</w:t>
            </w:r>
          </w:p>
        </w:tc>
        <w:tc>
          <w:tcPr>
            <w:tcW w:w="0" w:type="dxa"/>
            <w:vAlign w:val="bottom"/>
          </w:tcPr>
          <w:p>
            <w:pPr>
              <w:spacing w:after="0"/>
              <w:rPr>
                <w:sz w:val="1"/>
                <w:szCs w:val="1"/>
                <w:color w:val="auto"/>
              </w:rPr>
            </w:pPr>
          </w:p>
        </w:tc>
      </w:tr>
      <w:tr>
        <w:trPr>
          <w:trHeight w:val="151"/>
        </w:trPr>
        <w:tc>
          <w:tcPr>
            <w:tcW w:w="3980" w:type="dxa"/>
            <w:vAlign w:val="bottom"/>
          </w:tcPr>
          <w:p>
            <w:pPr>
              <w:jc w:val="center"/>
              <w:ind w:left="1491"/>
              <w:spacing w:after="0" w:line="151" w:lineRule="exact"/>
              <w:rPr>
                <w:sz w:val="20"/>
                <w:szCs w:val="20"/>
                <w:color w:val="auto"/>
              </w:rPr>
            </w:pPr>
            <w:r>
              <w:rPr>
                <w:rFonts w:ascii="Times New Roman" w:cs="Times New Roman" w:eastAsia="Times New Roman" w:hAnsi="Times New Roman"/>
                <w:sz w:val="14"/>
                <w:szCs w:val="14"/>
                <w:b w:val="1"/>
                <w:bCs w:val="1"/>
                <w:color w:val="auto"/>
              </w:rPr>
              <w:t>Bala Cynwyd, Pennsylvania</w:t>
            </w:r>
          </w:p>
        </w:tc>
        <w:tc>
          <w:tcPr>
            <w:tcW w:w="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80" w:type="dxa"/>
            <w:vAlign w:val="bottom"/>
          </w:tcPr>
          <w:p>
            <w:pPr>
              <w:jc w:val="center"/>
              <w:ind w:left="153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780" w:type="dxa"/>
            <w:vAlign w:val="bottom"/>
            <w:gridSpan w:val="2"/>
            <w:vMerge w:val="restart"/>
          </w:tcPr>
          <w:p>
            <w:pPr>
              <w:jc w:val="center"/>
              <w:ind w:left="445"/>
              <w:spacing w:after="0"/>
              <w:rPr>
                <w:sz w:val="20"/>
                <w:szCs w:val="20"/>
                <w:color w:val="auto"/>
              </w:rPr>
            </w:pPr>
            <w:r>
              <w:rPr>
                <w:rFonts w:ascii="Times New Roman" w:cs="Times New Roman" w:eastAsia="Times New Roman" w:hAnsi="Times New Roman"/>
                <w:sz w:val="16"/>
                <w:szCs w:val="16"/>
                <w:b w:val="1"/>
                <w:bCs w:val="1"/>
                <w:color w:val="auto"/>
              </w:rPr>
              <w:t>(844) 511-9056</w:t>
            </w:r>
          </w:p>
        </w:tc>
        <w:tc>
          <w:tcPr>
            <w:tcW w:w="700" w:type="dxa"/>
            <w:vAlign w:val="bottom"/>
          </w:tcPr>
          <w:p>
            <w:pPr>
              <w:spacing w:after="0"/>
              <w:rPr>
                <w:sz w:val="16"/>
                <w:szCs w:val="16"/>
                <w:color w:val="auto"/>
              </w:rPr>
            </w:pPr>
          </w:p>
        </w:tc>
        <w:tc>
          <w:tcPr>
            <w:tcW w:w="3780" w:type="dxa"/>
            <w:vAlign w:val="bottom"/>
          </w:tcPr>
          <w:p>
            <w:pPr>
              <w:jc w:val="center"/>
              <w:ind w:right="173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63"/>
        </w:trPr>
        <w:tc>
          <w:tcPr>
            <w:tcW w:w="3980" w:type="dxa"/>
            <w:vAlign w:val="bottom"/>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3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980" w:type="dxa"/>
            <w:vAlign w:val="bottom"/>
            <w:tcBorders>
              <w:left w:val="single" w:sz="8" w:color="auto"/>
              <w:bottom w:val="single" w:sz="8" w:color="auto"/>
            </w:tcBorders>
          </w:tcPr>
          <w:p>
            <w:pPr>
              <w:jc w:val="center"/>
              <w:ind w:left="471"/>
              <w:spacing w:after="0" w:line="102" w:lineRule="exact"/>
              <w:rPr>
                <w:sz w:val="20"/>
                <w:szCs w:val="20"/>
                <w:color w:val="auto"/>
              </w:rPr>
            </w:pPr>
            <w:r>
              <w:rPr>
                <w:rFonts w:ascii="Times New Roman" w:cs="Times New Roman" w:eastAsia="Times New Roman" w:hAnsi="Times New Roman"/>
                <w:sz w:val="11"/>
                <w:szCs w:val="11"/>
                <w:color w:val="auto"/>
              </w:rPr>
              <w:t>Title of each class</w:t>
            </w:r>
          </w:p>
        </w:tc>
        <w:tc>
          <w:tcPr>
            <w:tcW w:w="52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Trading Symbol(s)</w:t>
            </w:r>
          </w:p>
        </w:tc>
        <w:tc>
          <w:tcPr>
            <w:tcW w:w="700" w:type="dxa"/>
            <w:vAlign w:val="bottom"/>
            <w:tcBorders>
              <w:bottom w:val="single" w:sz="8" w:color="auto"/>
            </w:tcBorders>
          </w:tcPr>
          <w:p>
            <w:pPr>
              <w:spacing w:after="0"/>
              <w:rPr>
                <w:sz w:val="10"/>
                <w:szCs w:val="10"/>
                <w:color w:val="auto"/>
              </w:rPr>
            </w:pPr>
          </w:p>
        </w:tc>
        <w:tc>
          <w:tcPr>
            <w:tcW w:w="3780" w:type="dxa"/>
            <w:vAlign w:val="bottom"/>
            <w:tcBorders>
              <w:bottom w:val="single" w:sz="8" w:color="auto"/>
              <w:right w:val="single" w:sz="8" w:color="auto"/>
            </w:tcBorders>
          </w:tcPr>
          <w:p>
            <w:pPr>
              <w:jc w:val="center"/>
              <w:ind w:right="650"/>
              <w:spacing w:after="0" w:line="102" w:lineRule="exact"/>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125"/>
        </w:trPr>
        <w:tc>
          <w:tcPr>
            <w:tcW w:w="3980" w:type="dxa"/>
            <w:vAlign w:val="bottom"/>
            <w:tcBorders>
              <w:left w:val="single" w:sz="8" w:color="auto"/>
              <w:bottom w:val="single" w:sz="8" w:color="auto"/>
            </w:tcBorders>
          </w:tcPr>
          <w:p>
            <w:pPr>
              <w:jc w:val="center"/>
              <w:ind w:left="451"/>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52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ind w:left="920"/>
              <w:spacing w:after="0" w:line="125" w:lineRule="exact"/>
              <w:rPr>
                <w:sz w:val="20"/>
                <w:szCs w:val="20"/>
                <w:color w:val="auto"/>
              </w:rPr>
            </w:pPr>
            <w:r>
              <w:rPr>
                <w:rFonts w:ascii="Times New Roman" w:cs="Times New Roman" w:eastAsia="Times New Roman" w:hAnsi="Times New Roman"/>
                <w:sz w:val="14"/>
                <w:szCs w:val="14"/>
                <w:color w:val="auto"/>
              </w:rPr>
              <w:t>LRMR</w:t>
            </w:r>
          </w:p>
        </w:tc>
        <w:tc>
          <w:tcPr>
            <w:tcW w:w="700" w:type="dxa"/>
            <w:vAlign w:val="bottom"/>
            <w:tcBorders>
              <w:bottom w:val="single" w:sz="8" w:color="auto"/>
            </w:tcBorders>
          </w:tcPr>
          <w:p>
            <w:pPr>
              <w:spacing w:after="0"/>
              <w:rPr>
                <w:sz w:val="10"/>
                <w:szCs w:val="10"/>
                <w:color w:val="auto"/>
              </w:rPr>
            </w:pPr>
          </w:p>
        </w:tc>
        <w:tc>
          <w:tcPr>
            <w:tcW w:w="3780" w:type="dxa"/>
            <w:vAlign w:val="bottom"/>
            <w:tcBorders>
              <w:bottom w:val="single" w:sz="8" w:color="auto"/>
              <w:right w:val="single" w:sz="8" w:color="auto"/>
            </w:tcBorders>
          </w:tcPr>
          <w:p>
            <w:pPr>
              <w:jc w:val="center"/>
              <w:ind w:right="650"/>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ind w:right="3520"/>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ind w:right="2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968" w:right="339" w:bottom="1440" w:gutter="0" w:footer="0" w:header="0"/>
        </w:sectPr>
      </w:pPr>
    </w:p>
    <w:p>
      <w:pPr>
        <w:spacing w:after="0" w:line="1"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
        <w:spacing w:after="0" w:line="161" w:lineRule="exact"/>
        <w:tabs>
          <w:tab w:leader="none" w:pos="3220" w:val="left"/>
          <w:tab w:leader="none" w:pos="78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31" w:lineRule="exact"/>
        <w:rPr>
          <w:sz w:val="24"/>
          <w:szCs w:val="24"/>
          <w:color w:val="auto"/>
        </w:rPr>
      </w:pPr>
    </w:p>
    <w:p>
      <w:pPr>
        <w:ind w:left="20"/>
        <w:spacing w:after="0" w:line="161" w:lineRule="exact"/>
        <w:tabs>
          <w:tab w:leader="none" w:pos="3220" w:val="left"/>
          <w:tab w:leader="none" w:pos="78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5" w:lineRule="exact"/>
        <w:rPr>
          <w:sz w:val="24"/>
          <w:szCs w:val="24"/>
          <w:color w:val="auto"/>
        </w:rPr>
      </w:pPr>
    </w:p>
    <w:p>
      <w:pPr>
        <w:ind w:left="79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ind w:left="20"/>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5" w:lineRule="exact"/>
        <w:rPr>
          <w:sz w:val="24"/>
          <w:szCs w:val="24"/>
          <w:color w:val="auto"/>
        </w:rPr>
      </w:pPr>
    </w:p>
    <w:p>
      <w:pPr>
        <w:ind w:left="20"/>
        <w:spacing w:after="0" w:line="121" w:lineRule="exact"/>
        <w:rPr>
          <w:sz w:val="20"/>
          <w:szCs w:val="20"/>
          <w:color w:val="auto"/>
        </w:rPr>
      </w:pPr>
      <w:r>
        <w:rPr>
          <w:rFonts w:ascii="MS PGothic" w:cs="MS PGothic" w:eastAsia="MS PGothic" w:hAnsi="MS PGothic"/>
          <w:sz w:val="12"/>
          <w:szCs w:val="12"/>
          <w:color w:val="auto"/>
        </w:rPr>
        <w:t>☐</w:t>
      </w:r>
    </w:p>
    <w:p>
      <w:pPr>
        <w:spacing w:after="0" w:line="79" w:lineRule="exact"/>
        <w:rPr>
          <w:sz w:val="24"/>
          <w:szCs w:val="24"/>
          <w:color w:val="auto"/>
        </w:rPr>
      </w:pPr>
    </w:p>
    <w:p>
      <w:pPr>
        <w:sectPr>
          <w:pgSz w:w="11900" w:h="16838" w:orient="portrait"/>
          <w:cols w:equalWidth="0" w:num="2">
            <w:col w:w="10840" w:space="240"/>
            <w:col w:w="160"/>
          </w:cols>
          <w:pgMar w:left="320" w:top="968" w:right="339" w:bottom="1440" w:gutter="0" w:footer="0" w:header="0"/>
          <w:type w:val="continuous"/>
        </w:sect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28"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49"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340"/>
        <w:spacing w:after="0" w:line="245" w:lineRule="auto"/>
        <w:rPr>
          <w:sz w:val="20"/>
          <w:szCs w:val="20"/>
          <w:color w:val="auto"/>
        </w:rPr>
      </w:pPr>
      <w:r>
        <w:rPr>
          <w:rFonts w:ascii="Times New Roman" w:cs="Times New Roman" w:eastAsia="Times New Roman" w:hAnsi="Times New Roman"/>
          <w:sz w:val="14"/>
          <w:szCs w:val="14"/>
          <w:color w:val="auto"/>
        </w:rPr>
        <w:t>On the last business day of the most recently completed second fiscal quarter, the aggregate market value (based on the closing sale price of its common stock on that date) of the registrant's Common stock held by non-affiliates of the registrant was $313,608,353.</w:t>
      </w:r>
    </w:p>
    <w:p>
      <w:pPr>
        <w:spacing w:after="0"/>
        <w:rPr>
          <w:sz w:val="20"/>
          <w:szCs w:val="20"/>
          <w:color w:val="auto"/>
        </w:rPr>
      </w:pPr>
      <w:r>
        <w:rPr>
          <w:rFonts w:ascii="Times New Roman" w:cs="Times New Roman" w:eastAsia="Times New Roman" w:hAnsi="Times New Roman"/>
          <w:sz w:val="14"/>
          <w:szCs w:val="14"/>
          <w:color w:val="auto"/>
        </w:rPr>
        <w:t>As of March 20, 2025, the registrant had 64,027,892 shares of Common Stock, $0.001 par value per share, outstanding.</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80"/>
        <w:spacing w:after="0" w:line="302" w:lineRule="auto"/>
        <w:rPr>
          <w:sz w:val="20"/>
          <w:szCs w:val="20"/>
          <w:color w:val="auto"/>
        </w:rPr>
      </w:pPr>
      <w:r>
        <w:rPr>
          <w:rFonts w:ascii="Times New Roman" w:cs="Times New Roman" w:eastAsia="Times New Roman" w:hAnsi="Times New Roman"/>
          <w:sz w:val="14"/>
          <w:szCs w:val="14"/>
          <w:color w:val="auto"/>
        </w:rPr>
        <w:t>Part III of this Annual Report on Form 10-K incorporates certain information by reference from the registrant’s definitive proxy statement for the 2025 annual meeting of stockholders to be filed no later than 120 days after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9"/>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60" w:type="dxa"/>
            <w:vAlign w:val="bottom"/>
          </w:tcPr>
          <w:p>
            <w:pPr>
              <w:spacing w:after="0"/>
              <w:rPr>
                <w:sz w:val="20"/>
                <w:szCs w:val="20"/>
                <w:color w:val="auto"/>
              </w:rPr>
            </w:pPr>
          </w:p>
        </w:tc>
      </w:tr>
      <w:tr>
        <w:trPr>
          <w:trHeight w:val="459"/>
        </w:trPr>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580" w:type="dxa"/>
            <w:vAlign w:val="bottom"/>
            <w:gridSpan w:val="15"/>
          </w:tcPr>
          <w:p>
            <w:pPr>
              <w:jc w:val="center"/>
              <w:ind w:right="3980"/>
              <w:spacing w:after="0" w:line="169" w:lineRule="exact"/>
              <w:rPr>
                <w:sz w:val="20"/>
                <w:szCs w:val="20"/>
                <w:color w:val="auto"/>
              </w:rPr>
            </w:pPr>
            <w:r>
              <w:rPr>
                <w:rFonts w:ascii="Times New Roman" w:cs="Times New Roman" w:eastAsia="Times New Roman" w:hAnsi="Times New Roman"/>
                <w:sz w:val="18"/>
                <w:szCs w:val="18"/>
                <w:b w:val="1"/>
                <w:bCs w:val="1"/>
                <w:color w:val="0000EE"/>
                <w:w w:val="99"/>
              </w:rPr>
              <w:t>PART I</w:t>
            </w:r>
          </w:p>
        </w:tc>
        <w:tc>
          <w:tcPr>
            <w:tcW w:w="13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w:t>
            </w:r>
          </w:p>
        </w:tc>
        <w:tc>
          <w:tcPr>
            <w:tcW w:w="880" w:type="dxa"/>
            <w:vAlign w:val="bottom"/>
            <w:gridSpan w:val="6"/>
          </w:tcPr>
          <w:p>
            <w:pPr>
              <w:spacing w:after="0"/>
              <w:rPr>
                <w:sz w:val="17"/>
                <w:szCs w:val="17"/>
                <w:color w:val="auto"/>
              </w:rPr>
            </w:pPr>
          </w:p>
        </w:tc>
        <w:tc>
          <w:tcPr>
            <w:tcW w:w="37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600" w:type="dxa"/>
            <w:vAlign w:val="bottom"/>
            <w:tcBorders>
              <w:top w:val="single" w:sz="8" w:color="0000EE"/>
            </w:tcBorders>
            <w:gridSpan w:val="3"/>
          </w:tcPr>
          <w:p>
            <w:pPr>
              <w:spacing w:after="0"/>
              <w:rPr>
                <w:sz w:val="17"/>
                <w:szCs w:val="17"/>
                <w:color w:val="auto"/>
              </w:rPr>
            </w:pPr>
          </w:p>
        </w:tc>
        <w:tc>
          <w:tcPr>
            <w:tcW w:w="3980" w:type="dxa"/>
            <w:vAlign w:val="bottom"/>
            <w:gridSpan w:val="1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20" w:type="dxa"/>
            <w:vAlign w:val="bottom"/>
            <w:gridSpan w:val="2"/>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100" w:type="dxa"/>
            <w:vAlign w:val="bottom"/>
            <w:gridSpan w:val="2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w:t>
            </w:r>
          </w:p>
        </w:tc>
        <w:tc>
          <w:tcPr>
            <w:tcW w:w="740" w:type="dxa"/>
            <w:vAlign w:val="bottom"/>
            <w:gridSpan w:val="3"/>
          </w:tcPr>
          <w:p>
            <w:pPr>
              <w:spacing w:after="0"/>
              <w:rPr>
                <w:sz w:val="17"/>
                <w:szCs w:val="17"/>
                <w:color w:val="auto"/>
              </w:rPr>
            </w:pPr>
          </w:p>
        </w:tc>
        <w:tc>
          <w:tcPr>
            <w:tcW w:w="28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5520" w:type="dxa"/>
            <w:vAlign w:val="bottom"/>
            <w:gridSpan w:val="2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1C.</w:t>
            </w:r>
          </w:p>
        </w:tc>
        <w:tc>
          <w:tcPr>
            <w:tcW w:w="760" w:type="dxa"/>
            <w:vAlign w:val="bottom"/>
            <w:gridSpan w:val="4"/>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20" w:type="dxa"/>
            <w:vAlign w:val="bottom"/>
          </w:tcPr>
          <w:p>
            <w:pPr>
              <w:spacing w:after="0"/>
              <w:rPr>
                <w:sz w:val="17"/>
                <w:szCs w:val="17"/>
                <w:color w:val="auto"/>
              </w:rPr>
            </w:pPr>
          </w:p>
        </w:tc>
        <w:tc>
          <w:tcPr>
            <w:tcW w:w="620" w:type="dxa"/>
            <w:vAlign w:val="bottom"/>
            <w:tcBorders>
              <w:top w:val="single" w:sz="8" w:color="0000FF"/>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120" w:type="dxa"/>
            <w:vAlign w:val="bottom"/>
            <w:tcBorders>
              <w:top w:val="single" w:sz="8" w:color="0000FF"/>
            </w:tcBorders>
            <w:gridSpan w:val="2"/>
          </w:tcPr>
          <w:p>
            <w:pPr>
              <w:spacing w:after="0"/>
              <w:rPr>
                <w:sz w:val="17"/>
                <w:szCs w:val="17"/>
                <w:color w:val="auto"/>
              </w:rPr>
            </w:pPr>
          </w:p>
        </w:tc>
        <w:tc>
          <w:tcPr>
            <w:tcW w:w="760" w:type="dxa"/>
            <w:vAlign w:val="bottom"/>
            <w:gridSpan w:val="4"/>
          </w:tcPr>
          <w:p>
            <w:pPr>
              <w:spacing w:after="0"/>
              <w:rPr>
                <w:sz w:val="17"/>
                <w:szCs w:val="17"/>
                <w:color w:val="auto"/>
              </w:rPr>
            </w:pPr>
          </w:p>
        </w:tc>
        <w:tc>
          <w:tcPr>
            <w:tcW w:w="106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400" w:type="dxa"/>
            <w:vAlign w:val="bottom"/>
            <w:tcBorders>
              <w:top w:val="single" w:sz="8" w:color="0000FF"/>
            </w:tcBorders>
            <w:gridSpan w:val="4"/>
          </w:tcPr>
          <w:p>
            <w:pPr>
              <w:spacing w:after="0"/>
              <w:rPr>
                <w:sz w:val="17"/>
                <w:szCs w:val="17"/>
                <w:color w:val="auto"/>
              </w:rPr>
            </w:pPr>
          </w:p>
        </w:tc>
        <w:tc>
          <w:tcPr>
            <w:tcW w:w="6900" w:type="dxa"/>
            <w:vAlign w:val="bottom"/>
            <w:gridSpan w:val="2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2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880" w:type="dxa"/>
            <w:vAlign w:val="bottom"/>
            <w:gridSpan w:val="6"/>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880" w:type="dxa"/>
            <w:vAlign w:val="bottom"/>
            <w:gridSpan w:val="6"/>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412"/>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3940" w:type="dxa"/>
            <w:vAlign w:val="bottom"/>
            <w:gridSpan w:val="11"/>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w:t>
            </w:r>
          </w:p>
        </w:tc>
        <w:tc>
          <w:tcPr>
            <w:tcW w:w="13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800" w:type="dxa"/>
            <w:vAlign w:val="bottom"/>
            <w:gridSpan w:val="5"/>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[RESERVED]</w:t>
            </w:r>
          </w:p>
        </w:tc>
        <w:tc>
          <w:tcPr>
            <w:tcW w:w="2080" w:type="dxa"/>
            <w:vAlign w:val="bottom"/>
            <w:tcBorders>
              <w:top w:val="single" w:sz="8" w:color="0000EE"/>
            </w:tcBorders>
            <w:gridSpan w:val="13"/>
          </w:tcPr>
          <w:p>
            <w:pPr>
              <w:spacing w:after="0"/>
              <w:rPr>
                <w:sz w:val="17"/>
                <w:szCs w:val="17"/>
                <w:color w:val="auto"/>
              </w:rPr>
            </w:pPr>
          </w:p>
        </w:tc>
        <w:tc>
          <w:tcPr>
            <w:tcW w:w="5240" w:type="dxa"/>
            <w:vAlign w:val="bottom"/>
            <w:gridSpan w:val="19"/>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w:t>
            </w:r>
          </w:p>
        </w:tc>
        <w:tc>
          <w:tcPr>
            <w:tcW w:w="880" w:type="dxa"/>
            <w:vAlign w:val="bottom"/>
            <w:gridSpan w:val="6"/>
          </w:tcPr>
          <w:p>
            <w:pPr>
              <w:spacing w:after="0"/>
              <w:rPr>
                <w:sz w:val="17"/>
                <w:szCs w:val="17"/>
                <w:color w:val="auto"/>
              </w:rPr>
            </w:pPr>
          </w:p>
        </w:tc>
        <w:tc>
          <w:tcPr>
            <w:tcW w:w="784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w:t>
            </w:r>
          </w:p>
        </w:tc>
        <w:tc>
          <w:tcPr>
            <w:tcW w:w="52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OPERATIONS</w:t>
            </w:r>
          </w:p>
        </w:tc>
        <w:tc>
          <w:tcPr>
            <w:tcW w:w="7240" w:type="dxa"/>
            <w:vAlign w:val="bottom"/>
            <w:gridSpan w:val="29"/>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20" w:type="dxa"/>
            <w:vAlign w:val="bottom"/>
          </w:tcPr>
          <w:p>
            <w:pPr>
              <w:spacing w:after="0"/>
              <w:rPr>
                <w:sz w:val="17"/>
                <w:szCs w:val="17"/>
                <w:color w:val="auto"/>
              </w:rPr>
            </w:pPr>
          </w:p>
        </w:tc>
        <w:tc>
          <w:tcPr>
            <w:tcW w:w="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720" w:type="dxa"/>
            <w:vAlign w:val="bottom"/>
            <w:gridSpan w:val="2"/>
          </w:tcPr>
          <w:p>
            <w:pPr>
              <w:spacing w:after="0"/>
              <w:rPr>
                <w:sz w:val="17"/>
                <w:szCs w:val="17"/>
                <w:color w:val="auto"/>
              </w:rPr>
            </w:pPr>
          </w:p>
        </w:tc>
        <w:tc>
          <w:tcPr>
            <w:tcW w:w="62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6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880" w:type="dxa"/>
            <w:vAlign w:val="bottom"/>
            <w:gridSpan w:val="6"/>
          </w:tcPr>
          <w:p>
            <w:pPr>
              <w:spacing w:after="0"/>
              <w:rPr>
                <w:sz w:val="17"/>
                <w:szCs w:val="17"/>
                <w:color w:val="auto"/>
              </w:rPr>
            </w:pPr>
          </w:p>
        </w:tc>
        <w:tc>
          <w:tcPr>
            <w:tcW w:w="47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362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880" w:type="dxa"/>
            <w:vAlign w:val="bottom"/>
            <w:gridSpan w:val="6"/>
          </w:tcPr>
          <w:p>
            <w:pPr>
              <w:spacing w:after="0"/>
              <w:rPr>
                <w:sz w:val="17"/>
                <w:szCs w:val="17"/>
                <w:color w:val="auto"/>
              </w:rPr>
            </w:pPr>
          </w:p>
        </w:tc>
        <w:tc>
          <w:tcPr>
            <w:tcW w:w="79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w:t>
            </w:r>
          </w:p>
        </w:tc>
        <w:tc>
          <w:tcPr>
            <w:tcW w:w="38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DISCLOSURE</w:t>
            </w:r>
          </w:p>
        </w:tc>
        <w:tc>
          <w:tcPr>
            <w:tcW w:w="7260" w:type="dxa"/>
            <w:vAlign w:val="bottom"/>
            <w:gridSpan w:val="3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20" w:type="dxa"/>
            <w:vAlign w:val="bottom"/>
          </w:tcPr>
          <w:p>
            <w:pPr>
              <w:spacing w:after="0"/>
              <w:rPr>
                <w:sz w:val="17"/>
                <w:szCs w:val="17"/>
                <w:color w:val="auto"/>
              </w:rPr>
            </w:pPr>
          </w:p>
        </w:tc>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9A.</w:t>
            </w:r>
          </w:p>
        </w:tc>
        <w:tc>
          <w:tcPr>
            <w:tcW w:w="720" w:type="dxa"/>
            <w:vAlign w:val="bottom"/>
            <w:gridSpan w:val="2"/>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9B.</w:t>
            </w:r>
          </w:p>
        </w:tc>
        <w:tc>
          <w:tcPr>
            <w:tcW w:w="40" w:type="dxa"/>
            <w:vAlign w:val="bottom"/>
            <w:tcBorders>
              <w:top w:val="single" w:sz="8" w:color="0000EE"/>
            </w:tcBorders>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9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680" w:type="dxa"/>
            <w:vAlign w:val="bottom"/>
            <w:tcBorders>
              <w:top w:val="single" w:sz="8" w:color="0000EE"/>
            </w:tcBorders>
            <w:gridSpan w:val="4"/>
          </w:tcPr>
          <w:p>
            <w:pPr>
              <w:spacing w:after="0"/>
              <w:rPr>
                <w:sz w:val="17"/>
                <w:szCs w:val="17"/>
                <w:color w:val="auto"/>
              </w:rPr>
            </w:pPr>
          </w:p>
        </w:tc>
        <w:tc>
          <w:tcPr>
            <w:tcW w:w="5780" w:type="dxa"/>
            <w:vAlign w:val="bottom"/>
            <w:gridSpan w:val="21"/>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9C</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412"/>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760" w:type="dxa"/>
            <w:vAlign w:val="bottom"/>
            <w:tcBorders>
              <w:top w:val="single" w:sz="8" w:color="0000FF"/>
              <w:bottom w:val="single" w:sz="8" w:color="0000EE"/>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2500" w:type="dxa"/>
            <w:vAlign w:val="bottom"/>
            <w:tcBorders>
              <w:top w:val="single" w:sz="8" w:color="0000FF"/>
            </w:tcBorders>
            <w:gridSpan w:val="4"/>
          </w:tcPr>
          <w:p>
            <w:pPr>
              <w:spacing w:after="0"/>
              <w:rPr>
                <w:sz w:val="24"/>
                <w:szCs w:val="24"/>
                <w:color w:val="auto"/>
              </w:rPr>
            </w:pPr>
          </w:p>
        </w:tc>
        <w:tc>
          <w:tcPr>
            <w:tcW w:w="1400" w:type="dxa"/>
            <w:vAlign w:val="bottom"/>
            <w:gridSpan w:val="5"/>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10.</w:t>
            </w:r>
          </w:p>
        </w:tc>
        <w:tc>
          <w:tcPr>
            <w:tcW w:w="800" w:type="dxa"/>
            <w:vAlign w:val="bottom"/>
            <w:gridSpan w:val="5"/>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11.</w:t>
            </w:r>
          </w:p>
        </w:tc>
        <w:tc>
          <w:tcPr>
            <w:tcW w:w="800" w:type="dxa"/>
            <w:vAlign w:val="bottom"/>
            <w:gridSpan w:val="5"/>
          </w:tcPr>
          <w:p>
            <w:pPr>
              <w:spacing w:after="0"/>
              <w:rPr>
                <w:sz w:val="17"/>
                <w:szCs w:val="17"/>
                <w:color w:val="auto"/>
              </w:rPr>
            </w:pPr>
          </w:p>
        </w:tc>
        <w:tc>
          <w:tcPr>
            <w:tcW w:w="24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3340" w:type="dxa"/>
            <w:vAlign w:val="bottom"/>
            <w:tcBorders>
              <w:top w:val="single" w:sz="8" w:color="0000EE"/>
            </w:tcBorders>
            <w:gridSpan w:val="15"/>
          </w:tcPr>
          <w:p>
            <w:pPr>
              <w:spacing w:after="0"/>
              <w:rPr>
                <w:sz w:val="17"/>
                <w:szCs w:val="17"/>
                <w:color w:val="auto"/>
              </w:rPr>
            </w:pPr>
          </w:p>
        </w:tc>
        <w:tc>
          <w:tcPr>
            <w:tcW w:w="25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w:t>
            </w:r>
          </w:p>
        </w:tc>
        <w:tc>
          <w:tcPr>
            <w:tcW w:w="13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STOCKHOLDER MATTERS</w:t>
            </w:r>
          </w:p>
        </w:tc>
        <w:tc>
          <w:tcPr>
            <w:tcW w:w="5880" w:type="dxa"/>
            <w:vAlign w:val="bottom"/>
            <w:tcBorders>
              <w:top w:val="single" w:sz="8" w:color="0000EE"/>
            </w:tcBorders>
            <w:gridSpan w:val="23"/>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13.</w:t>
            </w:r>
          </w:p>
        </w:tc>
        <w:tc>
          <w:tcPr>
            <w:tcW w:w="800" w:type="dxa"/>
            <w:vAlign w:val="bottom"/>
            <w:gridSpan w:val="5"/>
          </w:tcPr>
          <w:p>
            <w:pPr>
              <w:spacing w:after="0"/>
              <w:rPr>
                <w:sz w:val="17"/>
                <w:szCs w:val="17"/>
                <w:color w:val="auto"/>
              </w:rPr>
            </w:pPr>
          </w:p>
        </w:tc>
        <w:tc>
          <w:tcPr>
            <w:tcW w:w="77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60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7"/>
          </w:tcPr>
          <w:p>
            <w:pPr>
              <w:jc w:val="center"/>
              <w:ind w:right="392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1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15.</w:t>
            </w:r>
          </w:p>
        </w:tc>
        <w:tc>
          <w:tcPr>
            <w:tcW w:w="800" w:type="dxa"/>
            <w:vAlign w:val="bottom"/>
            <w:gridSpan w:val="5"/>
          </w:tcPr>
          <w:p>
            <w:pPr>
              <w:spacing w:after="0"/>
              <w:rPr>
                <w:sz w:val="17"/>
                <w:szCs w:val="17"/>
                <w:color w:val="auto"/>
              </w:rPr>
            </w:pPr>
          </w:p>
        </w:tc>
        <w:tc>
          <w:tcPr>
            <w:tcW w:w="43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 AND FINANCIAL STATEMENT SCHEDULES</w:t>
            </w:r>
          </w:p>
        </w:tc>
        <w:tc>
          <w:tcPr>
            <w:tcW w:w="4000" w:type="dxa"/>
            <w:vAlign w:val="bottom"/>
            <w:gridSpan w:val="1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5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243"/>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Statements made in this Annual Report on Form 10-K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54" w:lineRule="exact"/>
        <w:rPr>
          <w:sz w:val="20"/>
          <w:szCs w:val="20"/>
          <w:color w:val="auto"/>
        </w:rPr>
      </w:pPr>
    </w:p>
    <w:p>
      <w:pPr>
        <w:ind w:left="760" w:right="26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FDA, European Medicines Agency ("EMA") and/or other comparable regulatory authorities for marketing approval for nomlabofusp (nomlabofusp is the International Nonproprietary Name and the United States Adopted Name for CTI-1601) or any other product candidates that we may develop in the future and unexpected costs that may result therefrom;</w:t>
      </w:r>
    </w:p>
    <w:p>
      <w:pPr>
        <w:spacing w:after="0" w:line="71"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FDA's request for additional information or studies (whether clinical or non-clinical), changes in clinical protocols, adverse events, regulatory restrictions, including additional clinical holds, and milestones for nomlabofusp;</w:t>
      </w:r>
    </w:p>
    <w:p>
      <w:pPr>
        <w:spacing w:after="0" w:line="7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ongoing open label extension trial (“OLE”) and our pediatric PK run-in trial, including the timing of site initiations and the rate of patient enrollment;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participating in the FDA’s Support for Clinical Trials Advancing Rare Disease Therapeutics (“START”) pilot program for the development of nomlabofusp;</w:t>
      </w:r>
    </w:p>
    <w:p>
      <w:pPr>
        <w:spacing w:after="0" w:line="53" w:lineRule="exact"/>
        <w:rPr>
          <w:rFonts w:ascii="Times New Roman" w:cs="Times New Roman" w:eastAsia="Times New Roman" w:hAnsi="Times New Roman"/>
          <w:sz w:val="18"/>
          <w:szCs w:val="18"/>
          <w:color w:val="auto"/>
        </w:rPr>
      </w:pPr>
    </w:p>
    <w:p>
      <w:pPr>
        <w:ind w:left="760" w:right="6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(“BLA”) submission for accelerated approval, including our ability to supply to the FDA all required data for the FDA to review and accept an accelerated application, or any other product candidates that we may develop in the future;</w:t>
      </w:r>
    </w:p>
    <w:p>
      <w:pPr>
        <w:spacing w:after="0" w:line="7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future financings, if any;</w:t>
      </w:r>
    </w:p>
    <w:p>
      <w:pPr>
        <w:spacing w:after="0" w:line="117"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86" w:lineRule="exact"/>
        <w:rPr>
          <w:sz w:val="20"/>
          <w:szCs w:val="20"/>
          <w:color w:val="auto"/>
        </w:rPr>
      </w:pPr>
    </w:p>
    <w:p>
      <w:pPr>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6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53"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or any other product candidates that we may develop in the future, the rate and degree of market acceptance of nomlabofusp, if approved, or any other product candidate, that we may develop in the future and our ability to serve those markets;</w:t>
      </w:r>
    </w:p>
    <w:p>
      <w:pPr>
        <w:spacing w:after="0" w:line="6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both approved and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competitors are able to establish a strong market position before we are able to commercialize our products);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17"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53" w:lineRule="exact"/>
        <w:rPr>
          <w:rFonts w:ascii="Times New Roman" w:cs="Times New Roman" w:eastAsia="Times New Roman" w:hAnsi="Times New Roman"/>
          <w:sz w:val="18"/>
          <w:szCs w:val="18"/>
          <w:color w:val="auto"/>
        </w:rPr>
      </w:pPr>
    </w:p>
    <w:p>
      <w:pPr>
        <w:ind w:left="760" w:right="60" w:hanging="378"/>
        <w:spacing w:after="0" w:line="25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monetary policy changes, changes in trade policies, including tariffs (including tariffs that have been or may in the future be imposed by the U.S. or other countries),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79" w:lineRule="exact"/>
        <w:rPr>
          <w:rFonts w:ascii="Times New Roman" w:cs="Times New Roman" w:eastAsia="Times New Roman" w:hAnsi="Times New Roman"/>
          <w:sz w:val="18"/>
          <w:szCs w:val="18"/>
          <w:color w:val="auto"/>
        </w:rPr>
      </w:pPr>
    </w:p>
    <w:p>
      <w:pPr>
        <w:ind w:left="760" w:right="6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regulatory developments in the U.S., including regulatory developments due to changes in the U.S. presidential administration healthcare reform in the United States, including the Inflation Reduction Act of 2022 ("IRA"), and measures being taken worldwide designed to reduce healthcare costs and limit the overall level of government expenditures; and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included under the section titled “Risk Factors.”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Except as required by law, we undertake no obligation to publicly update any forward-looking statements, whether as a result of new information, future events or otherwise after the date of this Annual Report on Form 10-K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5"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The risk factors summarized and detailed below could materially harm our business, operating results and/or financial condition, and may impair our future prospects and/or cause the price of our common stock to decline. These are not all of the risks we face, and other factors not presently known to us or that we currently believe are immaterial may also affect our business if they occur. Material risks that may affect our business, operating results and financial condition include, but are not necessarily limited to, those relating 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2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commercial revenue and may never become profitable.</w:t>
      </w:r>
    </w:p>
    <w:p>
      <w:pPr>
        <w:spacing w:after="0" w:line="117"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we have $183.5 million of cash, cash equivalents and marketable securities which we expect will fund operations into the second quarter of 2026. We may need to raise additional funding to complete the development and commercialization of nomlabofusp. This funding may not be available on acceptable terms, or at all. Failure to obtain this necessary capital when needed would force us to delay, limit or terminate our product development efforts or other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121" w:lineRule="exact"/>
        <w:rPr>
          <w:sz w:val="20"/>
          <w:szCs w:val="20"/>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currently dependent upon the success of our lead product candidate, nomlabofusp. We cannot be certain that we will ultimately be successful with our clinical development or that we will ever be able to obtain regulatory approval for nomlabofusp.</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the completion of our clinical trials could result in increased costs and could delay, prevent or limit our ability to generate revenue and continue our business.</w:t>
      </w:r>
    </w:p>
    <w:p>
      <w:pPr>
        <w:spacing w:after="0" w:line="53"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identifying and enrolling patients in our clinical trials given the limited number of patients who have the disease for which nomlabofusp is being studied or for any other product candidates we may study in the future. Difficulty in enrolling patients could delay or prevent clinical trials of nomlabofusp or any future product candidate. There is also a competing approved FA therapeutic, other competing studies and potentially other FA therapeutics that could be approved that may also limit the availability of prospective participants in nomlabofusp clinical trials.</w:t>
      </w:r>
    </w:p>
    <w:p>
      <w:pPr>
        <w:spacing w:after="0" w:line="75" w:lineRule="exact"/>
        <w:rPr>
          <w:rFonts w:ascii="Times New Roman" w:cs="Times New Roman" w:eastAsia="Times New Roman" w:hAnsi="Times New Roman"/>
          <w:sz w:val="18"/>
          <w:szCs w:val="18"/>
          <w:color w:val="auto"/>
        </w:rPr>
      </w:pPr>
    </w:p>
    <w:p>
      <w:pPr>
        <w:jc w:val="both"/>
        <w:ind w:left="760" w:right="1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Nomlabofusp, including the effects of long-term daily patient dosing may cause adverse events or undesirable side effects in clinical trials that could delay or prevent its regulatory approval, limit the commercial profile of approved labeling, or result in significant negative consequences following regulatory approval, if any.</w:t>
      </w:r>
    </w:p>
    <w:p>
      <w:pPr>
        <w:spacing w:after="0" w:line="67" w:lineRule="exact"/>
        <w:rPr>
          <w:rFonts w:ascii="Times New Roman" w:cs="Times New Roman" w:eastAsia="Times New Roman" w:hAnsi="Times New Roman"/>
          <w:sz w:val="18"/>
          <w:szCs w:val="18"/>
          <w:color w:val="auto"/>
        </w:rPr>
      </w:pPr>
    </w:p>
    <w:p>
      <w:pPr>
        <w:ind w:left="760" w:right="60" w:hanging="378"/>
        <w:spacing w:after="0" w:line="25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pursue accelerated approval from the FDA for nomlabofusp for the treatment of Friedreich’s ataxia, however this may not lead to a faster development or regulatory review or approval process and does not increase the likelihood that we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7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FDA guidance, guidance from other regulatory authorities or unanticipated events during our non-clinical or clinical trials of nomlabofusp or future product candidates may result in changes to clinical trial protocols or additional non-clinical or clinical trial requirements, which could result in increased costs to us and could delay our development timeline.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marketing approval for a product candidate, our product candidates will remain subject to regulatory oversight.</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nomlabofusp, if approved, we may not be able to generate any revenue.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86" w:lineRule="exact"/>
        <w:rPr>
          <w:sz w:val="20"/>
          <w:szCs w:val="20"/>
          <w:color w:val="auto"/>
        </w:rPr>
      </w:pPr>
    </w:p>
    <w:p>
      <w:pPr>
        <w:ind w:left="760" w:right="2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 for nomlabofusp, we may not achieve broad market acceptance, which would limit the revenue that we generate from our sales.</w:t>
      </w:r>
    </w:p>
    <w:p>
      <w:pPr>
        <w:spacing w:after="0" w:line="53"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competing technologies could emerge, adversely affecting our opportunity to generate revenue from the sale of nomlabofusp, if approved.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760" w:right="2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expected growth in the scale and complexity of our operations, including attracting and hiring additional qualified management, our performance may suffer.</w:t>
      </w:r>
    </w:p>
    <w:p>
      <w:pPr>
        <w:spacing w:after="0" w:line="53" w:lineRule="exact"/>
        <w:rPr>
          <w:rFonts w:ascii="Times New Roman" w:cs="Times New Roman" w:eastAsia="Times New Roman" w:hAnsi="Times New Roman"/>
          <w:sz w:val="18"/>
          <w:szCs w:val="18"/>
          <w:color w:val="auto"/>
        </w:rPr>
      </w:pPr>
    </w:p>
    <w:p>
      <w:pPr>
        <w:ind w:left="760" w:right="18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and rules, contractual obligations, industry standards, policies and other obligations related to data privacy and security laws,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ind w:left="760" w:right="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conducting or supervising clinical trials and must outsource all clinical trials. As a result, many important aspects of our drug development programs are outside of our direct control.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supply and manufacturing partners for drug supplies, for our research and development, non-clinical activities and clinical activities and may do the same for commercial supply of our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21" w:lineRule="exact"/>
        <w:rPr>
          <w:sz w:val="20"/>
          <w:szCs w:val="20"/>
          <w:color w:val="auto"/>
        </w:rPr>
      </w:pPr>
    </w:p>
    <w:p>
      <w:pPr>
        <w:ind w:left="760" w:right="14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United States and other countries, we are unable to adequately protect our proprietary technology or maintain issued patents which are sufficient to protect nomlabofusp or potential product candidates, third parties could compete against us more directly, which would have a material adverse impact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key patent relating to nomlabofusp, which we license, will expire in 2040 and we will lose our ability to rely upon this patent to prevent competing products from entering the market, which may impair our ability to generate revenue.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be highly volatile, and purchasers of our common stock could incur substantial losses.</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common stock is highly concentrated, and it may prevent other stockholders from influencing significant corporate decisions.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("INN") and the United States Adopted Name ("USAN")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increase FXN levels in patients with FA.</w:t>
      </w:r>
    </w:p>
    <w:p>
      <w:pPr>
        <w:spacing w:after="0" w:line="7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had cash, cash equivalents and marketable securities of $183.5 million, which we anticipate will fund operations into the second quarter of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Program Update</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two Phase 1 clinical trials and a Phase 2 dose exploration trial and have an ongoing Phase 2 OLE trial in patients with FA and an ongoing pharmacokinetic (PK) run-in study in adolescent patients with FA.</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May 2021, we reported positive top-line data from our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May 2023, we reported preliminary unblinded top-line data from the 25 mg cohort of our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w:t>
      </w:r>
    </w:p>
    <w:p>
      <w:pPr>
        <w:spacing w:after="0" w:line="6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July 2023, the FDA cleared initiation of a second cohort (50 mg) of our four-week, placebo-controlled, Phase 2 dose exploration trial of nomlabofusp in patients with FA and the initiation of our OLE trial with daily dosing of 25 mg.</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February 2024, we reported positive top-line data and successful completion of the Phase 2 dose exploration study.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Patients who completed treatment in our Phase 2 dose exploration study or who previously completed a prior clinical trial of nomlabofusp are eligible to screen and possibly participate in the OLE study.</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March 2024, we dosed the first patient in our OLE trial, evaluating daily subcutaneous injections of 25 mg of nomlabofusp self-administered or administered by a caregiver.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following the completion of enrollment, as well as at least one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May 30, 2024, we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we received access to the Medicines and Healthcare Regulatory Agency ("MHRA") Innovative Licensing and Access Pathway (“ILAP”) for the treatment of adults and children with FA. The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(the “EU”), and access to the PRIME scheme in the EU.</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December 2024, we reported positive initial data from our ongoing OLE study. This data included safety, FXN levels, clinical, pharmacokinetic data and dose escalation:</w:t>
      </w:r>
    </w:p>
    <w:p>
      <w:pPr>
        <w:spacing w:after="0" w:line="54" w:lineRule="exact"/>
        <w:rPr>
          <w:sz w:val="20"/>
          <w:szCs w:val="20"/>
          <w:color w:val="auto"/>
        </w:rPr>
      </w:pPr>
    </w:p>
    <w:p>
      <w:pPr>
        <w:ind w:left="900" w:right="12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and withdrew from the study;</w:t>
      </w:r>
    </w:p>
    <w:p>
      <w:pPr>
        <w:spacing w:after="0" w:line="6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healthy volunteers ("HV") at baseline to 30% in buccal cells and from 16% to 72% in skin cells at Day 90;</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FXN levels appear to reach steady-state levels by Day 30 in buccal cells;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clinical data showed trends toward improvement across a number of clinical outcomes for long-term 25 mg daily nomlabofusp including:</w:t>
      </w:r>
    </w:p>
    <w:p>
      <w:pPr>
        <w:spacing w:after="0" w:line="27" w:lineRule="exact"/>
        <w:rPr>
          <w:rFonts w:ascii="Times New Roman" w:cs="Times New Roman" w:eastAsia="Times New Roman" w:hAnsi="Times New Roman"/>
          <w:sz w:val="18"/>
          <w:szCs w:val="18"/>
          <w:color w:val="auto"/>
        </w:rPr>
      </w:pPr>
    </w:p>
    <w:p>
      <w:pPr>
        <w:ind w:left="90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decreased values indicating early trends towards improvement in the Modified Friedreich Ataxia Rating Scale ("mFARS") and the FARS-Activities of Daily Living ("ADL"), Modified Fatigue Impact Scale and 9-hole peg test at 90 days relative to baseline;</w:t>
      </w:r>
    </w:p>
    <w:p>
      <w:pPr>
        <w:spacing w:after="0" w:line="7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Also in December 2024, we announced that we were increasing the dose in the OLE to 50 mg of nomlabofusp daily for then currently enrolled and all future OLE study participants. In March 2025, we announced that our Safety Monitoring Team has deemed anaphylaxis as an adverse drug reaction likely associated with nomlabofusp and therefore, we expect to see additional reactions. To reduce the risk of allergic reactions, including anaphylaxis, we amended the OLE protocol to administer premedication for the first month of dosing. The OLE study is ongoing with seven sites activated and participants continuing to enroll. All study participants are currently receiving the 50 mg dose of nomlabofusp. We plan to provide an update on OLE data on at least 30 to 40 study participants, some of whom have been receiving nomlabofusp for more than a year, in September 2025.</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January 2025, we initiated dosing of adolescents (12-17 years old) in a PK run-in study for pediatric patients with FA. Study participants in the PK run-in study are randomized 2:1 to receive either nomlabofusp at a weight-base dose expected to match the PK of adults receiving the 50 mg dose, or placebo, daily for seven days. Following assessment of safety and PK data, participants will be eligible to screen for the OLE study. The data from this cohort is expected to be presented during the nomlabofusp program update in September 2025.</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March 2025, we announced that FDA stated in written correspondence associated with a meeting through the START pilot program that they are open to considering the use of FXN concentration as a reasonably likely surrogate endpoint (“RLSE”) and the acceptability of FXN’s use as an RLSE would ultimately be a matter of review of the data in a future marketing application. FDA recommended focusing on assessments of skin FXN concentrations rather than buccal FXN concentrations due to more consistent sampling and less variability. FDA acknowledged that data we recently submitted appear to support a relationship between increased FXN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concentrations in skin cells and relevant tissues such as the heart, dorsal root ganglion and skeletal muscle. FDA also acknowledged that the nonclinical studies we submitted were performed at relevant human doses. FDA also suggested that we consider exploring the relationship between increases in FXN in skin and changes in pharmacodynamic (PD) markers such as lipid profiles and/or clinical measures to provide additional support for the use of FXN as an RLSE. We plan to continue discussions with FDA regarding the adequacy of the safety data set for a BLA submission seeking accelerated approval targeted for year-end 2025.</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Additionally, we have obtained feedback from both FDA and EMA on the global Phase 3 study protocol and we are on track to initiate the study by mid-2025 with potential sites in the U.S., E.U., U.K, Canada, and Australia.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strategy is to become a leader in the treatment of rare diseases by leveraging our technology platform and applying our management team’s know-how and expertise to the development of nomlabofusp and other future pipeline programs. Key elements of our strategy include:</w:t>
      </w:r>
    </w:p>
    <w:p>
      <w:pPr>
        <w:spacing w:after="0" w:line="50" w:lineRule="exact"/>
        <w:rPr>
          <w:sz w:val="20"/>
          <w:szCs w:val="20"/>
          <w:color w:val="auto"/>
        </w:rPr>
      </w:pPr>
    </w:p>
    <w:p>
      <w:pPr>
        <w:ind w:left="900" w:hanging="383"/>
        <w:spacing w:after="0" w:line="25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nomlabofusp through clinical development and regulatory approval in the United States the European Union and other foreign jurisdictions </w:t>
      </w:r>
      <w:r>
        <w:rPr>
          <w:rFonts w:ascii="Times New Roman" w:cs="Times New Roman" w:eastAsia="Times New Roman" w:hAnsi="Times New Roman"/>
          <w:sz w:val="18"/>
          <w:szCs w:val="18"/>
          <w:color w:val="auto"/>
        </w:rPr>
        <w:t>We have completed two Phase 1 clinical trials and a Phase 2 dose exploration trial in patients with FA in the United States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an ongoing OLE study in the U.S with patients age 18 or older with initial dosing of 25 mg of nomlabofusp daily, which, in November 2024, we began increasing to 50 mg daily. In January 2025, we started dosing adolescents (12-17 years old) in a nomlabofusp pediatric PK run-in study. Study participants in the PK run-in study are randomized 2:1 to receive either nomlabofusp or placebo daily for seven days. Adolescents receive a weight-based dose expected to match the PK of adults receiving the 50 mg dose. Adolescents who complete participation in the PK run-in study will be eligible to screen in the ongoing OLE study following assessment of safety and PK data. We are continuing to develop and execute a clinical development plan for regulatory approval of nomlabofusp in the United States, the European Union, the United Kingdom ("UK"), Australia, Canada and potentially other countries. We have obtained feedback from both FDA and EMA on the global Phase 3 study protocol and we are on track to initiate the study by mid-2025 with potential sites in the U.S., E.U., U.K, Canada, and Australia. We are continuing discussions with FDA regarding the adequacy of the safety data set required to support BLA submission and we are targeting BLA submission by the end of 2025 to seek accelerated approval.</w:t>
      </w:r>
    </w:p>
    <w:p>
      <w:pPr>
        <w:spacing w:after="0" w:line="81" w:lineRule="exact"/>
        <w:rPr>
          <w:rFonts w:ascii="Times New Roman" w:cs="Times New Roman" w:eastAsia="Times New Roman" w:hAnsi="Times New Roman"/>
          <w:sz w:val="18"/>
          <w:szCs w:val="18"/>
          <w:color w:val="auto"/>
        </w:rPr>
      </w:pPr>
    </w:p>
    <w:p>
      <w:pPr>
        <w:ind w:left="900" w:right="160" w:hanging="383"/>
        <w:spacing w:after="0" w:line="254"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Intend to pursue the use of tissue frataxin levels as a novel surrogate endpoint to support a potential Biologics License Application (“BLA”) submission for accelerated approval</w:t>
      </w:r>
      <w:r>
        <w:rPr>
          <w:rFonts w:ascii="Times New Roman" w:cs="Times New Roman" w:eastAsia="Times New Roman" w:hAnsi="Times New Roman"/>
          <w:sz w:val="18"/>
          <w:szCs w:val="18"/>
          <w:color w:val="auto"/>
        </w:rPr>
        <w:t>. We have had discussions with the FDA regarding the potential use of tissue FXN levels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novel surrogate endpoint. The FDA acknowledged that frataxin deficiency appears to be critical to the pathogenic mechanism of FA, and that there continues to be an unmet need for treatments for FA patients that address the underlying disease pathophysiology. In March 2025, we announced that FDA stated in written correspondence associated with a meeting through the START pilot program that they are open to considering the use of FXN concentration as an RLSE and the acceptability of FXN’s use as an RLSE would ultimately be a matter of review of the data in a future marketing application. We intend to pursue an accelerated approval using FXN levels, supportive PD and clinical information, and safety data from the OLE study, along with additional non-clinical pharmacology information needed to support the novel surrogate endpoint approach. We are continuing to plan for a confirmatory study and have received feedback from FDA on the design of this study. We are targeting a BLA submission by the end of 2025.</w:t>
      </w:r>
    </w:p>
    <w:p>
      <w:pPr>
        <w:spacing w:after="0" w:line="77" w:lineRule="exact"/>
        <w:rPr>
          <w:rFonts w:ascii="Times New Roman" w:cs="Times New Roman" w:eastAsia="Times New Roman" w:hAnsi="Times New Roman"/>
          <w:sz w:val="18"/>
          <w:szCs w:val="18"/>
          <w:color w:val="auto"/>
        </w:rPr>
      </w:pPr>
    </w:p>
    <w:p>
      <w:pPr>
        <w:ind w:left="900" w:right="100" w:hanging="383"/>
        <w:spacing w:after="0" w:line="25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If nomlabofusp receives regulatory approval(s), commercialize nomlabofusp in the United States, the European Union, and other relevant countries independently or with third parties. </w:t>
      </w:r>
      <w:r>
        <w:rPr>
          <w:rFonts w:ascii="Times New Roman" w:cs="Times New Roman" w:eastAsia="Times New Roman" w:hAnsi="Times New Roman"/>
          <w:sz w:val="18"/>
          <w:szCs w:val="18"/>
          <w:color w:val="auto"/>
        </w:rPr>
        <w:t>We intend to evaluate commercialization options in the United States, the European Union,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Kingdom and in other foreign jurisdictions throughout the world where FA patients can benefit, if we are successful in obtaining regulatory approval. We may build our own internal sales force; partner with a contract sales organization, and/or enter into a joint marketing partnership with another pharmaceutical or biotechnology company, whereby we may jointly sell and market nomlabofusp, if approved; or we may seek to out-license nomlabofusp, whereby other pharmaceutical or biotechnology companies sell and market nomlabofusp and pay us milestone and/or royalty payments on sales.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2" w:lineRule="exact"/>
        <w:rPr>
          <w:sz w:val="20"/>
          <w:szCs w:val="20"/>
          <w:color w:val="auto"/>
        </w:rPr>
      </w:pPr>
    </w:p>
    <w:p>
      <w:pPr>
        <w:ind w:left="900" w:hanging="383"/>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product candidate pipeline to treat a variety of rare diseases. </w:t>
      </w:r>
      <w:r>
        <w:rPr>
          <w:rFonts w:ascii="Times New Roman" w:cs="Times New Roman" w:eastAsia="Times New Roman" w:hAnsi="Times New Roman"/>
          <w:sz w:val="18"/>
          <w:szCs w:val="18"/>
          <w:color w:val="auto"/>
        </w:rPr>
        <w:t>We intend to expand our pipeline to treat additional rare diseases.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component of this strategy is to utilize our novel protein replacement therapy platform technology to deliver FXN or other molecules to intracellular targets. We employ a rational approach to selecting disease targets, and take into account many scientific, business, and indication specific factors before choosing each indication.</w:t>
      </w:r>
    </w:p>
    <w:p>
      <w:pPr>
        <w:spacing w:after="0" w:line="68" w:lineRule="exact"/>
        <w:rPr>
          <w:rFonts w:ascii="Times New Roman" w:cs="Times New Roman" w:eastAsia="Times New Roman" w:hAnsi="Times New Roman"/>
          <w:sz w:val="18"/>
          <w:szCs w:val="18"/>
          <w:color w:val="auto"/>
        </w:rPr>
      </w:pPr>
    </w:p>
    <w:p>
      <w:pPr>
        <w:ind w:left="900" w:right="180" w:hanging="383"/>
        <w:spacing w:after="0" w:line="257"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improve our novel protein replacement therapy platform. </w:t>
      </w:r>
      <w:r>
        <w:rPr>
          <w:rFonts w:ascii="Times New Roman" w:cs="Times New Roman" w:eastAsia="Times New Roman" w:hAnsi="Times New Roman"/>
          <w:sz w:val="18"/>
          <w:szCs w:val="18"/>
          <w:color w:val="auto"/>
        </w:rPr>
        <w:t>We continue to improve the scientific understanding of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how our technology allows enhanced delivery of cargo proteins, thereby impacting the biological processes associated with the diseases we seek to treat. In addition, with our expertise in the use of a CPP to effectively deliver proteins to intracellular targets, we believe that our scientists are well positioned to design and develop additional therapies that will address unmet medical needs associated with other rare diseases and develop other therapeutics with potentially disease modifying therapeutic action. We also plan to continue to build our intellectual property portfolio to expand our protein replacement therapy platform.</w:t>
      </w:r>
    </w:p>
    <w:p>
      <w:pPr>
        <w:spacing w:after="0" w:line="74" w:lineRule="exact"/>
        <w:rPr>
          <w:rFonts w:ascii="Times New Roman" w:cs="Times New Roman" w:eastAsia="Times New Roman" w:hAnsi="Times New Roman"/>
          <w:sz w:val="18"/>
          <w:szCs w:val="18"/>
          <w:color w:val="auto"/>
        </w:rPr>
      </w:pPr>
    </w:p>
    <w:p>
      <w:pPr>
        <w:ind w:left="900" w:hanging="383"/>
        <w:spacing w:after="0" w:line="259"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Opportunistically evaluate enabling, adjacent or potential competing technologies, and where advantageous, seek licenses or collaborations regarding those technologies, to advance our platform. </w:t>
      </w:r>
      <w:r>
        <w:rPr>
          <w:rFonts w:ascii="Times New Roman" w:cs="Times New Roman" w:eastAsia="Times New Roman" w:hAnsi="Times New Roman"/>
          <w:sz w:val="18"/>
          <w:szCs w:val="18"/>
          <w:color w:val="auto"/>
        </w:rPr>
        <w:t>We will continue to evaluate technologies that may enable or enhance our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or our rare disease focus. To facilitate the advancement of our CPP platform, we periodically engage in partnering and licensing discussions with a range of biotechnology or pharmaceutical companies and academic institutions and maintain awareness of complementary technologies, synergistic opportunities and "tuck-in" options.</w:t>
      </w:r>
    </w:p>
    <w:p>
      <w:pPr>
        <w:spacing w:after="0" w:line="71" w:lineRule="exact"/>
        <w:rPr>
          <w:rFonts w:ascii="Times New Roman" w:cs="Times New Roman" w:eastAsia="Times New Roman" w:hAnsi="Times New Roman"/>
          <w:sz w:val="18"/>
          <w:szCs w:val="18"/>
          <w:color w:val="auto"/>
        </w:rPr>
      </w:pPr>
    </w:p>
    <w:p>
      <w:pPr>
        <w:ind w:left="900" w:right="100" w:hanging="383"/>
        <w:spacing w:after="0" w:line="254"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key relationships. </w:t>
      </w:r>
      <w:r>
        <w:rPr>
          <w:rFonts w:ascii="Times New Roman" w:cs="Times New Roman" w:eastAsia="Times New Roman" w:hAnsi="Times New Roman"/>
          <w:sz w:val="18"/>
          <w:szCs w:val="18"/>
          <w:color w:val="auto"/>
        </w:rPr>
        <w:t>We partner with experts in every aspect of development. We believe this expertise, along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platform, will provide us with the ability to develop and commercialize the drug and biologic candidates we have under development and to maximize the value of our platform. In addition to partnering with experts in drug and biologic development, we collaborate with key opinion leaders, academic institutions, experts in the field of rare diseases and with patient advocacy groups associated with the diseases that are being targeted. 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We build these relationships to enhance our knowledge of the patient’s needs and utilize that knowledge to design development programs intended to address unmet medical needs and add value for potential patients.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Technology for Treatment of Rare Genetic Diseases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estimated to be over 9,500 rare genetic diseases, which, collectively affect hundreds of millions of people worldwide. Of the hundreds of millions of individuals suffering from these rare genetic diseases, only approximately 5% have therapeutic options available to manage their disease. Many of these diseases result from a deficiency in the amount or the function of a particular target molecule, often a protein. Particularly challenging to treat are those diseases that result from the deficiency of a molecule that is active within a cell or within a cell-based organelle. The challenge to providing treatment of these diseases is the need to improve the amount or function of the therapeutic target by transporting a therapeutic element across the cell membrane and potentially the membrane of the organelle where the target is active in the diseased patients.</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ability to transport therapeutic proteins across biological membranes has, to date, not been reproducibly achieved. The collective population of people with rare diseases stands to benefit from the emergence of a scalable treatment platform that can transport therapeutic proteins across cell membranes to deliver them to the intracellular site of activity. In addition, traditionally, medical treatment for each rare genetic disorder has been approached on a disease-by-disease basis. This approach is inefficient, as there are thousands of diseases, each with a distinct patient population, that cannot be addressed by traditional therapeutic approaches and are in need of treatment options. Our understanding of our therapeutics derived from proprietary gene expression data across several disease models supports the concept that product candidates based on our platform technology could significantly impact common pathological mechanisms in various diseases with comparable etiologies. We are utilizing this approach to identify therapeutic opportunities where our molecules and technology are more likely to be impactful.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For the Treatment of Friedreich’s ataxia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Friedreich’s ataxia</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Friedreich’s ataxia is a rare genetic disease that is the most commonly inherited ataxia in humans, with approximately 20,000 individuals living with Friedreich’s ataxia globally, and of these individuals, approximately 5,000 are in the United States and the majority of the remaining individuals are primarily in Europe. Friedreich’s ataxia results from a deficiency of the mitochondrial protein, FXN. FXN is an essential and phylogenetically conserved protein that is found in cells throughout the body, with the highest levels found in the heart, spinal cord, liver, pancreas, and skeletal muscle. FXN is encoded in the nucleus of the cell, expressed in the cytoplasm and transported into the mitochondria, where it is processed to the mature form. As part of this process the mitochondrial targeting sequence is cleaved off in the mitochondria by a naturally occurring enzyme.</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Friedreich’s ataxia is a progressive multi-symptom disease typically presenting in mid-childhood that affects the functioning of multiple organs and systems. It is a debilitating neurodegenerative disease that results in poor coordination of legs and arms, progressive loss of the ability to walk, generalized weakness, loss of sensation, scoliosis, diabetes and cardiomyopathy as well as impaired vision, hearing and speech. Patients suffer from progressive neurologic and cardiac dysfunction. Key among these is a primary neurodegeneration of the dorsal root ganglia and the dentate nucleus of the cerebellum, which leads to the hallmark clinical findings of progressive limb ataxia and dysarthria. A hypertrophic cardiomyopathy is common and associated with early mortality, typically between 30 and 50 years of age. Omaveloxolone, the first drug approved for the treatment of FA, was approved by the FDA and the European Commission in February 2023 and February 2024,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Nomlabofusp</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Nomlabofusp, an investigational biologic fusion protein that is administered subcutaneously, consists of a CPP genetically fused to human FXN, and includes a mitochondrial targeting sequence. Using our proprietary peptide delivery technology, nomlabofusp is designed to carry the molecule from the intravascular space across the cell membrane and into the mitochondria where the CPP and the mitochondrial targeting sequence are cleaved off to yield mature FXN. See Figure 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88265</wp:posOffset>
            </wp:positionV>
            <wp:extent cx="4320540" cy="1611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have completed two Phase 1 nomlabofusp clinical trials, and a Phase 2 dose exploration trial and have an ongoing OLE study in the U.S with patients with initial dosing of 25 mg of nomlabofusp daily, which in November 2024 we increased to 50 mg daily. In January 2025, we started dosing of adolescents (12-17 years old) in a nomlabofusp pediatric PK run-in study. Study participants in the PK run-in study are randomized 2:1 to receive either nomlabofusp or placebo daily for seven days. Adolescents receive a weight-based dose equivalent to the 50 mg adult dose. Adolescents who complete participation in the PK run-in study will be eligible to screen in the ongoing OLE study. Following assessment of safety and PK data of each successive cohort, participants will be eligible to screen for the OLE study.</w:t>
      </w:r>
    </w:p>
    <w:p>
      <w:pPr>
        <w:spacing w:after="0" w:line="79" w:lineRule="exact"/>
        <w:rPr>
          <w:sz w:val="20"/>
          <w:szCs w:val="20"/>
          <w:color w:val="auto"/>
        </w:rPr>
      </w:pPr>
    </w:p>
    <w:p>
      <w:pPr>
        <w:ind w:right="520" w:firstLine="509"/>
        <w:spacing w:after="0" w:line="312" w:lineRule="auto"/>
        <w:rPr>
          <w:sz w:val="20"/>
          <w:szCs w:val="20"/>
          <w:color w:val="auto"/>
        </w:rPr>
      </w:pPr>
      <w:r>
        <w:rPr>
          <w:rFonts w:ascii="Times New Roman" w:cs="Times New Roman" w:eastAsia="Times New Roman" w:hAnsi="Times New Roman"/>
          <w:sz w:val="17"/>
          <w:szCs w:val="17"/>
          <w:color w:val="auto"/>
        </w:rPr>
        <w:t>Based on the results of our non-clinical development program as well as results from our Phase 2 clinical trials, we believe that administering nomlabofusp may increase FXN levels in the mitochondria of patients with Friedreich’s ataxia and patients could potentially experience:</w:t>
      </w:r>
    </w:p>
    <w:p>
      <w:pPr>
        <w:spacing w:after="0" w:line="32"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cellular function;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positive impact on Friedreich’s ataxia symptoms;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6"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slowing of progression of the disease, potentially prolonging life.</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our Phase 1 clinical trials, nomlabofusp appeared to increase FXN levels in the peripheral tissues that were tested (buccal cells, skin biopsies and platelets) and data from our Phase 2 dose exploration study demonstrated dose dependent increases in FXN levels in all evaluated tissues (skin and buccal cells) after daily dosing of 14 days followed by every other day dosing until day 28 in the 25 mg and 50 mg cohorts. Based on this, we believe that our technology may allow us to address other rare genetic diseases that either require the replacement of molecules that need to target specific intracellular organelles, or that share similar clinical symptoms that overlap with Friedreich’s ataxia. Finally, the use of nomlabofusp to improve mitochondrial function in other rare diseases that demonstrate evidence of mitochondrial dysfunction is also being explored.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Nomlabofusp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Non-clinical Development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Knock-Out Mice and Other Non-clinical Studies</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Nomlabofusp has been demonstrated to prolong the life of knock-out ("KO") mice whose heart and skeletal muscles were deficient in FXN. These mice, when untreated, develop a severe hypertrophic cardiomyopathy similar to patients with Friedreich’s ataxia and, like many Friedreich’s ataxia patients, die early in life. In non-clinical studies of nomlabofusp, the median survival in animals treated with vehicle of 98 days was extended to a median survival of 166 days in animals treated with nomlabofusp subcutaneously three times per week (p=0.0001). Furthermore, 87.5% of mice treated with nomlabofusp survived beyond the mean age of death in the vehicle treated group (107.5 days) whereas only 33% of vehicle treated animals survived. Results are reflected in Figure 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88265</wp:posOffset>
            </wp:positionV>
            <wp:extent cx="2486025" cy="1731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60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 separate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activity of succinate dehydrogenase ("SDH") an enzyme whose activity is dependent on the presence of FXN, was also analyzed. Human FXN was found in the 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 type animals. There was no further increase in activity when the animals were dosed with 60 mg/kg or 100 mg/kg but the effect was maintained at levels equivalent to that of wild type animals. See Figures 3 and 4.</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88265</wp:posOffset>
            </wp:positionV>
            <wp:extent cx="2400300" cy="1568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88265</wp:posOffset>
            </wp:positionV>
            <wp:extent cx="2245995" cy="1457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459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Another study, also performed at an independent laboratory, demonstrated the maintenance of cardiac function when the same KO mouse model was studied. These mice were treated with nomlabofusp at doses of 10 mg/kg every other day for 6 weeks. Echocardiograms were performed prior to initiating dosing and after 4 weeks of dosing. When compared to vehicle, mice treated with nomlabofusp maintained their left ventricular volume and ejection fraction while vehicle treated mice deteriorated over the same 4-week period. See Figures 5 and 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88265</wp:posOffset>
            </wp:positionV>
            <wp:extent cx="4371975" cy="1654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7197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88265</wp:posOffset>
            </wp:positionV>
            <wp:extent cx="4243070" cy="1697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4307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Using a neurologic mouse model, treatment with nomlabofusp prevented the development of ataxia in mice whose nervous system was deficient in FXN compared to those treated with placebo.</w:t>
      </w:r>
    </w:p>
    <w:p>
      <w:pPr>
        <w:spacing w:after="0" w:line="5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multiple non-clinical studies in rodents and non-human primates ("NHPs"), human FXN was found to be distributed into all tissues tested following nomlabofusp dosing. See Figure 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7.</w:t>
      </w:r>
    </w:p>
    <w:p>
      <w:pPr>
        <w:spacing w:after="0" w:line="200" w:lineRule="exact"/>
        <w:rPr>
          <w:sz w:val="20"/>
          <w:szCs w:val="20"/>
          <w:color w:val="auto"/>
        </w:rPr>
      </w:pPr>
    </w:p>
    <w:p>
      <w:pPr>
        <w:spacing w:after="0" w:line="2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Observed hFXN across all tissue and cell types tested:</w:t>
      </w:r>
    </w:p>
    <w:p>
      <w:pPr>
        <w:spacing w:after="0" w:line="76" w:lineRule="exact"/>
        <w:rPr>
          <w:sz w:val="20"/>
          <w:szCs w:val="20"/>
          <w:color w:val="auto"/>
        </w:rPr>
      </w:pPr>
    </w:p>
    <w:tbl>
      <w:tblPr>
        <w:tblLayout w:type="fixed"/>
        <w:tblInd w:w="920" w:type="dxa"/>
        <w:tblCellMar>
          <w:top w:w="0" w:type="dxa"/>
          <w:left w:w="0" w:type="dxa"/>
          <w:bottom w:w="0" w:type="dxa"/>
          <w:right w:w="0" w:type="dxa"/>
        </w:tblCellMar>
      </w:tblPr>
      <w:tr>
        <w:trPr>
          <w:trHeight w:val="283"/>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Brain</w:t>
            </w:r>
          </w:p>
        </w:tc>
        <w:tc>
          <w:tcPr>
            <w:tcW w:w="9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Spinal Cord</w:t>
            </w:r>
          </w:p>
        </w:tc>
        <w:tc>
          <w:tcPr>
            <w:tcW w:w="11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Skin</w:t>
            </w:r>
          </w:p>
        </w:tc>
      </w:tr>
      <w:tr>
        <w:trPr>
          <w:trHeight w:val="283"/>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Heart</w:t>
            </w:r>
          </w:p>
        </w:tc>
        <w:tc>
          <w:tcPr>
            <w:tcW w:w="9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Cardiac Mitochondria</w:t>
            </w:r>
          </w:p>
        </w:tc>
        <w:tc>
          <w:tcPr>
            <w:tcW w:w="11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Buccal Cells</w:t>
            </w:r>
          </w:p>
        </w:tc>
      </w:tr>
      <w:tr>
        <w:trPr>
          <w:trHeight w:val="284"/>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Liver</w:t>
            </w:r>
          </w:p>
        </w:tc>
        <w:tc>
          <w:tcPr>
            <w:tcW w:w="9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CSF (Cerebrospinal Fluid)</w:t>
            </w:r>
          </w:p>
        </w:tc>
        <w:tc>
          <w:tcPr>
            <w:tcW w:w="11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Platelets</w:t>
            </w:r>
          </w:p>
        </w:tc>
      </w:tr>
      <w:tr>
        <w:trPr>
          <w:trHeight w:val="303"/>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Dorsal Root Ganglia</w:t>
            </w:r>
          </w:p>
        </w:tc>
        <w:tc>
          <w:tcPr>
            <w:tcW w:w="9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Skeletal Muscle</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Non-Human Primate and Rat Toxicology Studies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previously conducted 28-day and 13-week GLP toxicology studies of nomlabofusp in two species, rat and NHP. In the rat studies, some injection sites showed edema and erythema with associated histologic changes localized to the injection site. The rat studies showed no significant clinical observations and no significant systemic histopathological findings. In the NHP studies, some injection sites were raised and firm with dose dependent histologic changes localized to the injection sites. The NHP 28-day study showed no systemic toxicity. The NHP 13-week study showed no systemic toxicity in the low and mid-dose groups, and minimal to mild histopathological findings in the high dose group. There were also several episodes of occasional transient muscle rigidity in some animals observed immediately after dosing in the two highest dose groups at very high exposures. These clinical observations resolved with no intervention and all of the NHPs who experienced these clinical observations received all doses and completed the in-life portion of the study.</w:t>
      </w:r>
    </w:p>
    <w:p>
      <w:pPr>
        <w:spacing w:after="0" w:line="84"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To support extended dosing of patients with nomlabofusp, we conducted a 26-week NHP toxicology study in 2021. In May 2021, we notified the FDA of certain mortalities which occurred at the two highest dose levels in the then-ongoing study. On May 25, 2021, the FDA placed a clinical hold on the nomlabofusp clinical program. In the clinical hold letter, the FDA stated that it needed to review a full study report from the then-ongoing NHP study and that we could not initiate additional interventional clinical trials until we submitted such report and received notification from the FDA that additional clinical trials could commence. At the time of the FDA clinical hold, we had no interventional clinical trials with patients enrolled or enrolling.</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July 2021, we completed dosing in the 26-week NHP toxicology study. The study included four dose groups in addition to vehicle. Data from the study were collected throughout the second half of 2021 and included in the complete response to the clinical hold submitted to the FDA in January 2022. After additional interactions and submission of additional information requested by FDA, in September 2022, the FDA lifted its full clinical hold on the nomlabofusp clinical development program and imposed a partial clinical hold. Following additional interactions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submission of clinical data, in May 2024, the FDA removed the partial clinical hold on the development of nomlabofusp.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Non-Interventional Study</w:t>
      </w:r>
    </w:p>
    <w:p>
      <w:pPr>
        <w:spacing w:after="0" w:line="11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In 2021, we conducted a non-interventional study that enrolled 60 healthy adults to examine the range of tissue FXN concentrations in individuals who are homozygous for the normal FXN gene. Tissue samples in these studies were collected using the same sampling techniques and proprietary assay used in the interventional studies. Enrollment in this study was completed in 2022 and data has been used for comparison purposes in the Phase 2 clinical study described below. See Figure 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597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FXN concentrations were measured in skin and buccal cells from 60 homozygous healthy volunteers utilizing the same sampling technique and assay as clinical trials of nomlabofusp; FXN levels measured via detection of peptide derived from mature FXN; FXN concentrations normalized to total cellular protein content in each sample. 1. E.C. Deutsch et al. Molecular Genetics and Metabolism 101 (2010) 238–245. 2. Friedreich’s Ataxia Research Alliance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Trials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Completed Phase 1 Clinical Studies in Adults with Friedreich’s Ataxia</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submitted our Investigational New Drug application ("IND") application for nomlabofusp and began Phase 1 clinical trials in 2019 in patients with FA. We completed two clinical studies of nomlabofusp in adult subjects with FA, a SAD study (completed in 2020) and a MAD study (completed in 2021). The primary objective for the SAD and MAD studies was to assess the tolerability of nomlabofusp at doses ranging from 25 mg to 100 mg administered via subcutaneous injection ("SC"). The secondary objectives were to establish the PK of nomlabofusp administration in humans and to explore the PD of nomlabofusp administration by measuring tissue FXN concentrations in accessible tissues, namely buccal and skin cells, and in platelets. Administration of nomlabofusp via SC injection appeared to be well tolerated up to doses of 100 mg administered daily for up to 13 days. No SAEs were reported in either study. The most common treatment emergent adverse events ("TEAEs") were injection site reactions ("ISRs") that were generally mild, self-limited, and usually resolved within approximately 1 hour. Patients in the 25 mg cohort were dosed once a day for the first 4 days followed by 1 dose every third day through day 13 for a total of 7 doses, while the patients in the 50 mg cohort were dosed once a day for the first 7 days followed by 1 dose every other day through day 13 for a total of 10 doses, and patients in the 100 mg cohort were dosed once a day for 13 days consecutively for a total of 13 doses (see Figures 9 and 10). The study was designed in this fashion to ensure that the PK of nomlabofusp in patients with FA were characterized at the lower doses before the dose was escalated. This is typical of first in human studies such as multiple-ascending dose trials that evaluate a study drug’s clinical safety profile.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rapid uptake of nomlabofusp into the circulation following subcutaneous injection, and exposure appeared to be proportional to dose.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58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657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*FXN levels measured via detection of peptide derived from mature FXN; FXN concentrations are normalized to total cellular protein content in each sample; Data represent median and 25th and 75th percentiles; FXN levels from day 4, &amp; day 13 measurements are shown for data derived from the 25 mg cohort; FXN levels from day 7 &amp; day 13 measurements are shown for data derived from the 50 &amp; 100 mg cohorts.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Completed Phase 2 Dose Exploration Study</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Phase 2 randomized, double-blind, placebo-controlled dose exploration study evaluated the safety, tolerability, PK and PD of two doses of nomlabofusp. Cohort 1 evaluated 25 mg and Cohort 2 evaluated 50 mg. Participants in either the 25 mg or 50 mg cohorts were randomized 2:1 to receive daily subcutaneous injections of either nomlabofusp or placebo for 14 days, and then every other day for an additional 14 days for a total 28-day dosing period.</w:t>
      </w: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6" w:name="page17"/>
    <w:bookmarkEnd w:id="16"/>
    <w:p>
      <w:pPr>
        <w:spacing w:after="0" w:line="8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May 2023, we reported preliminary unblinded top-line data from the 25 mg cohort of the dose exploration study. Data from the cohort indicated nomlabofusp was generally well tolerated and showed increases in FXN levels from baseline compared to placebo in all evaluated tissues (skin and buccal cells) at day 14. In July 2023, the FDA cleared initiation of the second cohort (50 mg) of the study.</w:t>
      </w:r>
    </w:p>
    <w:p>
      <w:pPr>
        <w:spacing w:after="0" w:line="68"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reported positive top-line data and successful completion of the dose exploration study. Nomlabofusp was generally well tolerated and demonstrated dose response in FXN levels in all evaluated tissues (skin and buccal cells) after daily dosing of 14 days followed by every other day dosing until day 28 in the 25 mg and 50 mg cohorts.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With regard to safety in the Phase 2 dose exploration trial, there were a total of 28 participants (19 received nomlabofusp and 9 received placebo). There were no serious adverse events reported. There was one allergic reaction which was considered to be a severe adverse event in the 25 mg cohort that resolved with standard treatment. This participant withdrew from the trial. The most common adverse events reported were mild and moderate injection site reactions which resolved without any intervention and there were no study discontinuations due to injection site reactions. Consistent with findings in our Phase 1 study, nomlabofusp demonstrated quick absorption after subcutaneous administration and had dose proportional increases in exposure.</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Participants treated with 50 mg for 14 days daily had frataxin levels in skin cells increase from less than 17% at baseline relative to healthy volunteers, to 33% to 59% of healthy volunteers after 14 days of treatment. Patients treated with placebo showed no increase in their frataxin levels during this period. Additionally, the majority of treated patients in both cohorts with quantifiable levels of frataxin at baseline and day 14 achieve at least a 100% increase in tissue frataxin in skin cells, and at least a 30% increase in tissue frataxin levels in buccal cells. Figures 11 and 14 show a clear dose response and increase from baseline in skin tissue and buccal tissue frataxin levels, respectively.</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graph on the left in both Figures 12 and 15 shows a dose dependent increase in frataxin levels after 14 days of treatment. With both skin and buccal cells, when dosing is switched to every other day the magnitude of the increase in frataxin levels declines.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waterfall plots on the right in both Figures 12 and 15 depict the individual changes in frataxin levels from baseline in skin cells and buccal cells at day 14 respectively. Each bar represents an individual patient, with placebo treated participants in gray, the 25 mg cohort in aqua, and the 50 mg cohort in blue. The majority of patients treated with nomlabofusp had significant increases in frataxin levels while placebo patients were basically unchanged. Importantly, there also appears to be a dose response as frataxin levels are notably increased in most of the 50 mg cohort over the 25 mg cohort.</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 w:name="page18"/>
    <w:bookmarkEnd w:id="1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63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Only participants with quantifiable levels at baseline and day 14 and day 28 are included in the tables.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691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*FXN levels measured via detection of peptide derived from mature FXN; FXN concentrations are normalized to total cellular protein content in each sample. Data represent median and 25th and 75th percentiles. Only participants with quantifiable levels at both baseline and day 14 are included in the figures.</w:t>
      </w:r>
    </w:p>
    <w:p>
      <w:pPr>
        <w:spacing w:after="0"/>
        <w:rPr>
          <w:sz w:val="20"/>
          <w:szCs w:val="20"/>
          <w:color w:val="auto"/>
        </w:rPr>
      </w:pPr>
      <w:r>
        <w:rPr>
          <w:rFonts w:ascii="Times New Roman" w:cs="Times New Roman" w:eastAsia="Times New Roman" w:hAnsi="Times New Roman"/>
          <w:sz w:val="14"/>
          <w:szCs w:val="14"/>
          <w:color w:val="auto"/>
        </w:rPr>
        <w:t>**Median baseline FXN levels in patients were 3.5 pg/µg for the placebo, 3.7 pg/µg for the 25 mg cohort and 2.1 pg/µg for the 50 mg cohort.</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Figures 13 and 16 depict how many people had a shift in frataxin levels in skin cells and buccal cells as a percentage of average healthy volunteers after 14 days of treatment. On the left is the 25 mg cohort and on the right is the 50 mg cohort. On the far left of each figure are categories of the percentage of average healthy volunteers. Figures in black to the left of the black vertical line represent patients at baseline. Figures to the right of the black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vertical line represent day 14 frataxin levels as a percentage of average healthy volunteers. In blue are individuals that increase by 25% to 50% and in green are individuals that exceeded 50% of average healthy volunteers.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777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Only participants with quantifiable levels at baseline and day 14 are included in the figures.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of healthy volunteer FXN level is calculated by dividing each participant's FXN level by the average FXN level (16.34 pg/µg) from the noninterventional healthy volunteer study (N=60).</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751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Only participants with quantifiable levels at baseline and day 14 and day 28 are included in the tables.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58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*FXN levels measured via detection of peptide derived from mature FXN; FXN concentrations are normalized to total cellular protein content in each sample. Data represent median and 25th and 75th percentiles. Only participants with quantifiable levels at both baseline and Day 14 are included in the figures.</w:t>
      </w:r>
    </w:p>
    <w:p>
      <w:pPr>
        <w:spacing w:after="0"/>
        <w:rPr>
          <w:sz w:val="20"/>
          <w:szCs w:val="20"/>
          <w:color w:val="auto"/>
        </w:rPr>
      </w:pPr>
      <w:r>
        <w:rPr>
          <w:rFonts w:ascii="Times New Roman" w:cs="Times New Roman" w:eastAsia="Times New Roman" w:hAnsi="Times New Roman"/>
          <w:sz w:val="14"/>
          <w:szCs w:val="14"/>
          <w:color w:val="auto"/>
        </w:rPr>
        <w:t>**Median baseline FXN level in patients were 2.1 pg/µg for the placebo, 1.8 pg/µg for the 25 mg cohort and 1.6 pg/µg for the 50 mg cohort.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854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Only participants with quantifiable levels at baseline and day 14 are included in the figures.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of healthy volunteer FXN level is calculated by dividing each participant's FXN level by the average FXN level (8.24 pg/µg) from the noninterventional healthy volunteer study (N=60).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Open Label Extension</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January 2024, we initiated the OLE trial evaluating daily subcutaneous injections of 25 mg of nomlabofusp self-administered or administered by a caregiver, with the first patient dosed in March 2024. Participants who completed treatment in the Phase 2 dose exploration study,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following the completion of enrollment, as well as at least one 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we reported positive initial data from our ongoing OLE study. This data included safety, FXN levels, clinical, pharmacokinetic data and dose escalation:</w:t>
      </w:r>
    </w:p>
    <w:p>
      <w:pPr>
        <w:spacing w:after="0" w:line="54" w:lineRule="exact"/>
        <w:rPr>
          <w:sz w:val="20"/>
          <w:szCs w:val="20"/>
          <w:color w:val="auto"/>
        </w:rPr>
      </w:pPr>
    </w:p>
    <w:p>
      <w:pPr>
        <w:ind w:left="900" w:right="1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who withdrew from the study;</w:t>
      </w:r>
    </w:p>
    <w:p>
      <w:pPr>
        <w:spacing w:after="0" w:line="67"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HV at baseline to 30% in buccal cells and from 16% to 72% in skin cells at Day 90;</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FXN levels appear to reach steady-state levels by Day 30 in buccal cells;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clinical data showed trends toward improvement across a number of clinical outcomes for long-term 25 mg daily nomlabofusp including:</w:t>
      </w:r>
    </w:p>
    <w:p>
      <w:pPr>
        <w:spacing w:after="0" w:line="38" w:lineRule="exact"/>
        <w:rPr>
          <w:rFonts w:ascii="Times New Roman" w:cs="Times New Roman" w:eastAsia="Times New Roman" w:hAnsi="Times New Roman"/>
          <w:sz w:val="17"/>
          <w:szCs w:val="17"/>
          <w:color w:val="auto"/>
        </w:rPr>
      </w:pPr>
    </w:p>
    <w:p>
      <w:pPr>
        <w:ind w:left="900" w:right="2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decreased values indicating early trends towards improvement in the Modified Friedreich Ataxia Rating Scale (mFARS) and the FARS-Activities of Daily Living ("ADL"), Modified Fatigue Impact Scale and 9 hole peg test at 90 days relative to baseline;</w:t>
      </w:r>
    </w:p>
    <w:p>
      <w:pPr>
        <w:spacing w:after="0" w:line="73" w:lineRule="exact"/>
        <w:rPr>
          <w:rFonts w:ascii="Times New Roman" w:cs="Times New Roman" w:eastAsia="Times New Roman" w:hAnsi="Times New Roman"/>
          <w:sz w:val="17"/>
          <w:szCs w:val="17"/>
          <w:color w:val="auto"/>
        </w:rPr>
      </w:pPr>
    </w:p>
    <w:p>
      <w:pPr>
        <w:ind w:left="900" w:right="1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Also in December 2024, we announced that we were increasing the dose in the OLE to 50 mg of nomlabofusp daily for then currently enrolled and all future OLE study participants. In March 2025, we announced that our Safety Monitoring Team has deemed anaphylaxis as an adverse drug reaction likely associated with nomlabofusp and therefore, we expect to see additional reactions. To reduce the risk of allergic reactions, including anaphylaxis, we amended the OLE protocol to administer premedication for the first month of dosing. The OLE study is ongoing with seven sites activated and participants continuing to enroll, and all study participants are currently receiving the 50 mg dose of nomlabofusp. We plan to provide an update on OLE data on at least 30 to 40 study participants, some of whom have been receiving nomlabofusp for more than a year, in September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upon our ability to obtain and maintain proprietary protection for our current and future products and technologies, and to operate without infringing the proprietary rights of others. Our policy is to protect our proprietary position by, among other methods, filing for patent applications on inventions that are important to the development and conduct of our business with the U.S. Patent and Trademark Office and its foreign counterparts. We also intend to rely on regulatory exclusivity (also called data exclusivity), which is separate and distinct from the protection afforded by patents, to protect our products. We further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require confidentiality or service agreements from third parties that receive our confidential information or materials.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March 17, 2025, our intellectual property portfolio was composed of numerous international Patent Cooperation Treaty ("PCT"), foreign, United States non-provisional patent applications, issued United States patents and United States provisional patent applications that we own or co-own, and five issued United States patents and additional non-provisional patent applications in the United States and in certain foreign jurisdictions that we license from academic institutions. The issued patents in the United States licensed by us, which include issued patents covering the composition of matter for nomlabofusp and methods for treating FA, have expiration dates between 2025 and 2040 without taking potential patent term extension into consideration. The international and the United States non-provisional patent applications licensed by us relate to composition of matter and methods of use for nomlabofusp.</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additional patent applications we own or co-own, which include PCT, foreign and United States non-provisional patent applications, United States patents, and United States provisional patent applications are related to the development of nomlabofusp, including methods of use of nomlabofusp, and to our peptide-delivery platform technology.</w:t>
      </w:r>
    </w:p>
    <w:p>
      <w:pPr>
        <w:spacing w:after="0" w:line="68" w:lineRule="exact"/>
        <w:rPr>
          <w:sz w:val="20"/>
          <w:szCs w:val="20"/>
          <w:color w:val="auto"/>
        </w:rPr>
      </w:pP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we or our licensor timely files non-provisional patent applications in the United States and in countries outside of the United States with regard to our provisional patent applications and these non-provisional patent applications result in issued patents, such patents are expected to expire in 2045, without taking potential patent term adjustment or patent term extension into consideration.</w:t>
      </w:r>
    </w:p>
    <w:p>
      <w:pPr>
        <w:spacing w:after="0" w:line="7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Nomlabofusp is covered by licensed issued patents (composition of matter and methods of use) in the United States which, if properly maintained, will expire in 2025 and 2040, excluding any patent term extensions that might be available following the grant of marketing authorizations. We also possess an exclusive license to non-provisional applications in the United States and certain countries outside the United States for nomlabofusp (composition of matter and methods of use). If these patent applications in the United States and other countries result in issued patents, those patents would be expected to expire in 2040. This estimated expiration excludes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8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6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also use other forms of protection besides patent protection and regulatory exclusivity, such as trademark, copyright, and trade secret protection, to enhance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exclusive positions for our product candidates, such as nomlabofusp, where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 Agreements</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We are party to a License Agreement dated November 30, 2016 with Wake Forest University Health Sciences ("WFUHS") and a License Agreement dated November 30, 2016, as amended, with Indiana University ("IU"). Such agreements provide for a transferable, worldwide license to certain patent rights regarding technology used by us with respect to the development of nomlabofusp.</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we will pay each of WFUHS and IU a royalty of a low single digit percentage of net sales of licensed products depending on whether there is a valid patent covering such products. As additional consideration for these agreements, we are obligated to pay each of WFUHS and IU certain milestone payments of up to $2.6 million in the aggregate upon the achievement of certain developmental milestones, commencing on the enrollment of the first patient in a Phase 1 clinical trial. We will also pay each of WFUHS and IU sublicensing fees ranging up to a low double-digit percentage of sublicense consideration depending on our achievement of certain regulatory milestones as of the time of receipt of the sublicense consideration. We are also obligated to reimburse WFUHS and IU for patent-related expenses. In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event that we dispute the validity of any of the licensed patents, the royalty rate would be tripled during such dispute. We are also obligated to pay to IU a minimum annual royalty of less than $0.1 million per annum starting in the 2020 calendar year for the term of the agreement.</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we are required to pay IU consideration, then we may deduct 20% of such IU consideration on a dollar-for-dollar basis from the consideration due to WFUHS. In the event that we are required to pay WFUHS consideration, then we may deduct 60% of such WFUHS consideration on a dollar-for-dollar basis from the consideration due to IU.</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platform technology, product candidates and scientific expertise in the field of rare diseases provide competitive advantages, we face competition from various sources, including larger and better-funded pharmaceutical companies, specialty pharmaceutical companies and biotechnology companies, as well as from academic institutions, governmental agencies and public and private research institutions. We expect to compete with Biogen’s SKYCLARYS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(omaveloxolone), which was approved for the treatment of FA in adults and adolescents aged 16 and older by the FDA and the European Commission in February 2023 and February 2024, respectively. Other competitors currently developing therapeutics to treat FA include, but are not limited to Design Therapeutics, Lexeo Therapeutics, Neurocrine Biosciences/Voyager Therapeutics and PTC Therapeutics ("PTC"). The FDA has accepted for filing PTC’s NDA for vatiquinone for the treatment of children and adults living with FA with a target action date of August 19, 2025. Many of our competitors have significantly greater name recognition, longer operating histories and financial, technical manufacturing, marketing and human resources than we do. Mergers and acquisitions in the pharmaceutical and biotechnology industries may result in even more resources being concentrated amongst a smaller number of our competitors. Our commercial opportunity could be reduced or eliminated if our competitors develop or market products or other novel therapies that are more effective, safer or less costly than our product candidates or obtain regulatory approval for their products more rapidly than we may obtain approval for our product candidates.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Nomlabofusp is a biologic fusion protein that is produced in E. coli. We have worked with contract manufacturers and research organizations to develop, in accordance with current Good Manufacturing Practices (“cGMP”) a manufacturing process and analytical methods for drug substance and drug product to support clinical trials. We also use third party manufacturers for the clinical packaging, storage and distribution of nomlabofusp. We rely on third parties to store the nomlabofusp master cell bank and working cell bank, each stored at a different location. We continue to advance the manufacturing of nomlabofusp, obtain stability data, and produce drug product for future clinical trials. We are continually trying to optimize our manufacturing process to increase yields, decrease costs and increase reliability in supply chains. The final process will need to be successfully scaled up to support commercial manufacturing.</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drug substance which is in frozen liquid form for nomlabofusp is currently manufactured for us by KBI Biopharma, Inc. ("KBI"). We are party to a Master Services Agreement, as amended, with KBI, pursuant to which KBI provides biological development and clinical manufacturing services with respect to nomlabofusp. We are no longer producing the frozen liquid form of drug product. We are producing a lyophilized version of the drug product from the same KBI drug substance at Bora Pharmaceutical Services, Inc. (“Bora”). We are party to a Master Services Agreement with Bora, pursuant to which Bora provides biological development and clinical manufacturing services with respect to nomlabofusp. In February 2025, FDA accepted the data supporting the comparability of the lyophilized drug product to the frozen solution and agreed with our plans to introduce the lyophilized product into our clinical development program in mid-2025. The frozen solution is the dosage form currently being used in the OLE. The lyophilized drug product is the formulation that we intend to commercialize.</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To supply nomlabofusp drug substance commercially, we intend to scale up the manufacturing process. We have selected Lonza to support this scale-up effort. We are currently tech transferring the process to Lonza and are making adaptations to the process that enable facility fit. We are party to a Master Services Agreement with Lonza, pursuant to which Lonza provides biological development and clinical manufacturing services with respect to nomlabofusp. We intend to demonstrate the comparability of the drug substance manufactured by Lonza and submit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8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data to the FDA for their review in 2026. Acceptance of this comparability will allow for the use of drug substance manufactured by Lonza in the clinical development of nomlabofusp.</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received concurrence from the FDA that our proposed matrixed potency control strategy appears reasonable, pending review of the BLA. We are in the process of implementing this assay at a third-party testing lab and intend to provide a comprehensive data package that supports our ongoing clinical and commercial development. As development of this assay is scientific in nature, efforts may prove to be unsuccessful and will require further discussions with FDA on an appropriate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Employees and Compensation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paid time-off and health and wellness programs, including programs that build connections between our employees.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employed 65 full-time employees in the United States, of which 48 are directly engaged in research and development with the rest providing administrative, business, commercial and operations support. None of our employees are represented by a labor organization or under any collective-bargaining arrangements. We consider our employee relations to be good.</w:t>
      </w:r>
    </w:p>
    <w:p>
      <w:pPr>
        <w:spacing w:after="0" w:line="68"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Their scientific perspectives will be invaluable to determine our strategic scientific pathway and support the development of other potential treatments for complex rare diseases to help fill unmet medical needs in this space. We intend to continue to leverage the broad expertise of our advisors by seeking their counsel on important topics relating to our product development and clinical development programs. Our scientific advisors are not our employees and may have commitments to, or consulting or advisory contracts with, other entities that may limit their availability to us. In addition, our scientific advisors may have arrangements with other companies to assist those companies in developing products or technologies that may compete with ours. All of our scientific advisors are affiliated with other entities and devote only a small portion of their time to us.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scientific advisors are set forth in the table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802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r>
      <w:tr>
        <w:trPr>
          <w:trHeight w:val="191"/>
        </w:trPr>
        <w:tc>
          <w:tcPr>
            <w:tcW w:w="29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Marni Joy Falk, MD</w:t>
            </w:r>
          </w:p>
        </w:tc>
        <w:tc>
          <w:tcPr>
            <w:tcW w:w="220" w:type="dxa"/>
            <w:vAlign w:val="bottom"/>
            <w:shd w:val="clear" w:color="auto" w:fill="CFF0FC"/>
          </w:tcPr>
          <w:p>
            <w:pPr>
              <w:spacing w:after="0"/>
              <w:rPr>
                <w:sz w:val="16"/>
                <w:szCs w:val="16"/>
                <w:color w:val="auto"/>
              </w:rPr>
            </w:pPr>
          </w:p>
        </w:tc>
        <w:tc>
          <w:tcPr>
            <w:tcW w:w="812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Executive Director, Mitochondrial Medicine Frontier Program at Children’s Hospital of Philadelphia;</w:t>
            </w:r>
          </w:p>
        </w:tc>
      </w:tr>
      <w:tr>
        <w:trPr>
          <w:trHeight w:val="216"/>
        </w:trPr>
        <w:tc>
          <w:tcPr>
            <w:tcW w:w="2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Professor, Department of Human Genetics and Department of Pediatrics, University of Pennsylvania</w:t>
            </w:r>
          </w:p>
        </w:tc>
      </w:tr>
      <w:tr>
        <w:trPr>
          <w:trHeight w:val="234"/>
        </w:trPr>
        <w:tc>
          <w:tcPr>
            <w:tcW w:w="2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Perelman School of Medicine</w:t>
            </w:r>
          </w:p>
        </w:tc>
      </w:tr>
      <w:tr>
        <w:trPr>
          <w:trHeight w:val="198"/>
        </w:trPr>
        <w:tc>
          <w:tcPr>
            <w:tcW w:w="2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Giovanni Manfredi, MD, PhD</w:t>
            </w:r>
          </w:p>
        </w:tc>
        <w:tc>
          <w:tcPr>
            <w:tcW w:w="220" w:type="dxa"/>
            <w:vAlign w:val="bottom"/>
          </w:tcPr>
          <w:p>
            <w:pPr>
              <w:spacing w:after="0"/>
              <w:rPr>
                <w:sz w:val="17"/>
                <w:szCs w:val="17"/>
                <w:color w:val="auto"/>
              </w:rPr>
            </w:pPr>
          </w:p>
        </w:tc>
        <w:tc>
          <w:tcPr>
            <w:tcW w:w="81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Finbar and Marianne Kenny Professor of Clinical and Research Neurology, Weill Cornell Medicine; Professor</w:t>
            </w:r>
          </w:p>
        </w:tc>
      </w:tr>
      <w:tr>
        <w:trPr>
          <w:trHeight w:val="234"/>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Neuroscience, Weil Cornell Medicine</w:t>
            </w:r>
          </w:p>
        </w:tc>
      </w:tr>
      <w:tr>
        <w:trPr>
          <w:trHeight w:val="198"/>
        </w:trPr>
        <w:tc>
          <w:tcPr>
            <w:tcW w:w="29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Jill Ostrem, MD</w:t>
            </w:r>
          </w:p>
        </w:tc>
        <w:tc>
          <w:tcPr>
            <w:tcW w:w="220" w:type="dxa"/>
            <w:vAlign w:val="bottom"/>
            <w:shd w:val="clear" w:color="auto" w:fill="CFF0FC"/>
          </w:tcPr>
          <w:p>
            <w:pPr>
              <w:spacing w:after="0"/>
              <w:rPr>
                <w:sz w:val="17"/>
                <w:szCs w:val="17"/>
                <w:color w:val="auto"/>
              </w:rPr>
            </w:pPr>
          </w:p>
        </w:tc>
        <w:tc>
          <w:tcPr>
            <w:tcW w:w="812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director and division chief of University of California San Francisco (UCSF) Movement Disorders</w:t>
            </w:r>
          </w:p>
        </w:tc>
      </w:tr>
      <w:tr>
        <w:trPr>
          <w:trHeight w:val="234"/>
        </w:trPr>
        <w:tc>
          <w:tcPr>
            <w:tcW w:w="2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Neuromodulation Center. Carlin and Ellen Wiegner Endowed Professor of Neurology.</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Payne, MD</w:t>
            </w:r>
          </w:p>
        </w:tc>
        <w:tc>
          <w:tcPr>
            <w:tcW w:w="22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Professor of Pediatrics, Indiana University School of Medicine</w:t>
            </w:r>
          </w:p>
        </w:tc>
      </w:tr>
      <w:tr>
        <w:trPr>
          <w:trHeight w:val="238"/>
        </w:trPr>
        <w:tc>
          <w:tcPr>
            <w:tcW w:w="2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318"/>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2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2900" w:type="dxa"/>
            <w:vAlign w:val="bottom"/>
          </w:tcPr>
          <w:p>
            <w:pPr>
              <w:spacing w:after="0"/>
              <w:rPr>
                <w:sz w:val="24"/>
                <w:szCs w:val="24"/>
                <w:color w:val="auto"/>
              </w:rPr>
            </w:pPr>
          </w:p>
        </w:tc>
        <w:tc>
          <w:tcPr>
            <w:tcW w:w="8240" w:type="dxa"/>
            <w:vAlign w:val="bottom"/>
            <w:gridSpan w:val="2"/>
          </w:tcPr>
          <w:p>
            <w:pPr>
              <w:jc w:val="right"/>
              <w:ind w:right="53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r>
      <w:tr>
        <w:trPr>
          <w:trHeight w:val="763"/>
        </w:trPr>
        <w:tc>
          <w:tcPr>
            <w:tcW w:w="2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lease office and laboratory space, which consists of approximately 8,000 square feet and 4,000 square feet located in Bala Cynwyd, PA and King of Prussia, PA, respectively. The office lease currently expires on August 31, 2026 and the lab lease expires on May 9, 2028.</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part of the Merger (as defined below) with Zafgen, Inc ("Zafgen"), we acquired a non-cancellable operating lease for approximately 17,705 square feet of office space at 3 Center Plaza, Boston, Massachusetts (the "Boston Lease"). The Boston Lease expires on October 30, 2029. On October 27, 2020, we entered into a sublease agreement whereby we subleased all 17,705 square feet of office space leased under the Boston Lease until October 30, 2029.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were founded in 2005 as a Delaware corporation under the name Zafgen, Inc. ("Zafgen"). On May 28, 2020, Zafgen completed a reverse merger with Chondrial Therapeutics, Inc. ("Chondrial") in accordance with the terms of the Agreement and Plan of Merger and Reorganization, dated December 17, 2019, by and among Zafgen, Zordich Merger Sub, Inc., Chondrial and Chondrial Therapeutics Holdings, LLC, pursuant to which Zordich Merger Sub, Inc. merged with and into Chondrial, with Chondrial surviving as our wholly owned subsidiary. Following completion of the merger, Zafgen, Inc. changed its name to Larimar Therapeutics, Inc.</w:t>
      </w:r>
    </w:p>
    <w:p>
      <w:pPr>
        <w:spacing w:after="0" w:line="7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Three Bala Plaza East, Suite 506, Bala Cynwyd, PA 19004, and our telephone number is (844) 511-9056. Our website address is www.larimartx.com. The information on, or that can be accessed through, our website is not part of this Annual Report on Form 10-K and is not incorporated by reference herein. We have included our website address as an inactive textual reference only.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Securities and Exchange Commission ("the SEC") under the Securities Exchange Act of 1934, as amended ("the Exchange Act"). The SEC maintains an internet website, www.sec.gov, that contains reports, proxy and information statements, and other information regarding issuers, including us, that file electronically with the SEC.</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Copies of each of our filings with the SEC on Form 10-K, Form 10-Q and Form 8-K and all amendments to those reports, can be viewed and downloaded free of charge at our website, www.larimartx.com as soon as reasonably practicable after the reports and amendments are electronically filed with or furnished to the SEC.</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code of ethics, other corporate policies and procedures, and the charters of our Audit Committee, Compensation Committee and Nominating and Corporate Governance Committee are available through our website at www.larimartx.com. We intend to post information regarding any amendments to, or waivers from, our code of ethics on our website.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Government Regulation</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drug and biologic products are subject to extensive regulation by the FDA. The Federal Food, Drug, and Cosmetic Act (“FDCA”) and other federal and state statutes and regulations, govern, among other things, the research, development, testing, manufacture, storage, record 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FDCA, with the exception that the section of the FDCA that governs the approval of drugs via new drug applications (“NDAs”), does not apply to the approval of biologics. In contrast, biologics are approved for marketing under provisions of the Public Health Service Act (“PHS Act”), via a Biologics License Application (“BLA”). However, the application process and requirements for approval of BLAs are very similar to those for NDAs. FDA approval or licensure also must be obtained before the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Process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product may be marketed in the United States generally involves the following:</w:t>
      </w:r>
    </w:p>
    <w:p>
      <w:pPr>
        <w:spacing w:after="0" w:line="117" w:lineRule="exact"/>
        <w:rPr>
          <w:sz w:val="20"/>
          <w:szCs w:val="20"/>
          <w:color w:val="auto"/>
        </w:rPr>
      </w:pPr>
    </w:p>
    <w:p>
      <w:pPr>
        <w:ind w:left="900" w:right="1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("GLPs"),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clinical trial material in accordance with cGMPs;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reviewing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("GCPs") and any additional requirements for the protection of human research subjects and their health information, to establish the safety, purity, potency, and efficacy, of the proposed drug or biological product for its intended use;</w:t>
      </w:r>
    </w:p>
    <w:p>
      <w:pPr>
        <w:spacing w:after="0" w:line="6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 for marketing approval that includes evidence of safety, purity, potency, and efficacy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prior to NDA or BLA approval of the manufacturing facility or facilities where the drug or biological product is produced to assess compliance with cGMPs, to assure that the facilities, methods and controls are adequate to preserve the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NDA or BLA;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Advisory Committee meeting to elicit expert input on critical issues and including a vote by external committee members;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NDA or BLA, and payment of associated user fees, when applicable; and</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 approval requirements, including the potential requirement to implement a Risk Evaluation and Mitigation Strategies ("REMS") and the potential requirement to conduct post approval studies.</w:t>
      </w:r>
    </w:p>
    <w:p>
      <w:pPr>
        <w:spacing w:after="0" w:line="5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Before testing any drug or biological product candidate in humans, the product candidate enters the non-clinical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places the clinical trial on a clinical hold within that 30-day time period. In such a case, the IND sponsor must resolve any deficiencies to the satisfaction of the FDA, and the FDA must lift the clinical hold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8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Clinical trials may involve the administration of the drug or biological product candidate to healthy volunteers or subjects under the supervision of qualified investigators, generally physicians not employed by or under the study sponsor’s control. Clinical trials involving some products for certain diseases, including some rare diseases may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application.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monitoring committee. The data monitoring committee may review safety data and/or efficacy data.</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3" w:lineRule="exact"/>
        <w:rPr>
          <w:sz w:val="20"/>
          <w:szCs w:val="20"/>
          <w:color w:val="auto"/>
        </w:rPr>
      </w:pPr>
    </w:p>
    <w:p>
      <w:pPr>
        <w:ind w:left="900" w:right="160" w:hanging="383"/>
        <w:spacing w:after="0" w:line="28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drug or biological product is initially introduced into healthy human subjects and tested for safety. In the case of some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rare diseases, the initial human testing is often conducted in patients.</w:t>
      </w:r>
    </w:p>
    <w:p>
      <w:pPr>
        <w:spacing w:after="0" w:line="46" w:lineRule="exact"/>
        <w:rPr>
          <w:rFonts w:ascii="Times New Roman" w:cs="Times New Roman" w:eastAsia="Times New Roman" w:hAnsi="Times New Roman"/>
          <w:sz w:val="18"/>
          <w:szCs w:val="18"/>
          <w:color w:val="auto"/>
        </w:rPr>
      </w:pPr>
    </w:p>
    <w:p>
      <w:pPr>
        <w:ind w:left="900" w:right="160" w:hanging="383"/>
        <w:spacing w:after="0" w:line="268"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drug or biological product is evaluated in a limited patient population to identify possible adverse effects and safety risks,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62" w:lineRule="exact"/>
        <w:rPr>
          <w:rFonts w:ascii="Times New Roman" w:cs="Times New Roman" w:eastAsia="Times New Roman" w:hAnsi="Times New Roman"/>
          <w:sz w:val="18"/>
          <w:szCs w:val="18"/>
          <w:color w:val="auto"/>
        </w:rPr>
      </w:pPr>
    </w:p>
    <w:p>
      <w:pPr>
        <w:ind w:left="900" w:right="60" w:hanging="383"/>
        <w:spacing w:after="0" w:line="254"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risk/benefit ratio of the product and provide an adequate basis for product labeling. In most cases, the FDA requires two adequate and well-controlled Phase 3 clinical trials to demonstrate the safety and efficacy of the drug or biologic. In rare instances,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confirmatory evidence. In drugs and biologics for rare diseases where patient populations are small, Phase 3 trials might not be required if substantial evidence of effectiveness and an acceptable risk/benefit profile can be demonstrated from Phase 2 trials.</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An OLE study may also be conducted. An OLE study typically enrolls participants from previous clinical trials and is designed to gather the long-term safety and tolerability data on a potential new medicine beyond the time period of the original studies.</w:t>
      </w:r>
    </w:p>
    <w:p>
      <w:pPr>
        <w:spacing w:after="0" w:line="5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in real-world scenarios. They provide additional information regarding risks, benefits and best use, including longer term safety data. In certain instances, the FDA may mandate the performance of Phase 4 clinical trials as a condition of approval of an NDA or BLA.</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Processes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After the completion of clinical trials of a drug or biological product, FDA approval of an NDA, or BLA, must be obtained before commercial marketing of the product. The NDA or BLA must include results of product development, laboratory and animal studies, human studies, information on the manufacture and composition of the product, proposed labeling and other relevant information.</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as amended ("PDUFA"), each NDA or BLA may be accompanied by a significant application fee. The applicant for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an NDA or BLA submitted to determine if it is substantially complete before the agency files it.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files it. Once the submission is filed, the FDA begins an in-depth substantive review of the NDA or BLA. The FDA reviews the NDA or BLA to determine, among other things, whether the proposed product is safe and effective (for drugs) or safe, potent, and effective (for biologics), for its intended use, and has an acceptable purity profile, and whether the product is being manufactured in accordance with cGMPs to assure and preserve the product’s identity, safety, strength, quality, potency and purity. One of the performance goals agreed to by the FDA under the PDUFA is to review standard NDAs or BLAs in ten months from filing and priority NDAs or BLAs in six months from filing, whereupon a review decision is to be made. The review process may be extended by three months if the FDA classifies a response to an FDA request for additional information or clarification as a major amendment.</w:t>
      </w:r>
    </w:p>
    <w:p>
      <w:pPr>
        <w:spacing w:after="0" w:line="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review, the FDA will also determine whether a REMS is necessary to assure the safe use of the biological product. If the FDA concludes a REMS is needed, the sponsor of the NDA or BLA must submit a proposed REMS; the FDA will not approve the NDA or BLA without a REMS, if required.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Before approving an NDA or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Following approval, the manufacturing facilities are subject to periodic inspections by the FDA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cGMP deviations that may affect the identity, potency, purity and overall safety of a distributed product, product tracing requirements, registration and listing, record-keeping requirements, reporting of adverse events, reporting updated safety and efficacy information, and complying with electronic record and signature requirements.</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After an NDA or BLA is approved, the product may also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by the manufacturer. In addition, the FDA may conduct laboratory research related to the regulatory standards on the safety, purity, potency, and effectiveness of drug and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Manufacturers must also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Drug and biologic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("ODD")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 product available in the United States for this type of disease or condition will be recovered from sales of the product. ODD must be requested before submitting an NDA or BLA. After the FDA grants ODD, the identity of the therapeutic agent and its potential orphan use are disclosed publicly by the FDA. ODD does not convey any advantage in or shorten the duration of the regulatory review and approval process.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drug or biological product for the same disease or condition for seven years, except in limited circumstances, such as showing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disease or condition or the same product for a different disease or condition but that could be used off-label in the orphan indication. Orphan drug exclusivity also could block the approval of a product for seven years if a competitor obtains approval first for the same product as defined by the FDA for the same disease or condition, or if the second product is determined to be encompassed within the competitor’s scope of product for the same disease. If a company pursues marketing approval for an indication broader than the orphan drug designation it has received, it may not be entitled to orphan drug exclusivity.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Review and Approval Programs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accelerated approval, and breakthrough therapy designation, that are intended to expedite or simplify the process for the development and 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interactions with the FDA, the FDA may initiate review of sections of a fast track NDA or BLA before the application is complete, a process known as rolling review.</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FDA may give a priority review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drug and biological products studied for their safety and effectiveness in treating serious or life-threatening illnesses and that provide meaningful therapeutic benefit over existing treatments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with due diligence to verify and describe the predicted effect on irreversible morbidity or mortality or other clinical endpoint, and the drug or biological product may be subject to accelerated withdrawal procedures.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Food and Drug Omnibus Reform Act (“FDORA”) was recently enacted, which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which may include milestones such as a target date of study completion and requires sponsors to submit progress reports for required post-approval studies and any conditions required by the FDA not later than 180 days following approval and not less frequently than every 180 days thereafter until completion or termination of the study. FDORA also provides the FDA increased authority for expedited procedures to withdraw approval of a drug or biologic or indication approved under accelerated approval if, for example, the confirmatory trial fails to verify the predicted clinical benefit of the product. FDORA also enables the FDA to initiate enforcement actions for the failure to conduct with due diligence a required post-approval study, including a failure to meet any required conditions specified by the FDA or to submit timely reports. In addition, the FDA generally requires, unless otherwise informed by the agency, pre-approval of promotional materials, which could adversely impact the timing of the commercial launch of the product.</w:t>
      </w:r>
    </w:p>
    <w:p>
      <w:pPr>
        <w:spacing w:after="0" w:line="86"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Moreover, a sponsor can request designation of a product candidate as a “breakthrough therapy.” A breakthrough therapy is defined as a drug or biologic product that is intended, alone or in combination with one or more other drugs, to treat a serious or life-threatening disease or condition, and preliminary clinical evidence indicates that the drug or biologic product may demonstrate substantial improvement over existing therapies on one 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w:t>
      </w:r>
    </w:p>
    <w:p>
      <w:pPr>
        <w:spacing w:after="0" w:line="6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Rare Pediatric Disease Vouchers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Rare Pediatric Disease Voucher Program is intended to encourage development of new drug and biological products for prevention and treatment of certain rare pediatric diseases. Although there are existing incentive programs to encourage the development and study of drugs and biologics for rare diseases, pediatric populations, and unmet medical needs, this program provides an additional incentive for the development of drugs and biologics for rare pediatric diseases, which may be used alone or in combination with other incentive programs. A rare pediatric disease is defined as a disease that is a serious or life-threatening disease in which the serious or life-threatening manifestations primarily affect individuals aged from birth to 18 years, including age groups often called neonates, infants, children, and adolescents; and is a rare disease or condition as defined in the FDCA, which includes diseases and conditions that affect fewer than 200,000 persons in the United States and diseases and conditions that affect a larger number of persons and for which there is no reasonable expectation that the costs of</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developing and making available the product in the United States can be recovered from sales of the product in the United States.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sponsor of an application for a drug product that obtains rare pediatric disease designation may be eligible for a voucher that can be used or sold to obtain a priority review for a subsequent application submitted under section 505(b)(1) of the FDCA or section 351 of the PHS Act. A rare pediatric disease drug product must meet certain eligibility requirements for a priority voucher at the time the sponsor seeks approval. The rare pediatric disease priority review voucher program was most recently re-authorized by Congress through December 31, 2024, with the potential for priority review vouchers to be granted through September 30, 2026. Under the amended statutory sunset provisions, after December 20, 2024, the FDA may award a priority review voucher for an approved rare pediatric disease product application only if the sponsor has rare pediatric disease designation for the drug and if that designation was granted by December 20, 2024. After September 30, 2026, the FDA may not award any rare pediatric disease priority review vouchers unless the program is re-authorized by Congress.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Information and Pediatric Exclusivity</w:t>
      </w:r>
    </w:p>
    <w:p>
      <w:pPr>
        <w:spacing w:after="0" w:line="11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A sponsor who is planning to submit a marketing application for a drug that includes a new active ingredient, new indication, new dosage form, new dosing regimen or new route of administration must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84"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Under the Best Pharmaceuticals for Children Act (“BPCA”), a drug or biologic product can also obtain pediatric market exclusivity in the United States. Pediatric exclusivity, if granted, adds six months to existing exclusivity periods for all formulations, dosage forms, and indications of the active moiety and to patent terms for drugs; for biologic products, pediatric exclusivity adds six months only to exclusivity periods for all formulations, dosage forms, and indications. This six-month exclusivity, which runs from the end of other exclusivity protection or patent term, may be granted based on the voluntary completion of a pediatric study in accordance with an FDA-issued “Written Request” for such a study, provided that at the time pediatric exclusivity is granted there is not less than nine months of term of the patent or exclusivity remaining at the time of approval.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Biosimilars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that are demonstrated to be "biosimilar" or "interchangeable" with an FDA-licensed reference biological product. Biosimilarity requires that the proposed biological product be highly similar to the reference product not withstanding minor differences in clinically inactive components; that there be no differences in conditions of use, route of administration, dosage form, and strength; and that no clinically meaningful differences between the product and the reference product in terms of safety, purity, and potency as shown through analytical studies, animal studies and a clinical trial or trials. In order to meet the higher hurdle of interchangeability, a sponsor must demonstrate that the biosimilar product can be expected to produce the same clinical results as the reference product, and for a product that is administered more than once, that the safety and efficacy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w:t>
      </w:r>
    </w:p>
    <w:p>
      <w:pPr>
        <w:spacing w:after="0" w:line="86"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Under the BPCIA, a reference biologic is granted 12 years of exclusivity from the time of first licensure or BLA approval, of the reference product during which FDA cannot approve an application for a biosimilar 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interchangeable product relying on the reference product. Additionally, no application for a biosimilar can be submitted for four years from the date of licensure of the reference product. During the 12-year period of exclusivity, another company may still market a competing version of the reference product if the FDA approves a BLA for the competing product that does not rely on the reference product; the BLA must be based on the sponsor’s own preclinical data and data from adequate and well-controlled clinical trials to demonstrate the safety, purity, and potency of the other company’s product. Finally, the first biologic product submitted under the biosimilar abbreviated approval pathway that is determined to be interchangeable with the reference product may obtain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 is approved if a patent lawsuit is ongoing within the 42-month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 Outside of the United States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Clinical Trials Regulation (EU) No 536/2014, which replaced the Clinical Trials Directive 2001/20/EC on January 31, 2022, a single application is now made through the Clinical Trials Information System (“CTIS”), for clinical trial authorization in up to 30 European Union/European Economic Area countries at the same time and with a single set of documentation.</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is governed by the national law of the Member State concerned, however overall related timelines are defined by the Clinical Trials Regulation. The Clinical Trials Regulation also provides for simplified reporting procedures for clinical trial sponsors.</w:t>
      </w:r>
    </w:p>
    <w:p>
      <w:pPr>
        <w:spacing w:after="0" w:line="7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whether or not we obtain FDA approval for a product, we must obtain approval of a product by the comparable regulatory authorities of countries outside the U.S.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To obtain regulatory approval of a product under the European Union's regulatory system, we are required to submit a marketing authorization application ("MAA"), to be assessed in either the centralized procedure or a national authorization procedure. The centralized procedure allows applicants to obtain a marketing authorization ("MA") that is valid throughout the European Union and the additional Member States of the European Area (Iceland, Liechtenstein and Norway) ("EEA"). It is compulsory for medicinal products manufactured using biotechnological processes, for orphan medicinal products, for advance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in the European Union. When a company wishes to place on the market a medicinal product that is eligible for the centralized procedure, it sends an application directly to the EMA, to be assessed by the Committee for Medicinal Products for Human Use ("CHMP"). The CHMP is responsible for conducting the assessment of whether a medicine meets the required quality, safety and efficacy requirements, and whether the product has a positive risk/benefit/risk profile.</w:t>
      </w:r>
    </w:p>
    <w:p>
      <w:pPr>
        <w:spacing w:after="0" w:line="8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time limit for the evaluation procedure is 210 days (excluding clock stops, when additional written or oral information is to be provided by the applicant in response to questions asked by the CHMP). The EMA then has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fifteen days to forward its opinion to the European Commission which will make a binding decision on the grant of an MA within 67 days of the receipt of the CHMP.</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are two other procedures in the European Union for the grant of an MA in multiple European Union Member States, where a product does not fall within the mandatory scope of the centralized procedure. If a product has already been authorized for marketing in a European Union Member State, this national MA can be recognized in another European Union Member State through the mutual recognition procedure. If the product has not received a national MA in any European Union Member State at the time of application, it can be approved simultaneously in various Member States through the decentralized procedure.</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Regulation (EC) No. 141/2000, provides that a product may be designated as an orphan medicinal product if its sponsor can establish that it is intended for the diagnosis, prevention, or treatment of life-threatening or chronically debilitating condition that affects not more than 5 in 10,000 persons in the European Union when the application is made. In addition, orphan designation can be granted if the product is intended for a life threatening, seriously debilitating, or serious and chronic condition in the European Union where without incentives derived from orphan designation.it is unlikely that sales of the product in the European Union would be sufficient to justify the necessary investment in its development. Orphan designation is only available if there is no other satisfactory method approved in the European Union of diagnosing, preventing, or treating the condition, or if such a method exists, the proposed orphan product will be of significant benefit to patients over the existing options. We have obtained orphan designation in the European Union for nomlabofusp.</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Orphan designation provides opportunities for fee reductions, protocol assistance and access to the centralized procedure in the European Union. Fee reductions are not limited to the first year after an MA is granted, except for small and medium enterprises. In addition, if a product which has an orphan designation subsequently receives a centralized MA for the indication for which it has such designation, the product is entitled to orphan market exclusivity, which means the regulatory authorities in the European Union may not approve any other application to market a "similar medicinal product" for the same indication as the authorized orphan product for a period of 10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at the end of the fifth year, its is determined that the designation criteria are no longer met, including where it is shown that the product is sufficiently profitable not to justify maintenance of market exclusivity. Additionally, an MA may be granted to a similar medicinal product for the same indication as an authorized orphan product if:</w:t>
      </w:r>
    </w:p>
    <w:p>
      <w:pPr>
        <w:spacing w:after="0" w:line="80" w:lineRule="exact"/>
        <w:rPr>
          <w:sz w:val="20"/>
          <w:szCs w:val="20"/>
          <w:color w:val="auto"/>
        </w:rPr>
      </w:pPr>
    </w:p>
    <w:p>
      <w:pPr>
        <w:ind w:left="900" w:right="4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to the authorized orphan product, is safer, more effective or otherwise clinically superior;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orphan product consents to a second orphan medicinal product application;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orphan product cannot supply enough orphan medicinal product.</w:t>
      </w:r>
    </w:p>
    <w:p>
      <w:pPr>
        <w:spacing w:after="0" w:line="11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EMA offers a scheme to facilitate development of product candidates in indications, often rare, for which few or no therapies currently exist. The PRIority MEdicines, or PRIME, scheme is intended to encourage drug development in areas of unmet medical need and is intended to reinforce early dialogue with, and regulatory support from, the EMA in order to stimulate innovation, optimize development and enable accelerated assessment of such product candidates. It is intended to build upon the scientific advice scheme and accelerated assessment procedure offered by the EMA. The scheme is voluntary and eligibility criteria must be met for a medicine to qualify for PRIME.</w:t>
      </w:r>
    </w:p>
    <w:p>
      <w:pPr>
        <w:spacing w:after="0" w:line="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PRIME scheme is open to medicines under development and for which the applicant intends to apply for an MA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relevant model provide early evidence of promising activity to establish proof of principle, and first in man studies indicate adequate exposure for the desired pharmacotherapeutic effects and tolerability.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medicine is selected for the PRIME scheme, the EMA:</w:t>
      </w:r>
    </w:p>
    <w:p>
      <w:pPr>
        <w:spacing w:after="0" w:line="117" w:lineRule="exact"/>
        <w:rPr>
          <w:sz w:val="20"/>
          <w:szCs w:val="20"/>
          <w:color w:val="auto"/>
        </w:rPr>
      </w:pPr>
    </w:p>
    <w:p>
      <w:pPr>
        <w:ind w:left="900" w:right="80" w:hanging="383"/>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rapporteur from the CHMP or from the Committee for Advanced Therapies ("CAT") to provide continuous support and to build up knowledge of the medicine in advance of the filing of an MAA;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guidance on the applicant’s overall development plan and regulatory strategy;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Organizes a kick-off meeting with the rapporteur and experts from relevant EMA committees and working groups; Provides a dedicated EMA contact person; and</w:t>
      </w:r>
    </w:p>
    <w:p>
      <w:pPr>
        <w:spacing w:after="0" w:line="53" w:lineRule="exact"/>
        <w:rPr>
          <w:rFonts w:ascii="Times New Roman" w:cs="Times New Roman" w:eastAsia="Times New Roman" w:hAnsi="Times New Roman"/>
          <w:sz w:val="18"/>
          <w:szCs w:val="18"/>
          <w:color w:val="auto"/>
        </w:rPr>
      </w:pPr>
    </w:p>
    <w:p>
      <w:pPr>
        <w:ind w:left="520" w:right="500" w:hanging="377"/>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scientific advice at key development milestones, involving additional stakeholders, such as health technology assessment bodies and patients, as needed.</w:t>
      </w:r>
    </w:p>
    <w:p>
      <w:pPr>
        <w:spacing w:after="0" w:line="53"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SMEs who enter the scheme based on data showing proof of principle, the appointment of the rapporteur occurs once they have generated data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confirming eligibility at proof of concept stage. They are required to submit relevant data and justification as the product development reaches this stage.</w:t>
      </w:r>
    </w:p>
    <w:p>
      <w:pPr>
        <w:spacing w:after="0" w:line="9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support under the PRIME scheme may be withdrawn.</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Pediatric Investigation Plan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study results are deferred, or the medicine is exempt because of a waiver. This requirement also applies when a marketing-authorization holder wants to add a new indication, pharmaceutical form, or route of administration for a medicine that is already authorized.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("SPC")by six months(provided an application for such extension is made at the same time as filing the SPC application for the product, or at any point up to two years before the SPC expires). This is the case even when the studies’ results are negative. For orphan medicines, the incentive is an additional two years of market exclusivity. Scientific advice and protocol assistance at the EMA are free of charge for questions relating to the development of pediatric medicines.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 aforementioned European Union rules are generally applicable in the EEA.</w:t>
      </w:r>
    </w:p>
    <w:p>
      <w:pPr>
        <w:spacing w:after="0" w:line="11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UK left the European Union on January 31, 2020. As a result of the Northern Ireland protocol following Brexit, the EMA remained responsible for approving novel medicines for supply in Northern Ireland, the European Union regulatory framework continues to apply in Northern Ireland under the EU centralized procedure, and as separate authorization was required to supply the same medicine in Great Britain (England, Wales and Scotland). On February 27, 2023, the UK government and the European Commission announced a political agreement in principle to replace the Northern Ireland Protocol with a new set of arrangements, known as the “Windsor Framework”. This new framework fundamentally changes the previous system under the Northern Ireland Protocol, including with respect to the regulation of medicinal products in the UK. In particular, the MHRA is now responsible for approving all medicinal products destined for the UK market (Great Britain and Northern Ireland), and the EMA no longer has any role in approving medicinal products destined for Northern Ireland through the EU centralized procedure. A single UK-wide MA will be granted by the MHRA for all novel medicinal products to be sold in the UK, enabling products to be sold in a single pack and under a single authorization throughout the UK. In addition, the new arrangements require all medicines placed on the UK market to be labeled “UK only” indicating they are not for sale in the EU.</w:t>
      </w:r>
    </w:p>
    <w:p>
      <w:pPr>
        <w:spacing w:after="0" w:line="8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On January 1, 2024, a new international recognition framework came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into effect in the UK under which the MHRA may have regard to decisions on the approval of MAs made by the EMA and certain other regulators when determining an application for a new UK MA.</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is now no pre-marketing authorization orphan designation in the UK. Instead, the MHRA will review applications for orphan designation in parallel to the corresponding MA application. The criteria are essentially the same, but have been tailored for the UK market, i.e. the prevalence of the condition in the UK (rather than the EU) must not be more than 5 in 10,000. Should an orphan designation be granted, the period or market exclusivity will be set from the date of first approval of the product in the UK.</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2024, we received access to the UK’s Medicines and Healthcare Regulatory Agency ("MHRA") Innovative Licensing and Access Pathway (“ILAP”) which for the treatment of adults and children with FA. We may also apply for access to the UK’s Innovative Licensing and Access Pathway (“ILAP”) for the treatment of adults and children with FA. This Scheme aims to accelerate the time to market and facilitate patient access to certain types of medicinal products in development which target a life-threatening or seriously debilitating condition, or where there is a significant patient or public health need in the UK. To access the ILAP, an applicant applies for an Innovation Passport designation. Once an Innovation Passport designation is granted, the MHRA and its partner agencies (including The All Wales Therapeutics and Toxicology Centre, National Institute for Health and Care Excellence and the Scottish Medicines Consortium) will work with the Innovation Passport designee to define a Target Development Profile,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Healthcare Laws and Regulations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to a substantial degree. Factors payors consider in determining reimbursement are based on whether the product is a covered benefit under its health plan; safe, effective and medically necessary; appropriate for the specific patient; cost-effective; and neither experimental nor investigational. Increasingly, third-party payors are requiring that drug companies provide them with predetermined discounts from list prices and are challenging the prices charged for medical products.</w:t>
      </w:r>
    </w:p>
    <w:p>
      <w:pPr>
        <w:spacing w:after="0" w:line="8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We cannot be sure that reimbursement will be available for any of our product candidates that we commercialize and, if reimbursement is available, the level of reimbursement.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1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68" w:lineRule="exact"/>
        <w:rPr>
          <w:sz w:val="20"/>
          <w:szCs w:val="20"/>
          <w:color w:val="auto"/>
        </w:rPr>
      </w:pPr>
    </w:p>
    <w:p>
      <w:pPr>
        <w:ind w:left="900" w:right="160" w:hanging="383"/>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knowingly and willfully, directly or indirectly, soliciting, receiving, offering, or paying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71"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the “ACA”), amended the intent element of the federal Anti-Kickback Statute so that a person or entity no longer needs to have actual knowledge of the statute or specific intent to violate it in order to commit a violation;</w:t>
      </w:r>
    </w:p>
    <w:p>
      <w:pPr>
        <w:spacing w:after="0" w:line="67" w:lineRule="exact"/>
        <w:rPr>
          <w:rFonts w:ascii="Times New Roman" w:cs="Times New Roman" w:eastAsia="Times New Roman" w:hAnsi="Times New Roman"/>
          <w:sz w:val="18"/>
          <w:szCs w:val="18"/>
          <w:color w:val="auto"/>
        </w:rPr>
      </w:pPr>
    </w:p>
    <w:p>
      <w:pPr>
        <w:ind w:left="900" w:right="120" w:hanging="383"/>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The ACA amended the federal Anti-Kickback Statute such that a violation of that statute can serve as a basis for liability under the federal civil False Claims Act;</w:t>
      </w:r>
    </w:p>
    <w:p>
      <w:pPr>
        <w:spacing w:after="0" w:line="71" w:lineRule="exact"/>
        <w:rPr>
          <w:rFonts w:ascii="Times New Roman" w:cs="Times New Roman" w:eastAsia="Times New Roman" w:hAnsi="Times New Roman"/>
          <w:sz w:val="18"/>
          <w:szCs w:val="18"/>
          <w:color w:val="auto"/>
        </w:rPr>
      </w:pPr>
    </w:p>
    <w:p>
      <w:pPr>
        <w:ind w:left="900" w:right="260" w:hanging="383"/>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1" w:lineRule="exact"/>
        <w:rPr>
          <w:rFonts w:ascii="Times New Roman" w:cs="Times New Roman" w:eastAsia="Times New Roman" w:hAnsi="Times New Roman"/>
          <w:sz w:val="18"/>
          <w:szCs w:val="18"/>
          <w:color w:val="auto"/>
        </w:rPr>
      </w:pPr>
    </w:p>
    <w:p>
      <w:pPr>
        <w:ind w:left="900" w:hanging="383"/>
        <w:spacing w:after="0" w:line="254"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implementing regulations, impose obligations on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80" w:lineRule="exact"/>
        <w:rPr>
          <w:rFonts w:ascii="Times New Roman" w:cs="Times New Roman" w:eastAsia="Times New Roman" w:hAnsi="Times New Roman"/>
          <w:sz w:val="18"/>
          <w:szCs w:val="18"/>
          <w:color w:val="auto"/>
        </w:rPr>
      </w:pPr>
    </w:p>
    <w:p>
      <w:pPr>
        <w:ind w:left="900" w:right="60" w:hanging="383"/>
        <w:spacing w:after="0" w:line="254"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enacted as part of the ACA, and its implementing regulations requires certain manufacturers of approved drugs, devices, biologics and medical supplies for which payment is available under Medicare, Medicaid or the Children’s Health Insurance Program, with specific exceptions, to collect and report annually to the Centers for Medicare and Medicaid Services, the agency that administers the Medicare and Medicaid programs ("CMS") information related to payments or other transfers of value made to physicians (defined to include doctors, dentists, optometrists, podiatrists and chiropractors), physician assistants, nurse practitioners, clinical nurse specialists, certified nurse anesthetists, certified nurse-midwives)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and</w:t>
      </w:r>
    </w:p>
    <w:p>
      <w:pPr>
        <w:spacing w:after="0" w:line="83" w:lineRule="exact"/>
        <w:rPr>
          <w:rFonts w:ascii="Times New Roman" w:cs="Times New Roman" w:eastAsia="Times New Roman" w:hAnsi="Times New Roman"/>
          <w:sz w:val="18"/>
          <w:szCs w:val="18"/>
          <w:color w:val="auto"/>
        </w:rPr>
      </w:pPr>
    </w:p>
    <w:p>
      <w:pPr>
        <w:jc w:val="both"/>
        <w:ind w:left="900" w:right="2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Certain states and local jurisdictions also require the registration of pharmaceutical sales representatives. Further, certain states require the posting of information relating to clinical studies and their outcomes. A growing number of states require the reporting of certain drug pricing information, including information pertaining to and justifying price increases and the price set for newly launched drugs, or to prohibit prescription drug price gouging. We may also be subject to state and foreign laws governing the privacy and security of health information, many of which differ from each other in significant ways and often are not preempted by HIPAA.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new laws continue to be proposed. At the state level, numerous states have or are in the process of enacting or considering comprehensive state-level data privacy and security laws, rules and regulations while other states have focused on more narrow aspects of privacy. In the state of Washington, for example, the My Health My Data Act will require regulated entities to obtain consent to collect health information, grant consumers certain rights, including to request deletion of their information, and provide for robust enforcement mechanisms, including enforcement by the Washington state attorney-general and a private right of action for consumer claims. Other states have also enacted, proposed, or are considering proposing, data privacy laws, which could further complicate compliance efforts, increase our potential liability and adversely affect our business. Additionally, to the extent that our product is sold in a foreign country, we may be subject to similar foreign laws.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CMS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although private payors have their own methods and approval process apart from Medicare determinations, any reduction in reimbursement that results from federal legislation or regulation may result in a similar reduction in payments from private payors.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Affordable Care Act substantially changed the way healthcare is financed by both governmental and private insurers, included provisions that affected the pharmaceutical industry. Among other things, the Affordable Care Act expanded manufacturers’ rebate liability under the Medicaid Drug Rebate Program, expanded the 340B program, and increased the amount of Medicaid drug rebates manufacturers are required to pay to states. Since that time, there have been multiple healthcare reform measures, including the Inflation Reduction Act of 2022 (“IRA”)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small molecule drugs) can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rare disease or condition, unless such additional designation or such disqualifying approvals are withdrawn by the time CMS evaluates the drug for selection for negotiation. The IRA also imposes rebates on Medicare Part B and Part D drugs whose prices have increased at a rate greater than the rate of inflation, and in November 2024, CMS finalized regulations for these inflation rebates.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biopharmaceutical industry and the pricing of prescription drug products.</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 federal, state and foreign healthcare reform measures may be adopted in the future, any of which could limit the amounts that federal and state governments will pay for healthcare products and services, which could result in limited coverage and reimbursement and reduced demand for prescription drug products, once approved, or additional pricing pressures.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risks and uncertainties when reading this Annual Report on Form 10-K, as well as the other information contained herein, including our audited consolidated financial statements and the related notes and the section titled “Management’s Discussion and Analysis of Financial Condition and Results of Operation.” If any of the following risks occur, our business, financial condition and results of operations could be materially and adversely affected. Although we believe that we have identified and discussed below the key risk factors affecting our business, there may be additional risks and uncertainties that are not presently known or that are not currently believed to be significant that may adversely affect our performance or financial condition. In that event, the trading price of our common stock could decline.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incur continued losses for the foreseeable future.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the development of nomlabofusp. We have incurred significant losses in each year of operation since our inception in 2016. For the years ended December 31, 2024 and 2023, we had net losses of $80.6 million and $36.9 million, respectively, and, as of December 31, 2024, we had an accumulated deficit of $269.2 million and we expect to continue to incur significant expenses and net operating losses ("NOLs") for the foreseeable future.</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research and development, including non-clinical studies, our clinical development program, the development of manufacturing processes as well as the manufacture of initial lots of clinical trial material. We expect to incur significant losses for the foreseeable future to further develop and commercialize our lead drug candidate, nomlabofusp.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expenses will increase substantially if and as we:</w:t>
      </w:r>
    </w:p>
    <w:p>
      <w:pPr>
        <w:spacing w:after="0" w:line="11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efforts for nomlabofusp;</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in the United States and in foreign jurisdictions for our product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760" w:right="7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various products for which we may obtain marketing approval, if any;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for the manufacture of larger quantities of product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hire and retain additional personnel, such as clinical, manufacturing, quality control, regulatory and finance personnel;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117"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sales, marketing or medical affairs infrastructure and have no experience in the sales, marketing, or distribution of pharmaceutical products. Assuming nomlabofusp ultimately is approved for marketing in the US and elsewhere, we will need to establish commercial capabilities as well as customer service and support, logistics, and other related functions, or make arrangements with third parties to perform these services.</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Net losses and negative cash flows have had, and will continue to have, an adverse effect on our liquidity and potentially the ability for us to raise capital due to our unfavorable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commercial revenue and may never become profitable.</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commercial revenue. Our ability to generate revenue and become profitable depends upon our ability to obtain regulatory approval for, and to successfully commercialize, nomlabofusp or other product candidates that we may develop, in-license or acquire in the future.</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This will require success in a range of challenging activities, including completing numerous clinical trials of nomlabofusp or any future product candidates, obtaining marketing approval for nomlabofusp and any future product candidates, manufacturing, marketing and selling those products for which we, or any future collaborators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or partners, may obtain marketing approval, satisfying any post-marketing requirements and obtaining reimbursement for our products from private insurance and/or government payors. Even if we are able to successfully achieve the above, we do not know what the reimbursement status of nomlabofusp or any other future product candidates will be or when any of these products will generate revenue for us, if at all. We have not generated, and do not expect to generate, any product revenue for the foreseeable future, and expect to continue to incur significant operating losses for the foreseeable future due to the cost of research and development, non-clinical studies and clinical trials and the regulatory approval process for nomlabofusp and any future product candidates.</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ability to generate revenue from nomlabofusp or any future product candidates also depends on a number of additional factors, including our ability to:</w:t>
      </w:r>
    </w:p>
    <w:p>
      <w:pPr>
        <w:spacing w:after="0" w:line="54"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development activities, including the remaining non-clinical studies and planned clinical trials for our product candidates;</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BLAs to the FDA and MAAs to the EMA and obtain regulatory approval for indications for which there is a commercial market;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other foreign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any approved products in commercial quantities and on commercially reasonable terms;</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or find suitable partners, to market, sell and distribute approved products in the markets in which we have retained commercialization rights;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acceptance among patients, clinicians and advocacy groups for any products we develop;</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 parties, including government payors;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any products for which we may receive approval.</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Because of the uncertainties and risks associated with these activities, we are unable to accurately predict the timing and amount of increased expenses, and if or when we might achieve or maintain profitability. We and any future collaborators may never succeed in these activities and, even if we do, or any future collaborators do, we may never generate revenues that are large enough for us to achieve profitability. Even if we are able to complete the processes described above, we anticipate incurring significant costs associated with commercializing nomlabofusp or any of our future product candidates. Even if we achieve profitability in the future, we may not be able to sustain profitability in subsequent periods. Our failure to become and remain profitable could decrease the value of our business and could impair our ability to raise capital, maintain our discovery and 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80"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funding to complete the development and commercialization of nomlabofusp. This funding may not be available on acceptable terms, or at all. Failure to obtain this necessary capital when needed would force us to delay, limit or terminate our product development efforts or other operations.</w:t>
      </w:r>
    </w:p>
    <w:p>
      <w:pPr>
        <w:spacing w:after="0" w:line="6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our existing cash, cash equivalents and marketable securities were $183.5 million, which we anticipate will fund our operations into the second quarter of 2026.</w:t>
      </w:r>
    </w:p>
    <w:p>
      <w:pPr>
        <w:spacing w:after="0" w:line="54"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expect to continue to spend substantial and increasing amounts to conduct clinical trials of nomlabofusp and further research and development activities for nomlabofusp, and for any additional product candidates that we may develop, in-license or acquire in the future. In addition, raising funds in the current economic environment may present substantial challenges, for example, any sustained disruption in the capital markets from adverse macroeconomic conditions, such as the disruption and uncertainty caused by inflationary pressures, rising interest rates, banking instability, monetary policy changes, changes in trade policies, including tariffs (including tariffs that have been or may in the future be imposed by the U.S. or other countries), economic slowdowns or recessions, could negatively impact our ability to raise capital and we cannot predict the extent or duration of such macroeconomic disruptions. Additionally our expenses will increase as we expand, through development, in-license or acquisition, our pipeline of product candidates. If we obtain marketing approval for any of our product candidates, we will likely incur significant commercialization expenses related to product sales, marketing, manufacturing and distribution to the extent that such sales, marketing, manufacturing and distribution are not the responsibility of a future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collaborator. Accordingly, we will need to obtain additional funding in connection with our continuing operations. Our current cash, cash equivalents and marketable securities may not be sufficient to fund all of the efforts that we plan to undertake or to fund the completion of the development and commercialization of nomlabofusp. Accordingly, we may be required to obtain further funding through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additional capital is needed to complete the development and commercialization of nomlabofusp, there can be no assurance that we will be able to raise sufficient additional capital on acceptable terms or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financial condition and prospects. In addition, geopolitical tension including, for example, the broader impact of the ongoing conflict between Russia and Ukraine and the current conflict in Israel and Gaza (including any escalation or expansion), and the impact of a future pandemic, epidemic or outbreak of an infectious disease or liquidity constraints, failures and instability in U.S. and international financial banking systems on the global financial markets may reduce our ability to access capital, which could negatively affect our liquidity.</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additional capital is needed to complete the development and commercialization of nomlabofusp, and if we are unable to obtain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nomlabofusp or other product candidates that we may develop, in-license or acquire in the future.</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or public equity offerings, debt financings, collaborations and licensing arrangements or other sources. To the extent we raise additional capital through the sale of equity or convertible debt securities, existing ownership interests will be diluted and the terms of such financings may include liquidation or other preferences that adversely affect the rights of existing stockholders. Debt or equity financings may be coupled with an additional equity component, such as warrants to purchase shares, which could also result in dilution of our existing stockholders' ownership.</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strategic partnerships and alliances and licensing arrangements with third parties, we may have to relinquish valuable rights, including future revenue streams, to nomlabofusp or other product candidates that we may develop, in-license or acquire in the future, or grant licenses on terms that are not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NOLs and certain other tax attributes may be limited.</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2024 we had NOL carryforwards that expire for U.S. federal income tax purposes of $ </w:t>
      </w:r>
      <w:r>
        <w:rPr>
          <w:rFonts w:ascii="Times New Roman" w:cs="Times New Roman" w:eastAsia="Times New Roman" w:hAnsi="Times New Roman"/>
          <w:sz w:val="18"/>
          <w:szCs w:val="18"/>
          <w:color w:val="333333"/>
        </w:rPr>
        <w:t>$198.2</w:t>
      </w:r>
      <w:r>
        <w:rPr>
          <w:rFonts w:ascii="Times New Roman" w:cs="Times New Roman" w:eastAsia="Times New Roman" w:hAnsi="Times New Roman"/>
          <w:sz w:val="18"/>
          <w:szCs w:val="18"/>
          <w:color w:val="auto"/>
        </w:rPr>
        <w:t xml:space="preserve"> million, a portion of which begin to expire in 2026. Our NOLs could expire unused and be unavailable to offset future income tax liabilities because of their limited duration or because of restrictions under U.S. tax law. NOLs generated in taxable years beginning before January 1, 2018 are permitted to be carried forward for 20 taxable years under applicable U.S. federal income tax law. Under current U.S. federal income tax law, NOLs arising in tax years beginning after December 31, 2020 may not be carried back. Moreover, NOLs generated in taxable years beginning after December 31, 2017 may be carried forward indefinitely. As of December 31, 2024, the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86"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had federal net operating loss carryforwards that were generated after December 31, 2017 of $159.5 million that do not expire, however these carryforwards are limited to 80% of the taxable income in any one tax period.</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Internal Revenue Code (the "Code") if a corporation undergoes an “ownership change,” generally defined as a greater than 50% change (by value) in its equity ownership over a three-year period, the corporation’s ability to use its pre-change NOLs and other pre-change tax attributes (such as capitalized research and development costs and research tax credits) to offset its post-change income may be limited. We believe that as a result of our merger with Zafgen, our ability to utilize NOLs acquired in the transaction and our other NOLs is expected to be severely limited by Section 382 of the Code. Additionally, our July 2021, September 2022 and February 2024 equity transactions could also limit our ability to utilize NOLs in the future. We may also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and would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may have a material adverse effect on our business, financial condition and results of operations.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For example, under Section 174 of the code, in taxable years beginning after December 31, 2021, expenses that are incurred for research and development in the U.S. are capitalized and amortized, which may have an adverse effect on our cash flow. In addition, it is unclear how these U.S. federal income tax changes will affect state and local taxation. Generally, future changes in applicable U.S. tax laws and regulations, or their interpretation and application could have an adverse effect on our business, financial conditions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currently dependent upon the success of our lead product candidate, nomlabofusp. We cannot be certain that we will ultimately be successful with our clinical development or that we will ever be able to obtain regulatory approval for nomlabofusp.</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drug products for sale and our business is currently wholly dependent on our successful clinical development, regulatory approval and commercialization of nomlabofusp, our lead product candidate and our only product candidate in clinical development, for which we have completed two Phase 1 studies and a four-week, placebo-controlled Phase 2 dose exploration study. We have an ongoing Phase 2 OLE trial in patients with FA and an ongoing PK run-in study in adolescent patients with FA.</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regulatory and manufacturing hurdles faced by our product candidate, the administration of a protein such as nomlabofusp may cause an immune response, resulting in the creation of antibodies directed against the protein. These anti-drug antibodies can have no effect or can neutralize the effectiveness of the protein or require that higher doses be used to obtain a therapeutic effect. Neutralizing antibodies may be detected at a later date or upon longer exposure periods and there can be no assurance that neutralizing antibodies will not be detected in the future.</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Additionally, while nomlabofusp was selected by the FDA for participation in its Support for clinical Trials Advancing Rare disease Therapeutics (START) Pilot Program, it is unknown whether participation in the program will accelerate the development of nomlabofusp and whether the FDA will continue investing its resources in this program. If our efforts to develop and commercialize nomlabofusp for the treatment of FA are unsuccessful, or we experience significant delays in doing so, our business could also be substantially harmed. The success of nomlabofusp will depend on several factors, including the following:</w:t>
      </w:r>
    </w:p>
    <w:p>
      <w:pPr>
        <w:spacing w:after="0" w:line="75" w:lineRule="exact"/>
        <w:rPr>
          <w:sz w:val="20"/>
          <w:szCs w:val="20"/>
          <w:color w:val="auto"/>
        </w:rPr>
      </w:pPr>
    </w:p>
    <w:p>
      <w:pPr>
        <w:ind w:left="5540" w:right="3160" w:hanging="5158"/>
        <w:spacing w:after="0" w:line="783" w:lineRule="auto"/>
        <w:tabs>
          <w:tab w:leader="none" w:pos="7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IND with the FDA in order to continue to conduct clinical trials in the United States;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8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submitting a BLA for accelerated approval;</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recruiting, enrolling and retaining patients in and completing any clinical trials, if allowed to continue, including trials in pediatric patients;</w:t>
      </w:r>
    </w:p>
    <w:p>
      <w:pPr>
        <w:spacing w:after="0" w:line="53"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long-term chronic daily dosing safety, tolerability and efficacy profiles that are satisfactory to the FDA, EMA and other comparable regulatory authorities for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all necessary toxicology studies to support clinical development and regulatory approval for nomlabofusp;</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extent and cost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for nomlabofusp, including developing, validating and maintaining a commercially viable manufacturing process that is compliant with cGMPs;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implementing a potency control strategy acceptable to the FDA, EMA and other comparable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our product candidates and technology;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United States and other countries;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following any marketing approval, including establishing a specialty sales organization, or successfully partnering with another organization, if applicable;</w:t>
      </w:r>
    </w:p>
    <w:p>
      <w:pPr>
        <w:spacing w:after="0" w:line="53" w:lineRule="exact"/>
        <w:rPr>
          <w:rFonts w:ascii="Times New Roman" w:cs="Times New Roman" w:eastAsia="Times New Roman" w:hAnsi="Times New Roman"/>
          <w:sz w:val="18"/>
          <w:szCs w:val="18"/>
          <w:color w:val="auto"/>
        </w:rPr>
      </w:pPr>
    </w:p>
    <w:p>
      <w:pPr>
        <w:ind w:left="760" w:right="6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 candidates,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with other therapies.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of these factors are outside of our control, including the clinical development and regulatory approval processes, results of non-clinical and toxicology studies and clinical trials, potential threats to our intellectual property rights and the manufacturing, marketing and sales efforts, respectively. The process of obtaining regulatory approval is expensive and time consuming. The FDA and foreign regulatory authorities may never approve nomlabofusp for sale and marketing, and even if nomlabofusp is ultimately approved, regulatory approval may be delayed or limited in the United States or in other jurisdictions. Even if we are authorized to sell and market nomlabofusp in one or more markets, there is no assurance that we will be able to successfully market nomlabofusp or that nomlabofusp will achieve market acceptance sufficient to generate profits. If we are unable to successfully develop and commercialize nomlabofusp due to failure to obtain regulatory approval for nomlabofusp, to successfully market nomlabofusp, to generate profits from the sale of nomlabofusp, or due to other risk factors outlined in this report, it would have material adverse effects on our business, financial condition, and results of operations as nomlabofusp is currently our sole product candidate.</w:t>
      </w:r>
    </w:p>
    <w:p>
      <w:pPr>
        <w:spacing w:after="0" w:line="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We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our industry is high, especially for products in early stages of development.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results from non-clinical studies, toxicology studies or clinical trials of a product candidate may not predict the results of later non-clinical or clinical trials of the product candidate, or in clinical trials with different patient populations such as children and adolescents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 Favorable safety and efficacy outcomes in adult clinical trials may not be seen in pediatric clinical trials.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current and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provide assurance that we will be able to successfully progress any future non-clinical programs from candidate identification to Phase 1 clinical development. As is typical in candidate development, we have a program of toxicology studies in animals for nomlabofusp and cannot provide assurance that the findings from such studies or any ongoing or future clinical trials will not adversely affect the clinical development of nomlabofusp. For the foregoing reasons, we cannot be certain that our non-clinical studies and clinical trials will be successful. If non-clinical studies or clinical trials for nomlabofusp or any future product candidates or indications fail to demonstrate safety or efficacy to the satisfaction of the FDA or the equivalent regulatory authorities in other countries, the FDA or equivalent regulatory authority will not approve our product candidates in those and other indications, which could have a material adverse effect on our business, financial condition results of operations and prospects.</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know whether any ongoing or future clinical trials for nomlabofusp will be completed on schedule, if at all, as the commencement and completion of clinical trials can be delayed, prevented or terminated for a number of reasons, including as a result of safety concerns, or ambiguous or negative interim results. In addition, a clinical trial may be suspended or terminated by us, the FDA, other regulatory authorities, IRBs or ethics committees, an independent data monitoring committee, or safety review committee, overseeing the clinical trial at issue or other regulatory authorities due to a number of factors, including, among others:</w:t>
      </w:r>
    </w:p>
    <w:p>
      <w:pPr>
        <w:spacing w:after="0" w:line="75"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the EMA, or other applicable regulatory authorities that reveals deficiencies or violations that require us to undertake corrective action, including the imposition of a partial clinical hold or a full clinical hold;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our prior or future toxicology studies, adverse events or lack of effectiveness;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size and nature of the patient population, such as pediatric patients, the proximity of patients to clinical trial sites, eligibility criteria for the clinical trial, the nature of the clinical trial protocol, the availability of approved effective treatments for the relevant disease and competition from FDA-approved therapeutics for FA and other clinical trial programs for similar indications;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or recruiting clinical investigators in our ongoing or future clinical trials;</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serious or unexpected drug-related adverse events experienced by patients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negative effects of chronic long-term daily patient dosing;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left="760" w:right="8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applicable regulatory authorities may disagree with our clinical trial designs, our interpretation of data from clinical trials, or may change the requirements for approval even after it has reviewed and commented on the design for our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subjects may deviate from trial protocol or drop out of a trial;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studies or clinical testing of other therapies that raise safety or efficacy concerns.</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completion of our clinical trials could result in increased costs and could delay, prevent or limit our ability to generate revenue and continue our business.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For our lead product candidate nomlabofusp, we have completed two Phase 1 clinical trials in patients with FA and our four-week, placebo-controlled Phase 2 dose exploration study. We have an ongoing Phase 2 OLE trial in patients with FA and an ongoing run-in study in adolescent patients with FA. Our clinical trials may be delayed or terminated as a result of safety issues in non-clinical or clinical trials, ambiguous or negative interim results or events outside of our control. If future clinical trials of nomlabofusp fail or further delays occur in the United States and or other countries, we may not be able to develop and commercialize nomlabofusp and could fail to realize the potential advantages of doing so, and it could materially adversely affect our business, financial condition and results of operations.</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disruptions caused by future pandemic, epidemic or outbreak of an infectious disease, may increase the likelihood that we encounter such difficulties or delays in initiating, enrolling, conducting or completing our planned and ongoing clinical trials. Further, FA is a rare disease and as a result, there are a limited number of patients in close proximity to clinical trial sites and clinical trial patients may need to travel from other countries to the clinical trial sites in order to participate. In addition, given the limited number of FA patients, the approval of a competing therapy for the treatment of FA may make patients less likely to enroll in our clinical trials or less likely to be eligible for our clinical trials.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discover or acquire additional product candidates.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currently only have one product candidate nomlabofusp in clinical development, although we have other product candidates in pre-clinical development. Therefore, the success of our business largely depends upon our ability to identify, develop, in-license or acquire and commercialize products targeting rare diseases. We may focus our efforts and resources on potential programs or product candidates that ultimately prove to be unsuccessful. In addition,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We may focus our efforts and resources on potential programs or product candidates that ultimately prove to be unsuccessful. If any of these events occur, we may be forced to abandon our development efforts for a program or programs, which would have a material adverse effect on our business, financial condition and results of operations.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marketed proprietary products and have not yet advanced a product candidate beyond Phase 2 clinical trials, which makes it difficult to assess our ability to develop nomlabofusp or any future product candidates and commercialize any resulting products independently.</w:t>
      </w:r>
    </w:p>
    <w:p>
      <w:pPr>
        <w:spacing w:after="0" w:line="51"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little experience in later stage clinical development, and related regulatory requirements or the commercialization of products. As a result, we have not yet demonstrated our ability to independently and repeatedly conduct clinical development after Phase 1, successfully conduct an international multi-center clinical trial, conduct a pivotal clinical trial, obtain regulatory approval, manufacture drug product on a commercial scale or arrange for a third party to do so on our behalf, and commercialize therapeutic products. We will need to develop such abilities if we are to execute on our business strategy to develop and independently commercialize product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for orphan and niche indications. To execute on our business plan for the development of independent programs, we will need to successfully:</w:t>
      </w:r>
    </w:p>
    <w:p>
      <w:pPr>
        <w:spacing w:after="0" w:line="117"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clinical development plans for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in each jurisdiction in which we will seek to commercialize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appropriate sales, distribution and marketing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including reimbursement, for our future products, if any;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 activities.</w:t>
      </w:r>
    </w:p>
    <w:p>
      <w:pPr>
        <w:spacing w:after="0" w:line="11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will not be able to develop and commercialize any product candidates independently and could fail to realize the potential advantages of doing so, and it would materially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be able to successfully complete clinical trials for nomlabofusp or any other product candidates.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advanced only one product candidate into clinical development, nomlabofusp. Our business currently depends primarily on nomlabofusp’s successful clinical development, regulatory approval and commercialization. We submitted our IND and it was accepted, permitting the conduct of clinical trials. We completed two Phase 1 and our four-week, placebo-controlled Phase 2 dose exploration study.</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clinical development of any product candidate, the outcome of toxicology studies and early clinical trials may not be positive and may not be predictive of the success of later non-clinical studies or clinical trials. Adverse toxicology or safety results could lead to clinical holds or other developmental delays. Interim results of clinical trials do not necessarily predict success in those or future clinical trials. Success in adult clinical trials may not predict the outcome of pediatric clinical trials.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Published clinical data or case reports from third parties or early clinical trial data of nomlabofusp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or different patient populations, such as pediatric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different patient population, number of patients, patient selection criteria, trial duration, drug dosage and formulation and lack of statistical power.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our knowledge, nomlabofusp is the only protein replacement therapy being developed for the treatment of FA and therefore non-clinical studies may not be adequate to predict efficacy in a clinical trial due to our novel protein replacement therapy platform.</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such as pediatric patients, variability of the disease being studied, changes in and adherence to the dosing regimen and other clinical trial protocols and the rate of dropout among clinical trial participants. If we fail to ultimately receive positive results in clinical trials of nomlabofusp, the development timeline and regulatory approval and commercialization prospects for nomlabofusp, and, correspondingly, our business, financial prospects and results of operation would be negatively impacted.</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nomlabofusp or any future product candidates may not be approved even if they achieve their primary endpoint in clinical trials. The FDA, EMA or foreign regulatory authorities may disagree with our trial design and our interpretation of data from non-clinical studies and clinical trials. In addition, FDA, EMA or foreign regulatory authorities may disagree with the extent of population exposure to assess clinical safety. Any of these regulatory authorities may change its requirements for the approval of a product candidate even after reviewing and providing comments or advice on a protocol for a pivotal clinical trial that, if successful, would potentially form the basis for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 application for approval by the FDA, EMA or another regulatory authority. Furthermore, any of these regulatory authorities may also approve nomlabofusp or any future product candidates for a narrower indication than we may request or may grant approval contingent on the performance of costly post-marketing clinical trials. The FDA and other comparable foreign authorities have substantial discretion in the approval process and determining when or whether regulatory approval will be granted for any product candidate that we develop and may decide that our data are insufficient for approval or require additional non-clinical, clinical, or other data.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7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identifying and enrolling patients in our clinical trials given the limited number of patients who have the disease for which nomlabofusp is being studied or for any other product candidate we may study in the future. Difficulty in enrolling patients could delay or prevent clinical trials of nomlabofusp or any future product candidate. There are also competing FA therapeutics, other competing studies and potentially other FA therapeutics that could be approved that may also limit the availability of prospective participants in nomlabofusp clinical trials.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nomlabofusp is critical to our success. The timing of our clinical trials depends in part on the speed at which we can recruit patients to participate in testing nomlabofusp, and we may experience delays in our clinical trials if we encounter difficulties in enrollment, such as difficulties with enrollment in pediatric clinical trials.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conditions for which we are planning to evaluate nomlabofusp and any product candidates we may evaluate in the future, are rare genetic diseases. Accordingly, there are limited patient pools from which to draw for clinical trials. Arranging for investigative sites and recruiting patients for clinical trials in this disease may be very difficult. The recent FDA approval of a product for the treatment of FA may impact our ability to enroll patients in our clinical trials as patients using other FA treatments may be excluded from participation in our nomlabofusp studies or may be less likely to participate in our nomlabofusp clinical trials due to the availability of another FA therapy. If other companies are studying their investigational products in Friedreich’s ataxia and/or if other companies have their products approved for the treatment of FA, it may be more difficult to enroll eligible patients into our clinical trials. Competing priorities at sites and participation of subjects in other studies may limit our ability to execute clinical trials in a timely fashion, if at all.</w:t>
      </w:r>
    </w:p>
    <w:p>
      <w:pPr>
        <w:spacing w:after="0" w:line="84"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addition to the rarity of FA and other diseases that we are studying, the eligibility criteria of our clinical trials will further limit the pool of available study participants as it will require patients to have specific characteristics that we can measure to assure their disease is either severe enough or not too advanced to include them in a clinical trial. The process of finding and diagnosing patients may prove costly, especially since the diseases we are studying are rare.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approved and competing therapies and clinical trials can also adversely impact enrollment. Furthermore, our inability to enroll a sufficient number of patients for our clinical trials, including pediatric clinical trials, could result in significant delays or may require us to abandon one or more clinical trials altogether. Enrollment delays in our clinical trials may result in increased development costs for nomlabofusp or any future product candidates, and jeopardize our ability to achieve our clinical development timeline and goals, including the dates by which we will commence, complete and receive results from clinical trials. If patients are unwilling to participate in our trials for any reason, the timeline for recruiting patients, conducting trials, and obtaining regulatory approval of potential products may be delayed. Enrollment delays in our clinical trials may also jeopardize our ability to commence sales of and generate revenues from nomlabofusp, which could cause the value of our company to decline and limit our ability to obtain additional financing, if needed. Any of these occurrences may harm our business, financial condition, and prospects significantly.</w:t>
      </w:r>
    </w:p>
    <w:p>
      <w:pPr>
        <w:spacing w:after="0" w:line="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 has no FDA-approved therapies that address frataxin deficiency, which is the underlying cause of the disease, and clinical endpoints required to obtain approval are not well defined.</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are currently no FDA-approved products to treat FA that are designed to increase frataxin levels. We have concentrated our research and development efforts on developing a novel, FA therapy designed to address frataxin deficiency, which is the underlying cause of the disease, and our future success depends on the success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had discussions with the FDA regarding the use of tissue FXN levels as a novel surrogate endpoint. The FDA acknowledged that frataxin deficiency appears to be critical to the pathogenic mechanism of FA, and that there continues to be an unmet need for treatments for FA patients that address the underlying disease pathophysiology. In March 2025, we announced that FDA stated in written correspondence associated with a meeting through the START pilot program that they are open to considering the use of FXN concentration as a reasonably likely surrogate endpoint ("RLSE") and the acceptability of FXN’s use as an RLSE would ultimately be a matter of review of the data in a future marketing application. We intend to pursue an accelerated approval using FXN levels, supportive PD and clinical information, and safety data from the OLE study, along with non-clinical pharmacology information needed to support the novel surrogate endpoint approach. We are beginning to plan for a confirmatory study and are targeting a BLA submission by the end of 2025. The FDA or other regulatory authorities may not agree with this approach.</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Regulatory authorities in the United States, the United Kingdom and the European Union have not issued definitive guidance as to how to measure and achieve efficacy in treatments for FA. As a result, the design and conduct of clinical trials of nomlabofusp may take longer, be more costly or be less effective as part of the novelty of development in FA. The FDA may not accept that the supportive PD and clinical information, and safety data from the OLE study, along with additional non-clinical pharmacology data we ultimately submit in our BLA, adequately supports the use of FXN levels as a novel surrogate endpoint. Even if the FDA supports the use of FXN levels as a novel surrogate endpoint, the FDA may not agree with the adequacy of the design of clinical trials intended to assess this novel surrogate endpoint.</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5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Nomlabofusp, including the effects of long-term daily patient dosing, may cause adverse events or undesirable side effects in clinical trials that could delay or prevent its regulatory approval, limit the commercial profile of approved labeling, or result in significant negative consequences following regulatory approval, if any.</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adverse events or undesirable side effects caused by, or other unexpected properties of, nomlabofusp in non-clinical or clinical studies could cause us, any future collaborators, an IRB or ethics committee or regulatory authorities to interrupt, delay or halt clinical trials of our product candidate and could result in a more restrictive label or the delay or denial of regulatory approval by the FDA or other regulatory authorities. It is possible that as we progress nomlabofusp through clinical trials and toxicology studies, or as the use of nomlabofusp becomes more widespread if it receives regulatory approval, illnesses, injuries, discomforts and other adverse events that were not observed in earlier trials, as well as conditions that did not occur or went undetected in previous trials, may be reported by patients. For example, recently our Safety Monitoring Team deemed anaphylaxis as an adverse drug reaction likely associated with nomlabofusp. To reduce the risk of allergic reactions, including anaphylaxis, we amended the OLE protocol to administer premedication for the first month of dosing. If such side effects become known or their incidence increases later in development or after approval, such findings may harm our business, financial condition and prospects significantly. Further, if a serious safety issue is identified in connection with the use of nomlabofusp commercially or in third-party clinical trials elsewhere, such issues may adversely affect the development potential of nomlabofusp elsewhere or result in regulatory authorities restricting our ability to develop or commercialize nomlabofusp, if approved.</w:t>
      </w:r>
    </w:p>
    <w:p>
      <w:pPr>
        <w:spacing w:after="0" w:line="8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Further, if nomlabofusp were to receive marketing approval and we or others identify undesirable side effects caused by the product (or any other product) after the approval, a number of potentially significant negative consequences could result, including:</w:t>
      </w:r>
    </w:p>
    <w:p>
      <w:pPr>
        <w:spacing w:after="0" w:line="54" w:lineRule="exact"/>
        <w:rPr>
          <w:sz w:val="20"/>
          <w:szCs w:val="20"/>
          <w:color w:val="auto"/>
        </w:rPr>
      </w:pPr>
    </w:p>
    <w:p>
      <w:pPr>
        <w:ind w:left="760" w:right="4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recall or withdraw the product from the market or may limit the approval of the product through labeling or other means;</w:t>
      </w:r>
    </w:p>
    <w:p>
      <w:pPr>
        <w:spacing w:after="0" w:line="53"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 or a precaution, or labeling restrictions based on patient population;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left="760" w:right="1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recall or remove the product from the marketplace;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or held liable for injury caused to individuals exposed to or taking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conduct expensive post-marketing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lose our commercial market opportunity and our revenues could decrease substantially;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public perception of the safety of nomlabofusp; and</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 physicians or patients might be less likely to use our product or may refer patients to products produced by our competitors.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 In addition, the patient populations under investigation with nomlabofusp have many co-morbidities that may cause severe illness or death unrelated to our product candidate, which may be attributed to nomlabofusp in a manner that negatively affects the safety profile of our product candidate.</w:t>
      </w:r>
    </w:p>
    <w:p>
      <w:pPr>
        <w:spacing w:after="0" w:line="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preliminary or “top-line”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interim, preliminary or “top-line” data and final data could significantly harm our business, financial condition, results of operations and prospects.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discover and develop fusion proteins for delivering proteins is novel and may never lead to marketable products.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concentrated our efforts and research and development activities on delivering proteins (FXN or other) to intracellular targets. Our future success depends on the successful development and manufacturing of such therapeutics and the effectiveness of our platform. The scientific discoveries that form the basis for our research are relatively new.</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Nomlabofusp uses a novel and unproven approach and mechanism to treat FA and therefore its efficacy and safety are difficult to predict, and there is no guarantee that nomlabofusp will be approved by the FDA, the EMA, or any other regulatory authorities.</w:t>
      </w:r>
    </w:p>
    <w:p>
      <w:pPr>
        <w:spacing w:after="0" w:line="5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If nomlabofusp proves to be ineffective, unsafe or commercially unviable, it is possible that our platform and pipeline would have little, if any, value, which would substantially harm our business, financial condition, results of operations and prospects. In addition, our approach may expose us to additional financial risks and make it more difficult to raise additional capital than other, more advanced proven technologies, which would materially adversely affect our business, financial condition and results of operations.</w:t>
      </w:r>
    </w:p>
    <w:p>
      <w:pPr>
        <w:spacing w:after="0" w:line="6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Protein replacement therapies are novel, complex and difficult to manufacture. We could experience manufacturing problems that result in delays in the development or commercialization of our protein replacement therapy platform or product candidates or otherwise harm our business.</w:t>
      </w:r>
    </w:p>
    <w:p>
      <w:pPr>
        <w:spacing w:after="0" w:line="5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manufacture of fusion proteins, such as nomlabofusp and any fusion protein candidates, is technically complex and necessitates substantial expertise and capital investment. Production difficulties caused by unforeseen events may delay the availability of material for clinical trials and commercial products for nomlabofusp or any</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8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fusion protein product that may receive regulatory approval in the future. Additionally, because biologic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further described in these risk factors, the manufacturers of biologic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Form 483s,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spacing w:after="0" w:line="80"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spacing w:after="0" w:line="2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designation by the FDA or any future expedited program designations may not lead to a faster development, regulatory review or approval process and it does not increase the likelihood that any of our product candidates will receive marketing approval.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received fast track therapy designation for nomlabofusp for the treatment of FA. We may, in the future, apply for other expedited program designations from the FDA (such as breakthrough therapy) for nomlabofusp or future product candidates. Designation for these programs is within the discretion of the FDA. Accordingly, even if we believe nomlabofusp or a future product candidate meets the criteria for designation, the FDA may disagree. The receipt of a designation may not result in a faster development process, review or approval compared to products considered for approval without these expedited program designations and, in any event, does not assure ultimate approval by the FDA. In addition, even though nomlabofusp has obtained fast track designation, the FDA may later decide that it no longer meets the criteria for designation and revoke it. Approval of other therapies for the treatment Friedreich’s ataxia could negatively impact our continued fast track therapy designation for nomlabofusp for the treatment of FA. In addition, if we apply to the FDA for other designations for nomlabofusp or future product candidates, the FDA might not grant such designations. If we apply for any similar programs in foreign countries for nomlabofusp or future product candidates, those designations also might not be granted by the regulatory authorities of those countries. Any of the above could adversely affect our business, financial condition and results of operations.</w:t>
      </w:r>
    </w:p>
    <w:p>
      <w:pPr>
        <w:spacing w:after="0" w:line="8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intend to pursue accelerated approval from FDA for nomlabofusp for the treatment of Friedreich’s ataxia, however this may not lead to a faster development or regulatory review or approval process and does not increase the likelihood that we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intend to pursue an accelerated approval from FDA for nomlabofusp for the treatment of FA using FXN concentrations as a surrogate endpoint, supportive pharmacodynamic and clinical information and safety data from the OLE study, along with non-clinical pharmacology information needed to support our surrogate biomarker</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approach. Under the FDA’s accelerated approval program, the FDA may approve a drug or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stated in written correspondence associated with a meeting through the START pilot program that they are open to considering the use of FXN concentration as an RLSE and the acceptability of FXN’s use as an RLSE would ultimately be a matter of review of the data. There can be no assurance that data we intend to generate will be successful in establishing that increases in FXN concentrations are reasonably likely to predict clinical benefit or that increases in FXN concentrations due to treatment with nomlabofusp meet the legal standards to support approval of a marketing application. In addition, non-clinical pharmacology and clinical studies may not provide adequate information or may fail to support the predictive value of increases in FXN and, therefore, its ability to serve as a surrogate endpoint, or may fail to support that increases in FXN are the result of treatment with nomlabofusp. Even if these evidentiary requirements are met, we may not be able to accrue adequate exposures to assess clinical safety or expedite the scale up of manufacturing or meet other CMC requirements in a timeframe commensurate with the expedited assessment of clinical efficacy.</w:t>
      </w:r>
    </w:p>
    <w:p>
      <w:pPr>
        <w:spacing w:after="0" w:line="8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Approval of other therapies for the treatment of FA, including the approval of omaveloxolone for the treatment of FA, could negatively impact our ability to utilize the accelerated approval pathway, and/or get approval for nomlabofusp. For drugs or biologics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the FDA may withdraw approval of any product candidate approved under the accelerated approval pathway if, for example:</w:t>
      </w:r>
    </w:p>
    <w:p>
      <w:pPr>
        <w:spacing w:after="0" w:line="131" w:lineRule="exact"/>
        <w:rPr>
          <w:sz w:val="20"/>
          <w:szCs w:val="20"/>
          <w:color w:val="auto"/>
        </w:rPr>
      </w:pPr>
    </w:p>
    <w:p>
      <w:pPr>
        <w:ind w:left="900" w:right="50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the product candidate fail to verify such benefit or do not demonstrate sufficient clinical benefit to justify the risks associated with such product;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the product candidate is not shown to be safe or effective under the conditions of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13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may terminate the accelerated approval program or change the standards under which accelerated approvals are considered and granted in response to public pressure or other concerns regarding the accelerated approval program. Changes to or termination of the accelerated approval program could prevent or limit our ability to obtain accelerated approval of any of our clinical development programs. Recently, the accelerated approval pathway has come under scrutiny within the FDA and by Congress. The FDA has put increased focus on ensuring that confirmatory studies are conducted with diligence and, ultimately, that such studies confirm the benefit. In addition, the Food and Drug Omnibus Reform Act (“FDORA”), included provisions related to the accelerated approval pathway. Pursuant to FDORA, the FDA is authorized to require, as appropriate, that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also gives the FDA increased authority to withdraw approval of a drug or biologic granted accelerated approval on an expedited basis if the sponsor fails to verify the drug or biologic’s predicted clinical benefit. FDORA enables the FDA to initiate enforcement action for a sponsor's failure to conduct with due diligence a required post-approval study, including a failure to meet any required conditions specified by the FDA or to submit timely reports.</w:t>
      </w:r>
    </w:p>
    <w:p>
      <w:pPr>
        <w:spacing w:after="0" w:line="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orphan drug designation or other regulatory exclusivity for nomlabofusp or obtain such exclusivity for any of our other product candidates in the future, our competitive position would be harmed.</w:t>
      </w:r>
    </w:p>
    <w:p>
      <w:pPr>
        <w:spacing w:after="0" w:line="5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We received orphan drug designation from the FDA for nomlabofusp for the treatment of FA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means that the FDA may not approve any other applications, including an NDA or BLA, to market the same drug for the same disease or condition for seven years, except in limited circumstances, including if the FDA concludes that the later drug is clinically superior to the approved drug. A drug is clinically superior if it is safer, more effective, or makes a major contribution to patient care. In the case of a biological product, whether a drug is the same drug is based on the principal molecular structural features of the product. Orphan drug designation neither shortens the development time or regulatory review time of a drug nor gives the drug any advantage in the regulatory review or approval process.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Additionally, we may lose orphan drug exclusivity if we are unable to assure sufficient quantity of the drug to meet the needs of patients with the rare disease or condition. Moreover, orphan drug exclusivity may not effectively protect our product candidates from competition because different drugs can be approved for the same condition. Further, even after an orphan drug is approved, the FDA or comparable foreign regulatory authority can subsequently approve another drug for the same condition if such regulatory authority concludes that the later drug is clinically superior, which means that it is shown to be safer, more effective or makes a major contribution to patient care.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also received orphan designation for nomlabofusp in the European Union. In the European Union, the European Commission may grant orphan designation in respect of products that are intended for the diagnosis, prevention or treatment of a life threatening or chronically debilitating condition affecting not more than five in 10,000 persons in the European Union.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drug. In each case, orphan designation is only available if there is no other satisfactory method approved in the European Union of diagnosing, preventing, or treating the condition, or if such a method exists, the proposed orphan product will be of significant benefit to patients over the existing options. In the European Union, orphan drug designation also entitles a party to financial incentives such as reduction of fees or fee waivers and ten years of market exclusivity following the grant of marketing authorization. This period may be reduced to six years if the orphan drug designation criteria are no longer met, including where it is shown that the product is sufficiently profitable so that market exclusivity is no longer justified. Loss of orphan drug designation for nomlabofusp or the failure to obtain such designation in other countries or for any future product candidates could adversely affect our business, financial condition and results of operation.</w:t>
      </w:r>
    </w:p>
    <w:p>
      <w:pPr>
        <w:spacing w:after="0" w:line="82"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If another product has received approval in the indications for which we have received orphan drug designation, we may still receive approval in that indication if we can demonstrate that our product candidate is clinically superior to the existing orphan product. This demonstration of clinical superiority may be done at the time of initial approval or in post-approval studies, depending on the type of marketing authorization granted. Having to comply with these additional requirements to obtain orphan drug exclusivity could adversely affect our business, financial condition and results of operation.</w:t>
      </w:r>
    </w:p>
    <w:p>
      <w:pPr>
        <w:spacing w:after="0" w:line="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rare pediatric disease designation for nomlabofusp, we may not be eligible to receive a priority review voucher in the event the FDA determines we no longer meet the criteria for designation, revokes the designation or FDA approval does not occur prior to September 30, 2026.</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sponsor of an application for a rare pediatric disease drug product may be eligible for a voucher that can be used or sold to obtain a priority review for a subsequent application submitted under section 505(b)(1) of the FDCA or section 351 of the PHS Act. The rare pediatric disease priority review voucher program began to sunset on December 20, 2024, due to failure to pass a continuing resolution package that included its reauthorization. Under the amended statutory sunset provisions, after December 20, 2024, the FDA may award a priority review voucher for an approved rare pediatric disease product application only if the sponsor has rare pediatric disease designation for the drug and if that designation was granted by December 20, 2024. After September 30, 2026, the FDA may not award any rare pediatric disease priority review vouchers. Congress may vote to reauthorize this program, but its future remains unknown at this time. We received rare pediatric disease designation from the FDA for nomlabofusp in 2019. We may, in the future, apply for rare pediatric disease designation from the FDA for future product candidates that may qualify for designation if Congress reauthorizes the program. Vouchers for rare pediatric disease drugs are awarded for qualifying applications when the drug receives approval.</w:t>
      </w:r>
    </w:p>
    <w:p>
      <w:pPr>
        <w:spacing w:after="0" w:line="8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Although nomlabofusp has received rare pediatric disease designation, nomlabofusp may not receive a priority review voucher for a number of reasons: nomlabofusp may not receive approval; nomlabofusp may receive approval in adults, but not pediatric patients; nomlabofusp may not meet the eligibility requirements for a priority voucher at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time we seek approval for nomlabofusp; or we may not meet the current deadline for receiving a priority review voucher (September 30, 2026), in which case we would not be able to obtain a voucher unless Congress further reauthorizes the program. Finally, a rare pediatric disease designation does not necessarily lead to faster development or regulatory review of the product or increase the likelihood that it will receive marketing approval. If the program is reauthorized and we apply for designation for future product candidates as drugs for rare pediatric diseases, the FDA may not grant the designation. The failure to maintain rare pediatric disease designation for nomlabofusp or if FDA approval does not occur prior to September 30, 2026 could result in the inability to receive a priority review voucher which could adversely affect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PRIME designation in the European Union for nomlabofusp, our competitive position could be harmed.</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PRIME scheme is open to medicines under development and for which the applicant intends to apply for an MA through the centralized procedure. Eligible products must target conditions for which where is an unmet medical need (there is no satisfactory method of diagnosis, prevention or treatment in the European Union or, if there is, the new medicine will bring a major therapeutic advantage in comparison to existing therapies)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may submit an eligibility request at an earlier stage of development if compelling non-clinical data in a relevant model provide early evidence of promising activity to establish proof of principle, and first in man studies indicate adequate exposure for the desired pharmacotherapeutic effects and tolerability.</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medicine is selected for the PRIME scheme, the EMA:</w:t>
      </w:r>
    </w:p>
    <w:p>
      <w:pPr>
        <w:spacing w:after="0" w:line="117" w:lineRule="exact"/>
        <w:rPr>
          <w:sz w:val="20"/>
          <w:szCs w:val="20"/>
          <w:color w:val="auto"/>
        </w:rPr>
      </w:pPr>
    </w:p>
    <w:p>
      <w:pPr>
        <w:ind w:left="90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rapporteur from the CHMP or from the CAT to provide continuous support and to build up knowledge of the medicine in advance of the filing of an MMA;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guidance on the applicant’s overall development plan and regulatory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organizes a kick-off meeting with the rapporteur and experts from relevant EMA committees and working groups;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dedicated EMA contact person; and</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scientific advice at key development milestones, involving additional stakeholders, such as health technology assessment bodies and patients, as needed.</w:t>
      </w:r>
    </w:p>
    <w:p>
      <w:pPr>
        <w:spacing w:after="0" w:line="54"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3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or if a medicine granted early access to the PRIME scheme cannot later demonstrate proof of concept, support under the PRIME scheme may be withdrawn. Approval of other therapies for the treatment Friedreich’s ataxia, including the approval of omaveloxolone could negatively impact our continued access to this and similar programs. Loss of PRIME designation for nomlabofusp or the failure to obtain such designation for any future product candidates could adversely affect our business, financial condition and results of operation.</w:t>
      </w:r>
    </w:p>
    <w:p>
      <w:pPr>
        <w:spacing w:after="0" w:line="75"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FDA guidance, guidance from other regulatory authorities or unanticipated events during our non-clinical or clinical trials of nomlabofusp or future product candidates may result in changes to clinical trial protocols or additional non-clinical or clinical trial requirements, which could result in increased costs to us and could delay our development timeline.</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Changes in regulatory requirements, FDA guidance or guidance from EMA or unanticipated events during our non-clinical or clinical trials may force us to terminate or adjust our clinical programs. The FDA, or other applicable regulatory authorities may impose additional clinical trial and/or non-clinical study requirements. Amendments to our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required to conduct additional clinical trials, or non-clinical studies and/or post-market studies, the commercial prospects for nomlabofusp or any other potential product candidates may be harmed and our ability to generate product revenue will be delayed or eliminated, and it would materially adversely affect our business, financial condition and results of operations.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must comply with numerous and varying regulatory requirements of other countries regarding drug development and commercialization. The approval processes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Even if we receive marketing approval for nomlabofusp in the United States, we may never receive regulatory approval to market nomlabofusp outside of the United States.</w:t>
      </w:r>
    </w:p>
    <w:p>
      <w:pPr>
        <w:spacing w:after="0" w:line="7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FDA, other government agencies or comparable regulatory authorities could hinder their ability to hire and retain key leadership and other personnel, prevent new products and services from being developed, approved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current administration is focused on reducing costs of the federal government generally, including significantly reducing the number of government employees. Without appropriation of additional funding to federal agencies, our business operations related to our product development activities for the U.S. market could be impacted. The ability of the FDA or comparable foreign regulatory authorities to review and approve new products can be affected by a variety of factors, including government budget and funding levels, ability to hire and retain key personnel, and accept the payment of user fees, statutory, regulatory and policy changes. In addition, government funding of other government agencies or comparable foreign regulatory authorities on which our operations may rely, including those that fund research and development activities is subject to the political process, which is inherently fluid and unpredictable.</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other agencies or comparable foreign regulatory authorities may also slow the time necessary for new drugs to be reviewed and/or approved by necessary government agencies,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Similar consequences would also result in the event of another significant shutdown of the federal government. As an example, over the last several years, the U.S. government has shut down several times and certain regulatory agencies, such as the FDA and the SEC have had to furlough critical employees and stop critical activities.</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occurs, including as a result of reaching the debt ceiling, if the FDA or SEC experiences significant decreases in funding or personnel it could significantly impact the ability of the FDA or other regulatory authorities to timely review and process our regulatory submissions, which could have a material adverse effect on our business and our timelines. Further, government shutdowns could impact our ability to access the public markets and obtain additional capital in the future.</w:t>
      </w:r>
    </w:p>
    <w:p>
      <w:pPr>
        <w:spacing w:after="0" w:line="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biologic products have changed frequently and may continue to change in the future. Such requirements may lengthen the regulatory review process, require us to perform additional non-clinical studies or clinical trials, and increase our costs, or may force us to delay, limit or terminate certain of our programs.</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Regulatory requirements governing biologic drug products are evolving and may continue to change in the future. As a result, it is difficult to determine how long it will take or how much it will cost to obtain regulatory approvals for nomlabofusp for the treatment of FA or any other future protein replacement therapy product candidates in any indication, if at all.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Delays, failure or unexpected costs in obtaining, the regulatory approval necessary to bring our product candidates to market could have a material adverse effect on our business, results of operations, financial condition and prospects.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6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clinical trials of nomlabofusp and any future product candidates are, and the manufacturing and marketing of nomlabofusp and any future product candidates, will be subject to extensive and rigorous review and regulation by numerous government authorities in the United States and in other countries, such as within the European Union, where we intend to seek regulatory approval of, and market, any product candidates.</w:t>
      </w:r>
    </w:p>
    <w:p>
      <w:pPr>
        <w:spacing w:after="0" w:line="67" w:lineRule="exact"/>
        <w:rPr>
          <w:sz w:val="20"/>
          <w:szCs w:val="20"/>
          <w:color w:val="auto"/>
        </w:rPr>
      </w:pPr>
    </w:p>
    <w:p>
      <w:pPr>
        <w:ind w:right="340" w:firstLine="50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In addition, approval policies, regulations, or the type and amount of clinical data necessary to gain approval may change during the course of a product candidate’s clinical development and may vary among jurisdictions, which may cause delays in the approval of or may result in the decision not to approve our product candidates. We have not obtained regulatory approval for nomlabofusp, and it is possible that this product candidate or any product candidates we may seek to develop in the future will never obtain regulatory approval. If marketing approval is obtained, it will likely include post-marketing studies, and other post-marketing requirements, and surveillance such as REMS which will require the expenditure of substantial resources beyond the proceeds we currently have on hand.</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Furthermore, we are not permitted to market nomlabofusp in the United States, or the European Union until we receive approval of a BLA from the FDA or the grant of an MA from the European Commission, or in any other foreign countries until we receive the requisite marketing approval from such countries. The development of drugs for FA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Nomlabofusp requires substantial further clinical development before we can submit a BLA to the FDA. Development and/or regulatory programs for nomlabofusp in any countries other than the United States (such as a MAA to the EMA) are only in very preliminary stages and may require substantial further development in those countries prior to regulatory submissions seeking regulatory approval for marketing.</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Even after successful completion of clinical trials, there is a risk that the FDA or other regulatory agencies may request further information from us, disagree with our findings or otherwise undertake a lengthy review of our submission.</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FDA and certain European regulatory authorities may delay, limit or deny testing or approval of nomlabofusp for many reasons, including, among others:</w:t>
      </w:r>
    </w:p>
    <w:p>
      <w:pPr>
        <w:spacing w:after="0" w:line="5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nomlabofusp is safe and effective to the satisfaction of the FDA or the EMA;</w:t>
      </w:r>
    </w:p>
    <w:p>
      <w:pPr>
        <w:spacing w:after="0" w:line="117"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the EMA for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disagree with the number, design, size, duration, conduct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require that we conduct additional non-clinical studies and/or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not approve the formulation, manufacturing, labeling or specifications of nomlabofusp;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our clinical trials may take actions outside of our control that materially adversely impact our clinical trials;</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find the data from non-clinical studies and clinical trials insufficient to demonstrate that nomlabofusp’s clinical and other benefits outweigh its safety risks;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disagree with our interpretation of data from our non-clinical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not accept data generated at our clinical trial sites;</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our BLA is submitted, the FDA could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67" w:lineRule="exact"/>
        <w:rPr>
          <w:rFonts w:ascii="Times New Roman" w:cs="Times New Roman" w:eastAsia="Times New Roman" w:hAnsi="Times New Roman"/>
          <w:sz w:val="18"/>
          <w:szCs w:val="18"/>
          <w:color w:val="auto"/>
        </w:rPr>
      </w:pPr>
    </w:p>
    <w:p>
      <w:pPr>
        <w:ind w:left="760" w:right="32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could require development of a REMS as a condition of approval or post-approval, or may not agree with our proposed REMS, or may impose additional requirements, including requirements that limit the promotion, advertising, distribution, or sales of nomlabofusp;</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find deficiencies with or not approve the manufacturing processes or facilities of third-party manufacturers with which we contract; 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change their approval policies or adopt new regulations rendering our clinical data insufficient for approval.</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and/or maintain regulatory approval for and successfully market nomlabofusp. Any delay or failure in obtaining required approvals could have a material adverse effect on our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we submit. It is possible that our product candidates may not obtain appropriate regulatory approvals necessary for us to commence clinical trials for our product candidates. Accordingly, even if we are able to obtain the requisite financing to continue to fund our development and clinical trials, we cannot ensure that nomlabofusp, or any other of our potential product candidates will be successfully developed or commercialized.</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nomlabofusp or any potential product candidates, if approved. Our future arrangements with third-party payors will expose us broadly to applicable fraud and abuse and other healthcare laws and regulations that may constrain the business or financial arrangements and relationships through which we market, sell and distribute nomlabofusp or potential product candidates, if we obtain marketing approval. In addition, we may be subject to patient privacy regulation by both the federal government and the states or other countries in which we conduct our business. For more information, see the section of this report titled “Business – Healthcare Laws and Regulations – Other Healthcare Laws.”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and would materially adversely affect our business, financial condition and results of operations. If any of the physicians or other providers or entities with whom we expect to do business is found not to be in compliance with applicable laws, they may be subject to criminal, civil or administrative sanctions, including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exclusions from government funded healthcare programs, which could have a material adverse effect on our business, results of operations, financial condition and prospects.</w:t>
      </w:r>
    </w:p>
    <w:p>
      <w:pPr>
        <w:spacing w:after="0" w:line="5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The pharmaceutical industry has been a particular focus of these efforts and has been significantly affected by major legislative initiatives. Previously, in March 2010, the ACA was enacted, which was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Healthcare reform initiatives recently culminated in the enactment of the IRA, which, among other things, allow allows HHS to directly negotiate the ceiling price of a statutorily specified number of drugs and biologic each year that CMS reimburses under Medicare Part B and Part D, requires the payment of rebates on Medicare Part B and Part D drugs whose prices have increased at a rate faster than the rate of inflation, and redesign the Medicare Part D cost sharing structure, including revising manufacturer financial liability for covered products. For more information, see the section of this report titled “Business – Healthcare Laws and Regulations – Healthcare Reform.” Moreover, 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8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product candidates that we elect to sell on our own.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nomlabofusp, if approved, or future product candidates that we elect to sell on our own and, if reimbursement is available, the level of such reimbursement. Reimbursement may impact the demand for, or the price of, product candidates that we elect to sell. If reimbursement is not available or is available only at limited levels, we may not be able to successfully commercialize product candidates that we elect to sell. For more information, see the section of this report titled “Business – Healthcare Laws and Regulations – Coverage and Reimbursement.”</w:t>
      </w:r>
    </w:p>
    <w:p>
      <w:pPr>
        <w:spacing w:after="0" w:line="80"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business, financial conditions and results of operations could be materially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a product candidate, our product candidates will remain subject to regulatory oversight.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receive marketing approval for nomlabofusp or a future product candidate, regulatory authorities may still impose significant restrictions on the indicated uses or marketing or impose ongoing requirements for potentially costly post-approval studies. Nomlabofusp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 unsuccessful post-marketing study or failure to complete such a study could result in the withdrawal of marketing approval. Any regulatory approvals that we receive for nomlabofusp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we, or a regulatory authority, discover(s) previously unknown problems with a product, such as adverse events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or our contractors fail to comply with applicable regulatory requirements following approval of nomlabofusp, a regulatory authority may:</w:t>
      </w:r>
    </w:p>
    <w:p>
      <w:pPr>
        <w:spacing w:after="0" w:line="117"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or untitled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voluntary product recalls;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NDA or comparable foreign marketing application (or any supplements thereto) submitted by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86"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nomlabofusp, if approved, and adversely affect our business, financial condition, results of operations and prospects.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FDA’s policies, and those of equivalent foreign regulatory agencies, may change and additional government regulations may be enacted that could prevent, limit or delay regulatory approval of nomlabofusp.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nomlabofusp in the United States, we may never receive regulatory approval to market nomlabofusp outside of the United States.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pursue marketing approval for nomlabofusp in the United States, the European Union and in other jurisdictions worldwide. In order to market any product outside of the United States, we must establish and comply with the numerous and varying safety, efficacy and other regulatory requirements of other jurisdictions, including potential additional clinical trials and/or non-clinical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prevalence of FA is estimated to be approximately three times greater in the European Union than in the United States, and, therefore, represents our largest potential market for nomlabofusp. Our future profitability will depend, in part, on our ability to commercialize nomlabofusp and future product candidates in the European Union and other foreign markets for which we may rely on collaborations with third parties. If we commercialize a product candidate in foreign markets, we would be subject to additional risks and uncertainties, including:</w:t>
      </w:r>
    </w:p>
    <w:p>
      <w:pPr>
        <w:spacing w:after="0" w:line="72"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a product candidate in foreign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may need to rely on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6"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Sales in the European Union and other foreign markets of a product candidate could also be adversely affected by the imposition of governmental controls, political and economic instability, trade restrictions and changes in tariffs.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nomlabofusp, if approved, we may not be able to generate any revenue.</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an established infrastructure for the sales, marketing and distribution of biologic or drug products in the United States or foreign countries. In order to market a product candidate, if approved by the FDA or any other regulatory authority,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nomlabofusp, we may not achieve broad market acceptance, which would limit the revenue that we generate from our sales.</w:t>
      </w:r>
    </w:p>
    <w:p>
      <w:pPr>
        <w:spacing w:after="0" w:line="51" w:lineRule="exact"/>
        <w:rPr>
          <w:sz w:val="20"/>
          <w:szCs w:val="20"/>
          <w:color w:val="auto"/>
        </w:rPr>
      </w:pPr>
    </w:p>
    <w:p>
      <w:pPr>
        <w:ind w:right="180" w:firstLine="509"/>
        <w:spacing w:after="0" w:line="289" w:lineRule="auto"/>
        <w:rPr>
          <w:sz w:val="20"/>
          <w:szCs w:val="20"/>
          <w:color w:val="auto"/>
        </w:rPr>
      </w:pPr>
      <w:r>
        <w:rPr>
          <w:rFonts w:ascii="Times New Roman" w:cs="Times New Roman" w:eastAsia="Times New Roman" w:hAnsi="Times New Roman"/>
          <w:sz w:val="17"/>
          <w:szCs w:val="17"/>
          <w:color w:val="auto"/>
        </w:rPr>
        <w:t>The commercial success of nomlabofusp, if developed and approved for marketing by the FDA or EMA or other applicable regulatory authorities, will depend upon the market size for, and the awareness and acceptance of nomlabofusp among the medical community, including physicians, patients, advocacy groups and healthcare payors. Market acceptance of nomlabofusp, if approved, will depend on a number of factors, including, among others:</w:t>
      </w:r>
    </w:p>
    <w:p>
      <w:pPr>
        <w:spacing w:after="0" w:line="50"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number of patients with FA is lower than we believe;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subcutaneous injections as the necessary method of administration;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nomlabofusp;</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nomlabofusp by the FDA, EMA, or other regulatory authorities, such as a “boxed” warning or if any approval that we obtain is based on a narrower definition of possible patient populations;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any competitive FA therapies approved or in development that have been or could be approved or commercially launched prior to approval of nomlabofusp;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acceptance of the cost and inconvenience associated with refrigerated storage for nomlabofusp;</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acceptance;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political pressure on pharmaceutical pricing;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orphan drug pricing for affected patient groups;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changes in U.S. healthcare, including medical financial assistance or a transition to a single-payor system;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86"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nomlabofusp through marketing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patients to pay out-of-pocket in the absence of third-party coverage; and</w:t>
      </w:r>
    </w:p>
    <w:p>
      <w:pPr>
        <w:spacing w:after="0" w:line="117" w:lineRule="exact"/>
        <w:rPr>
          <w:rFonts w:ascii="Times New Roman" w:cs="Times New Roman" w:eastAsia="Times New Roman" w:hAnsi="Times New Roman"/>
          <w:sz w:val="18"/>
          <w:szCs w:val="18"/>
          <w:color w:val="auto"/>
        </w:rPr>
      </w:pPr>
    </w:p>
    <w:p>
      <w:pPr>
        <w:ind w:left="760" w:right="340" w:hanging="378"/>
        <w:spacing w:after="0" w:line="312" w:lineRule="auto"/>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3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nomlabofusp is approved but does not achieve an adequate level of acceptance by patients, advocacy groups, physicians and payors, we may not generate sufficient revenue from nomlabofusp to become or remain profitable and our business, financial condition and results of operations could be materially adversely affected. Our efforts to educate the medical community and third-party payors about the benefits of nomlabofusp may require significant resources and may never be successful.</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nomlabofusp or any potential product candidates, if approved. If we receive marketing approval for nomlabofusp, or any potential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nomlabofusp or any potential product candidates, if approved, we could become subject to significant liability, which would materially adversely affect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competing technologies could emerge, adversely affecting our opportunity to generate revenue from the sale of nomlabofusp, if approved.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For example, omaveloxolone, was approved for the treatment of FA in adults and adolescents aged 16 and older by the FDA and the European Commission in February 2023 and February 2024, respectively. We expect nomlabofusp, if approved, will compete with omaveloxolone and other new, future approved products and may need to demonstrate compelling advantages in efficacy, convenience, tolerability and safety to be commercially successful. Other competitive factors, including biosimilar and gene therapy competition, could force us to lower prices or could result in reduced sales. Many of our current or potential competitors, either alone or with strategic partners, have significantly greater financial resources and expertise in research and development, manufacturing, non-clinical testing, conducting clinical trials, obtaining regulatory approvals, and marketing approved products than we do. New products developed by others could emerge as competitors to nomlabofusp or any other potential product candidates, resulting in nomlabofusp or other product candidates being obsolete before we are able to recover expenses incurred in connection with their development or realize revenues from any commercialized product. The pricing of our current product candidate, if and when approved for marketing, will depend, in part, on the pricing strategies adopted by our competitors. If these or other companies enact pricing strategies that impact the price we can charge for our product candidate, if approved, we may reduce our prices and our revenue and results of operations could be affected. Any new product could also affect our ability to recruit and retain clinical trial patients, to obtain and maintain designations or eligibility for expedited regulatory pathways, and to commercialize current and future product candidates. Given that we are still in a relatively early phase of development for nomlabofusp, the recent approval and commercialization of omaveloxolone and the approval of any future competing technologies could provide competitors with a significant competitive advantage and may create an additional barrier to market acceptance of nomlabofusp. If we are not able to compete effectively against our current and future competitors, our business will not grow and our financial condition and results of operations will be adversely affected.</w:t>
      </w:r>
    </w:p>
    <w:p>
      <w:pPr>
        <w:spacing w:after="0" w:line="8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and may face increasing competition over time.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face competition from biosimilars in both the United States and Europe, and over time we may face increasing biosimilar competition. To the extent that governments adopt more permissive approval frameworks and competitors are able to obtain broader or expedited marketing approval for biosimilars, the rate of increased competition for our biologic drug products could accelerate. Expiration or successful challenge of applicable patent rights could trigger such competition, and we could face more litigation regarding the validity and/or scope of our patents. Our products may also experience greater competition from lower cost biosimilars or generics that come to market when branded products that compete with our products lose their own patent protection.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European Union, the European Commission has granted marketing authorizations for biosimilars pursuant to a set of general and product class-specific guidelines for biosimilar approvals originally issued in 2005 and updated in 2014. In addition, in an effort to spur biosimilar utilization and/or increase potential healthcare savings, some countries in the European Union have adopted biosimilar uptake measures such as requiring physician prescribing quotas or promoting switching or pharmacy substitution of biosimilars for the corresponding reference products, and other countries may adopt similar measures. Some countries in the European Union may impose automatic price reductions upon market entry of the second or third biosimilar competitor.</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ACA authorized the FDA to license biosimilars via a separate, abbreviated pathway. A growing number of companies have announced that they are in varying stages of development of biosimilar versions of existing biotechnology products. Some companies pursuing development of biosimilars may challenge our patents well in advance of the expiration of our material patents. The U.S. pathway includes the option for biosimilar products meeting certain criteria to be approved as interchangeable with their reference products. Some companies developing biosimilars may seek to license their products as interchangeable biologics, which could make it easier for prescribers or pharmacists to substitute those biosimilars for our products. In addition, critics of the 12-year exclusivity period in the biosimilar pathway will likely continue to seek to shorten the data exclusivity period and/or to encourage the FDA to interpret narrowly the law’s provisions regarding which new products receive data exclusivity. While we are unable to predict the precise impact of biosimilars, we expect in the future for there to be greater competition in the United States as a result of biosimilars and downward pressure on product prices and sales. These biosimilars or generics may affect the tier designation by third party payors and may require prior authorization for use of nomlabofusp, thereby adding barriers to access. This additional competition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expected growth in the scale and complexity of our operations, including attracting and hiring additional qualified management, our performance may suffer.</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an early-stage clinical biotechnology company with a small number of employees, and our management systems currently in place are not likely to be adequate to support our future growth plans. As a result, we are highly dependent on our management and scientific personnel. The loss of the services of any of our executive officers, other key employees or consultants and other scientific advisors in the foreseeable future, might impede the achievement of our research, development and commercialization objectives. Competition for qualified personnel in the biopharmaceutical field is intense due to the limited number of individuals who possess the skills and experience required by our industry. We will need to continue to hire additional personnel as we expand our clinical development and if we initiate commercial activities. We may not be able to attract and retain quality personnel on acceptable terms, or at all. In addition, to the extent we hire personnel from competitors, we may be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subject to allegations that they have been improperly solicited or that they have divulged proprietary or other confidential information, or that their former employers own their research output.</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rely on consultants and advisors, including scientific, non-clinical, manufacturing and clinical advisors, to assist us in formulating our development and commercialization strategy. These consultants and advisors may be employed by other employers and may have commitments under consulting or advisory contracts with other entities that may limit their availability to us. In addition, a possible future pandemic, epidemic or outbreak of an infectious disease may pose a risk to our ability to retain and rely on our executive officers and key employees, including the potential that one or more of such employees or members of their families may contract the virus, which could impact the ability of such employees to perform as expected, which in turn would adversely impact our current and planned operations.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medical clinical, manufacturing, quality assurance, regulatory, legal, public company financial, business, sales, marketing and commercial personnel and implementing and improving our operational, financial and management systems will be critical to our ability to grow and succeed. These demands also will require the hiring of additional executive or management-level personnel or the development of additional expertise by our senior management personnel. Hiring a significant number of additional employees, particularly those at the executive or management level, would increase our expenses significantly. In addition, we may not be able to attract and retain these personnel on acceptable terms given the competition among numerous pharmaceutical companies for similar personnel. We also experience competition for the hiring of scientific personnel from universities and research institutions. Moreover, delays or failures in clinical trials may also make it more challenging to recruit and retain qualified scientific personnel. If we are unable to continue to attract and retain high quality personnel, our ability to pursue our business strategy will be limited and our business, financial condition and results of operations would be adversely affected.</w:t>
      </w:r>
    </w:p>
    <w:p>
      <w:pPr>
        <w:spacing w:after="0" w:line="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Further, if we fail to expand and enhance our operational, financial, management and compliance systems in conjunction with potential future growth, such failure could have a material adverse effect on our business, financial condition and results of operations. We may be unable to successfully implement these tasks on a larger scale and, accordingly, may not achieve our research, development, business and growth goals.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may encounter numerous difficulties in developing, manufacturing and marketing any new products resulting from a strategic alliance or acquisition that delays or prevents us from realizing their expected benefits or enhancing our business. We cannot be certain that, following any such transaction, we will achieve the expected synergies to justify the transaction and it could adversely affect our business, financial condition and results of operations.</w:t>
      </w:r>
    </w:p>
    <w:p>
      <w:pPr>
        <w:spacing w:after="0" w:line="6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development programs and the potential commercialization of our product candidates will require substantial additional cash to fund expenses. For nomlabofusp, and any future product candidates, we may decide to collaborate with pharmaceutical and/or biotechnology companies for the development and potential commercialization of those product candidates in some or all markets.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for nomlabofusp or other potential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4" w:name="page65"/>
    <w:bookmarkEnd w:id="64"/>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consider alternative product candidates or technologies for similar indications that may be available to collaborate on and whether such collaboration could be more attractive than the one with us for our product candidate. The terms of any collaboration or other arrangement that we may establish may not be favorable to us.</w:t>
      </w:r>
    </w:p>
    <w:p>
      <w:pPr>
        <w:spacing w:after="0" w:line="6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or unwilling to do so, we may have to curtail the development potential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if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activities.</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our business, financial condition, results of operations and could harm our business reputation.</w:t>
      </w:r>
    </w:p>
    <w:p>
      <w:pPr>
        <w:spacing w:after="0" w:line="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and/or other outbreaks of communicable diseases, which could significantly disrupt our operations and may materially and adversely affect our business and financial conditions.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business could be adversely impacted by the effects of a global pandemic, epidemic or outbreak of an infectious disease. Such global outbreaks of communicable diseases globally could materially and adversely impact our operations, including without limitation, our manufacturing and supply chain for nomlabofusp and our planned clinical trials, which could continue to face, enrollment difficulties as hospitals or clinical trials sites experience closures. Because FA is a rare disease, there are a limited number of patients in close proximity to clinical trial sites and clinical trial patients travel from throughout the United States to clinical trial sites to participate. Any travel advisories or infection risks could present increased risks to patients traveling to a clinical trial site for dosing if clinical trials are allowed to continue. These events could delay our clinical trials, increase the cost of completing our clinical trials and negatively impact the integrity, reliability or robustness of the data from our clinical trials. In addition, employee health and availability could be impacted, which may have a material and adverse effect on our business, financial condition and results of operations. Future pandemics could adversely affect global economies and financial markets resulting in an economic downturn that could have a material adverse effect on our business and prospects.</w:t>
      </w:r>
    </w:p>
    <w:p>
      <w:pPr>
        <w:spacing w:after="0" w:line="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sensitive third-party data, business plans, transactions, financial information and medical information collected by our patient access management team (collectively,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Additionally, in the past few years, numerous U.S. states—including California, Virginia, Colorado, Connecticut, and Utah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requires businesses to provide specific disclosures in privacy notices and honor requests of California residents to exercise certain privacy rights. The CCPA provides for fines of up to $7,500 per intentional violation and allows private litigants affected by certain data breaches to recover significant statutory damages. Although some U.S. comprehensive privacy laws exempt some data processed in the context of clinical trials, these laws may increase compliance costs and potential liability with respect to other personal data we may maintain about California residents. Similar laws are being considered in several other states, as well as at the federal and local levels, and we expect more jurisdictions to pass similar laws in the future.</w:t>
      </w:r>
    </w:p>
    <w:p>
      <w:pPr>
        <w:spacing w:after="0" w:line="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(EU GDPR), United Kingdom’s GDPR (UK GDPR) (collectively, the GDPR), Brazil’s General Data Protection Law (Lei Geral de Proteção de Dados Pessoais, or LGPD) (Law No. 13,709/2018), and China’s Personal Information Protection Law (PIPL) impose strict requirements for processing personal data. For example, the GDPR includes obligations requiring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processors Companies that fail to comply with the GDPR may face temporary or definitive bans on data processing and other corrective actions; fines of up to 20 million Euros under the EU GDPR / 17.5 million pounds sterling under the UK GDPR or 4% of annual global revenue, whichever is greater; or private litigation related to processing of personal data brought by classes of data subjects or consumer protection organizations authorized at law to represent their interests.</w:t>
      </w:r>
    </w:p>
    <w:p>
      <w:pPr>
        <w:spacing w:after="0" w:line="8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Swiss Federal Act on Data Protection, or the FADP, also applies to the collection and processing of personal data, including health-related information, by companies located in Switzerland, or in certain circumstances, by companies located outside of Switzerland. The FADP has been revised and adopted by the Swiss Parliament. Companies must comply with the revised version of the FADP and its revised ordinances from September 1, 2023, which may result in an increase of costs of compliance, risks of noncompliance and penalties for noncompliance.</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including the United States in certain circumstances, unless a derogation exists or adequate international transfer safeguards are put in place (for example, the European Commission approved Standard Contractual Clauses, and the UK International Data Transfer Agreement/Addendum) and transfer impact assessments carried out. Other jurisdictions may adopt similarly stringent interpretations of their data localization and cross-border data transfer laws. If we are unable to transfer personal data from the EEA, the UK, or other jurisdictions to the United States, or if the requirements for a legally-compliant transfer are too onerous, we could face significant adverse consequences, including by limiting our ability to conduct clinical trial activities in Europe and elsewhere, the interruption or degradation of our operations, the need to relocate part of or all of our business or data processing activities to other jurisdictions (such as Europe) at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as well as those of CROs, CMOs, vendors, contractors, and consultants, and potential collaborators may experience failures, unauthorized access, or security breaches, potentially causing a material disruption in our product development programs, operations, harm to our brand, significant liabilities, loss of revenue, and additional costs.</w:t>
      </w:r>
    </w:p>
    <w:p>
      <w:pPr>
        <w:spacing w:after="0" w:line="6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Despite implementing comprehensive security measures, both our internal computer systems and those of our contracted third-party service providers are susceptible to various threats, including cyber-attacks, computer viruses, unauthorized access, natural disasters, terrorism, war, and telecommunication and electrical failures. The extensive use of mobile devices accessing confidential information further heightens the risks, leading to potential device loss, security incidents, and data breaches that could result in the loss of confidential information and intellectual property. Any system failure, accident, or security breach causing interruptions in our operations may lead to a material disruption in our product development programs and business operations, potentially requiring substantial resources for recovery. For instance, the loss of clinical trial data from completed trials could lead to delays in regulatory approval efforts and significantly increase costs for data recovery or reproduction.</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risks stemming from misappropriation, misuse, leakage, falsification, or intentional or accidental release or loss of information maintained in our information systems and networks, including personal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information of our employees. External parties may attempt to penetrate our systems or induce our employees or those of our vendors to disclose sensitive information. As with other companies, we face threats to our data and systems, including malicious codes, viruses, and cyber-attacks. The increasing number and complexity of these threats over time pose a challenge. A material breach in our security or that of our vendors, contractors, or consultants could harm the market perception of our security measures, resulting in business loss and damage to our reputation and credibility. This could significantly adversely affect our business, financial condition, and results of operations, necessitating substantial amounts of money and resources to repair or replace information systems or networks. Despite our continuous efforts, the possibility of such events occurring cannot be entirely eliminated.</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our endeavor to protect systems storing critical information, we have implemented security measures. However, given their size and complexity and the increasing amounts of information maintained, these systems, including our internal information technology systems and those of third-party entities like Contract Research Organizations, Contract Manufacturing Organizations, contractors, and consultants, remain potentially vulnerable to breakdowns, interruptions, and security breaches. Incidents such as service interruptions, system malfunctions, natural disasters, terrorism, war, telecommunication, and electrical failures, as well as security breaches from inadvertent or intentional actions by employees, contractors, consultants, and other third parties, including cyber-attacks by malicious entities, may compromise our system infrastructure. This could lead to the loss, destruction, alteration, or unauthorized access to our data, including trade secrets, confidential information, intellectual property, proprietary business information, and personal information, or data processed or maintained on our behalf. Such incidents could result in financial, legal, business, and reputational harm.</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rise in phishing and social engineering attacks and the increase in remote working further elevate security threats. Any disruption or security incident could lead to loss, damage, or unauthorized access to data, potentially exposing us to litigation and governmental investigations, delaying the development and commercialization of our product candidates, and subjecting us to fines or penalties for noncompliance with privacy and security laws. Notifications and actions following a security incident could impact our reputation and incur significant costs, including legal expenses and remediation. Significant efforts and costs are expected for detection and prevention. Our reliance on third parties for manufacturing introduces an additional layer of risk to our business.</w:t>
      </w:r>
    </w:p>
    <w:p>
      <w:pPr>
        <w:spacing w:after="0" w:line="7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Insurance policies, including a specific policy related to cybersecurity losses, may be insufficient, with potential availability issues in the future, high deductibles, and limitations in coverage, posing challenges in mitigating losses from disruptions, failures, or security breaches.</w:t>
      </w:r>
    </w:p>
    <w:p>
      <w:pPr>
        <w:spacing w:after="0" w:line="5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and/or those of third parties upon which we rely, are or were compromised, we could experience adverse consequences resulting from such compromise, including but not limited to regulatory investigations or actions, interruptions to operations or clinical trials, reputational harm, litigation, fines and penalties, disruptions of our business operations, and a loss of customers or sales.</w:t>
      </w:r>
    </w:p>
    <w:p>
      <w:pPr>
        <w:spacing w:after="0" w:line="6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or the third parties upon which we rely, process proprietary, confidential, and sensitive data, including personal data (such as health-related data), intellectual property, and trade secrets.</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data and information technology systems, and those of the third parties upon which we rely. These threats are prevalent, continue to rise, and are becoming increasingly difficult to detect. These threats come from a variety of sources, including traditional computer “hackers,” hacktivists, threat actors, personnel misconduct or error (such as through theft or misuse), organized criminal threat actors,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8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software or hardware failures, loss of data or other information technology assets, adware, attacks enhanced or facilitated by AI, telecommunications failures, earthquakes, fire, flood, and other similar threats.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delays, or outages in our operations, disruption of clinical trials or otherwise affecting our ability to provide our products or product candidates, loss of sensitive data (including data related to clinical trials) and income, significant extra expenses to restore data or systems, reputational harm and the diversion of funds. Extortion payments may alleviate the negative impact of a ransomware attack, but we may be unwilling or unable to make such payments (including, for example, if applicable laws or regulations prohibit such payments). Remote work has become more common and has increased risks to our information technology systems and data, as more of our employees work from home, utilizing network connections, computers and devices outside our premises, including at home, while in transit or in public locations. 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data in a variety of contexts, including, without limitation, cloud-based infrastructure, drug suppliers, data center facilities, encryption and authentication technology, employee email, content delivery to customers, and other functions. Our ability to monitor these third parties’ information security practices and posture (including whether any unremediated vulnerabilities exist or have been exploited) is limited, and these third parties may not have adequate information security measures in place. In addition, supply-chain attacks have increased in frequency and severity, and we cannot guarantee that third parties’ infrastructure in our supply chain or our third-party partners’ supply chains have not been compromised.</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We and the third parties upon which may rely may not, however, detect and remediate all such vulnerabilities including on a timely basis. For example, we have identified certain vulnerabilities in our information systems, and we have taken steps to mitigate the risks associated with known vulnerabilities. These steps include implementing compensating controls and other protective measures. Further, we and the third parties upon which we rely may experience delays in developing and deploying remedial measures and patches designed to address identified vulnerabilities. Vulnerabilities could be exploited and result in a security incident.</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fundamentally change our business activities and practices (including our clinical trials) to try to protect against security incidents. Certain data privacy and security obligations may require us to implement and maintain specific security measures or industry-standard or reasonable security measures to protect our information technology systems and sensitive data.</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products, deter new customers from using our products, and negatively impact our ability to grow and operate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the use of generative AI technologies.</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our insurance coverage may not be adequate or sufficient in type or amount to protect us from or to mitigate liabilities arising out of our privacy and security practices.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information technology regulatory and compliance requirements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an evolving landscape of data privacy and security regulations, including the General Data Protection Regulation (GDPR), Health Insurance Portability and Accountability Act (HIPAA), California Consumer Privacy Act (CCPA), SEC cybersecurity disclosure requirements, among others. Failure to comply with these regulations may result in substantial fines, litigation, regulatory investigations, and reputational harm. The complexity of maintaining compliance across multiple jurisdictions increases our operational burden, requiring continuous updates to security policies, employee training, and IT infrastructure enhancements. Additionally, new or amended privacy laws may impose additional costs and operational challenges, impacting our ability to conduct business effectively. If we or one of our third-party service providers fail to adhere to regulatory requirements, we may be subject to enforcement actions, consent decrees, or restrictions on our ability to process sensitive data, potentially delaying our product development or commercialization efforts.</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Many of our critical IT systems and data storage rely on cloud service providers. While these providers implement security controls, misconfigurations, lack of visibility into shared responsibility models, or insider threats can lead to data exposure or service disruptions. Failure to comply with evolving global data privacy and security regulations, such as GDPR, HIPAA, CCPA, SEC cybersecurity rules, and industry-specific compliance requirements (e.g., FDA 21 CFR Part 11 for regulated data), could subject us to significant fines, legal liabilities, and reputational harm.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shadow IT and unapproved software use by employees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Employees or contractors may use unauthorized or unapproved software, cloud services, or personal devices to access, store, or transmit company data, a practice commonly referred to as "Shadow IT". The use of such unapproved technologies increases security risks, as these applications and services may not adhere to our established cybersecurity and compliance standards. Shadow IT may introduce vulnerabilities, expose sensitive data to unauthorized parties, or lead to misconfigurations that may increase the likelihood of cyberattacks or data breaches. Additionally, unvetted third-party applications may not comply with regulatory requirements, exposing us to compliance violations and potential legal liabilities. Despite our ongoing efforts to monitor and control the use of unauthorized software, we may not be able to eliminate all instances of Shadow IT, which could materially impact our security posture, regulatory compliance, and business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use of nomlabofusp and other potential product candidates in clinical trials, if any, and the sale of nomlabofusp and other potential product candidates, if developed and approved, exposes us to the risk of product liability claims. Product liability claims might be brought against us by patients, healthcare providers or others selling or otherwise coming into contact with nomlabofusp or other potential product candidates. For example, we may be sued if any product we develop allegedly causes injury or death or is found to be otherwise unsuitable during product testing, manufacturing, marketing or sale.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Any such product liability claims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consumer protection acts in other jurisdictions.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72"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or clinical investigators from our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nomlabofusp or our other potential product candidates following marketing approval, if obtained;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FDA warnings on product labels;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or ethics committees;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liability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nomlabofusp or other potential product candidates, if approved.</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with a $5 million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we obtain marketing approval for nomlabofusp or other potential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results of operations and prospects could be materially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conducting or supervising clinical trials and must outsource all clinical trials. As a result, many important aspects of our drug development programs are outside of our direct control.</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have limited experience in conducting or supervising clinical trials that must be performed to obtain data to submit in concert with applications for approval by the FDA, the EMA or other comparable foreign regulatory authorities. As a result, we expect to continue to rely on CROs, clinical trial sites, clinical data management organizations and consultants to design, conduct, supervise and monitor our non-clinical studies and clinical trials. We, our CROs, and contractors are required to comply with various regulations, including the FDA’s regulations regarding current Good Clinical Practices ("cGCPs")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trial sites. Our expected reliance on third parties that we do not control does not relieve us of these responsibilities and requirements. If we or any of our CROs, contractors, or clinical trial sites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ensure that upon inspection by a given regulatory authority, such regulatory authority will determine that any of our clinical trials comply with such requirements. In addition, our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us to repeat non-clinical studies and/or clinical trials, which would delay the regulatory approval process, and could also subject us to enforcement action, up to and including, civil and criminal penalties, which would materially adversely affect our business, financial condition and results of operations.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CROs and contractors are not our employees, and except for remedies available to us under our agreements with such CROs and contractors, we cannot control whether or not they devote sufficient time and resources to our ongoing clinical and non-clinical programs. If our CROs and contractors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operations and the commercial prospects for our product candidates would be harmed, our costs could increase and our ability to generate revenue could be delayed or reduced. In addition, operations of our CROs and contractors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our research and development programs may be harmed or delayed, and our operations and financial condition could suffer.</w:t>
      </w:r>
    </w:p>
    <w:p>
      <w:pPr>
        <w:spacing w:after="0" w:line="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and contractors does not relieve us of our regulatory responsibilities.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must, at times, share confidential information with third parties.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intellectual property, data from clinical studies and future development plans. Despite the contractual provisions employed when working with third parties, the need to share confidential information increases the risk that such confidential information become known by our competitors, are inadvertently incorporated into the technology of others, or are disclosed or used in violation of these agreements. Given that our proprietary position is based, in part, on our confidential information, a competitor’s discovery of our confidential information or other unauthorized use or disclosure would impair our competitive position and may have an adverse effect on our business.</w:t>
      </w:r>
    </w:p>
    <w:p>
      <w:pPr>
        <w:spacing w:after="0" w:line="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Moreover, because we have relied on third parties, our internal capacity to perform these functions is limited. Outsourcing these functions involves risk that third parties may not perform to our standards, may not produce results in a timely manner or may fail to perform at all. We currently have a small number of employees, which limits the internal resources we have available to engage new third-party providers, if necessary, and monitor existing third-party providers. To the extent we are unable to engage new third-party providers, if necessary, and successfully manage the performance of third-party service providers in the future, our business may be adversely affected. Though we carefully manage our relationships with CROs, and contractors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51"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for, and manufacture, our research and development, non-clinical and clinical study drug substance and drug product. We have not yet manufactured or formulated nomlabofusp or any other product candidate on a commercial scale and may not be able to do so for any of our product candidates. We will work to develop and optimize our manufacturing process; however, we cannot be sure that the process will result in therapies that are safe, potent or effective. Given our reliance on third parties and the risk of manufacturing commercial scale quantities, our ability to adequately commercially launch and/or supply nomlabofusp could be adversely affected.</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do not own manufacturing facilities or supply sources for such components, non-clinical and clinical study drug substance, product and materials, including devices that may be required for administration, but may develop these capabilities in the future. There can be no assurance that our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we may engage could require significant effort and expertise because there may be a limited number of qualified replacements. For example, we rely and expect to continue to rely on a small number of manufacturers to supply us with our requirements for drug substance and formulated drug product related to our nomlabofusp clinical program. The drug substance which is in frozen liquid form for nomlabofusp is currently manufactured for us by a third-party manufacturer, and the frozen liquid form of drug product is made at another manufacturer. We are undertaking a program with a third party manufacturer to begin to produce a lyophilized version of the drug product from the same drug substance, that, once available, we intend to use in certain of our future planned clinical trials. Our research and development programs could be adversely affected by a significant interruption in these manufacturing services or in the supply of drug substance and formulated drugs. In addition, because we rely on multiple manufacturers for our nomlabofusp clinical program, termination of our agreements with any of these manufacturers could significantly adversely impact our current and planned operations.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any of our suppliers or manufacturers fails to perform their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8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also rely on third parties to store master and working cell banks. We currently have one master cell bank and one working cell bank for nomlabofusp and believe we would have adequate backup should any cell bank be lost in a catastrophic event. However, it is possible that we could lose multiple cell banks and have our manufacturing severely impacted by the need to replace the cell banks, which could materially and adversely affect our business, financial condition and results of operations.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 party manufacturing for product candidates, or to do so on commercially reasonable terms, we may not be able to develop and commercialize our product candidates successfully. Our or a third party’s failure to execute on our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requirements could adversely affect our business, financial condition and results of operations in a number of ways, including:</w:t>
      </w:r>
    </w:p>
    <w:p>
      <w:pPr>
        <w:spacing w:after="0" w:line="117"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 including termination or nonrenewal of the agreement at a time that is costly or inconvenient for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associated with having to change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1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5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contract manufacturers for nomlabofusp,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NDA on a timely basis and where required, must adhere to the FDA’s or other regulator’s GLPs and cGMP regulations enforced by the FDA or other regulators through facilities inspection programs. The facilities and quality systems of some or all of our third party contractors must pass a pre-approval inspection for compliance with the applicable regulations as a condition of regulatory approval of nomlabofusp or any of our other potential products. In addition, the regulatory authorities may, at any time, audit or inspect a manufacturing facility involved with the preparation of nomlabofusp or our other potential products or the associated quality systems for compliance with the regulations applicable to the activities being conducted. If these facilities do not pass a pre-approval plant inspection, the FDA or other regulatory approval of the products will not be granted.</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 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or any of our third party manufacturers fail to maintain regulatory compliance, the FDA or other regulators can impose regulatory sanctions including, among other things, refusal to approve a pending application for a biologic product, or revocation of a pre-existing approval. As a result, our business, financial condition and results of operations may be materially harmed.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our ability to develop product candidates in a timely manner or within budget.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4" w:name="page75"/>
    <w:bookmarkEnd w:id="74"/>
    <w:p>
      <w:pPr>
        <w:spacing w:after="0" w:line="8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factors could also cause the delay of manufacturing development, clinical trials, regulatory submissions, required approvals or commercialization of nomlabofusp or any other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revenues. Any of the above would materially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may result in additional costs and/or delays.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clinical to late-stage clinical trials to marketing approval and commercialization, it is common that various aspects of the development program, such as manufacturing methods, are altered along the way in an effort to optimize yield, manufacturing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materially increase our costs and potential liability.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and contract service agreements, we typically indemnify our collaborators from any third party product liability claims that could result from the production, use or consumption of the product, as well as for alleged infringements of any patent or other intellectual property right by a third party. With respect to consulting agreements, we typically indemnify consultants from claims arising from the good faith performance of their consulting services.</w:t>
      </w:r>
    </w:p>
    <w:p>
      <w:pPr>
        <w:spacing w:after="0" w:line="84"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their applicable insurance coverage, and if the collaborator does not have other assets available to indemnify us, our business, financial condition and results of operations could be adversely affected.</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Biotechnology companies sometimes become dependent upon collaborative arrangements or strategic alliances to complete the development and commercialization of product candidates. In seeking collaborative arrangements and strategic partners, we face significant competition from other companies as well as public and private research institutions. There can be no assurance that we will be able to enter into or maintain strategic alliances on terms favorable to us, or at all. If we elect to enter into collaborative arrangements or strategic alliances, these arrangements may place the development of our product candidates outside our control, may require us to relinquish important rights or may otherwise be on terms unfavorable to us, which could adversely affect our business, financial condition and results of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86" w:lineRule="exact"/>
        <w:rPr>
          <w:sz w:val="20"/>
          <w:szCs w:val="20"/>
          <w:color w:val="auto"/>
        </w:rPr>
      </w:pPr>
    </w:p>
    <w:p>
      <w:pPr>
        <w:ind w:left="900" w:right="32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900" w:right="58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United States and other countries, we are unable to adequately protect our proprietary technology or maintain issued patents which are sufficient to protect nomlabofusp or potential product candidates, third parties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With respect to our patent portfolio, we in-license from WFUHS a certain issued U.S. patent that relates to the use of the TAT-FXN fusion protein for treating FA. We also in-license from IU United States patents and pending non-provisional applications in the United States and certain foreign countries that relate to the composition of nomlabofusp and methods of use, and certain U.S. patents relating to materials and methods of use relating to the development of nomlabofusp. We also own or co-own pending international PCT, foreign and United States non-provisional applications, United States Patents, and United States provisional applications relating to the development of nomlabofusp, including methods of use of nomlabofusp, biomarkers and to our peptide delivery platform technology.</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some cases, we have only filed provisional patent applications on certain aspects of our technologies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spacing w:after="0" w:line="7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cannot provide any assurances that any of our pending patent applications that mature into issued patents will include claims with a scope sufficient to protect nomlabofusp, or other potential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nomlabofusp, and other potential product candidates.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79"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7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nomlabofusp are invalidated or found unenforceable, our financial position and results of operations would be materially and adversely impacted. In addition, if a court found that valid, enforceable patents held by third parties covered nomlabofusp, our financial position and results of operations would also be materially and adversely impacted.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17" w:lineRule="exact"/>
        <w:rPr>
          <w:sz w:val="20"/>
          <w:szCs w:val="20"/>
          <w:color w:val="auto"/>
        </w:rPr>
      </w:pPr>
    </w:p>
    <w:p>
      <w:pPr>
        <w:ind w:left="900" w:right="10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nomlabofusp or any other products or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develop and, if approved, commercialize nomlabofusp before our relevant patents expire;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will not infringe upon the patents of others.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If we are unable to adequately protect our proprietary technology or maintain issued patents which are sufficient to protect nomlabofusp or potential future product candidates, third parties could compete against us more directly, which would have a material adverse impact on our business, results of operations, financial condition and prospects.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key patent relating to nomlabofusp, which we license, will expire in 2040 and we will lose our ability to rely upon this patent to prevent competing products from entering the market, which may impair our ability to generate revenue.</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have in-licensed a certain patent relating to nomlabofusp from WFUHS. The U.S. patent relating to use of the TAT-FXN fusion protein for the treatment of FA expires in 2025. When these patents expire, we will be unable to use these patents to try to block others from marketing nomlabofusp in the United States We have also in-licensed an issued United States patent and pending non-provisional patent applications in the United States and certain foreign countries relating to the composition of nomlabofusp and methods of use from IU. This United States patent will expire in 2040 at the earliest. Pending applications if issued as patents, would also expire in 2040 at the earliest. We cannot predict whether these patent applications we and our licensors are currently pursuing will issue as patents in any particular jurisdiction or whether the claims of any issued patents will provide sufficient protection from competitors or other third parties. When these various patents, if issued, expire, we will be unable to use the patents to try to block others from marketing nomlabofusp in the United States.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own a certain United States provisional application and certain United States and foreign non-provisional applications and a United States patent relating to our platform technology. The United States Patent will expire in 2041 at the earliest, and the pending applications, if issued as patents, would be expected to expire in 2041-2044. The provisional application may not be timely converted into a non-provisional application, and we cannot predict whether these provisional applications and non-provisional patent applications will issue as patents in any particular jurisdiction, or whether the claims of any issued patents will provide sufficient protection from competitors or third parties for potential product candidates. When these various patents expire, we will be unable to use the patents to try to block others from marketing products pertaining to our platform technology.</w:t>
      </w:r>
    </w:p>
    <w:p>
      <w:pPr>
        <w:spacing w:after="0" w:line="79"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68" w:lineRule="exact"/>
        <w:rPr>
          <w:sz w:val="20"/>
          <w:szCs w:val="20"/>
          <w:color w:val="auto"/>
        </w:rPr>
      </w:pPr>
    </w:p>
    <w:p>
      <w:pPr>
        <w:ind w:right="500" w:firstLine="509"/>
        <w:spacing w:after="0" w:line="312" w:lineRule="auto"/>
        <w:rPr>
          <w:sz w:val="20"/>
          <w:szCs w:val="20"/>
          <w:color w:val="auto"/>
        </w:rPr>
      </w:pPr>
      <w:r>
        <w:rPr>
          <w:rFonts w:ascii="Times New Roman" w:cs="Times New Roman" w:eastAsia="Times New Roman" w:hAnsi="Times New Roman"/>
          <w:sz w:val="17"/>
          <w:szCs w:val="17"/>
          <w:color w:val="auto"/>
        </w:rPr>
        <w:t>Once our patents expire, we will be subject to competition from third parties who will be able to use the intellectual property covered by these patents, which could impair our ability to generate revenue and could adversely affect our business, financial condition and results of operations.</w:t>
      </w:r>
    </w:p>
    <w:p>
      <w:pPr>
        <w:spacing w:after="0" w:line="28"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may increase the costs of commercializing nomlabofusp or other potential product candidates, if approved.</w:t>
      </w:r>
    </w:p>
    <w:p>
      <w:pPr>
        <w:spacing w:after="0" w:line="5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ensure that our business, products and methods do not or will not infringe the patents or other intellectual property rights of third parties.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Third parties may allege that nomlabofusp or our other potential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we may also be required to indemnify certain of our licensors, vendors or suppliers from any damages they incur related to any infringement of any third party intellectual property by our product candidates.</w:t>
      </w:r>
    </w:p>
    <w:p>
      <w:pPr>
        <w:spacing w:after="0" w:line="8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addition, if any such claim were successfully asserted against us and we could not obtain such a license, we may be forced to stop or delay developing, manufacturing, selling or otherwise commercializing nomlabofusp.</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consuming. We may not have sufficient resources to bring these actions to a successful conclusion. In addition, intellectual property litigation or claims could force us to do one or more of the following:</w:t>
      </w:r>
    </w:p>
    <w:p>
      <w:pPr>
        <w:spacing w:after="0" w:line="54"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nomlabofusp;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preparations or development of our other potential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and results of operations. Even if we are successful in defending against such claims, litigation could result in substantial costs and be a distraction to management and other employees.</w:t>
      </w:r>
    </w:p>
    <w:p>
      <w:pPr>
        <w:spacing w:after="0" w:line="71"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systems in place to remind us to pay periodic maintenance fees, renewal fees, annuity fees and various other patent and application fees, and we employ an outside law firm to pay these fees. The U.S. Patent and Trademark Office and various foreign governmental patent agencies require compliance with a number of procedural, documentary, fee payment and other similar provisions during the patent application process. We employ an outside law firm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If this occurs, our competitors may be able to enter the market, which would have a material adverse effect on our business.</w:t>
      </w:r>
    </w:p>
    <w:p>
      <w:pPr>
        <w:spacing w:after="0" w:line="7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Competitors may infringe on our patents or the patents of our licensors. To counter infringement or unauthorized use, we may be required to file infringement claims, which can be expensive and time-consuming. In addition, in an infringement proceeding, a court may decide that a patent of our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which could materially adversely affect our business, financial condition and results of operations.</w:t>
      </w:r>
    </w:p>
    <w:p>
      <w:pPr>
        <w:spacing w:after="0" w:line="7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financial condition and results of operations could be harmed if the prevailing party does not offer us a license on commercially reasonable terms. Our defense of litigation or interference proceedings may fail and, even if successful, may result in substantial costs and distract our management and other employees.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United States, which could adversely affect our business, financial condition and results of operations.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ensure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 financial condition, and results of operations.</w:t>
      </w:r>
    </w:p>
    <w:p>
      <w:pPr>
        <w:spacing w:after="0" w:line="7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2020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which would materially adversely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for nomlabofusp. If we were to lose our rights to licensed intellectual property, we may not be able to continue developing or commercializing nomlabofusp, if approved.</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an exclusive license with WFUHS, pursuant to which we exclusively license certain patent rights relating to use of the TAT-frataxin fusion protein, on a worldwide basis. We have an exclusive license with IU, pursuant to which we exclusively license certain patent rights relating to nomlabofusp and its use for the treatment of mitochondrial diseases, on a worldwide basis.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license agreements with WFUHS and IU impose, and we expect our future license agreements will impose, various development, diligence, commercialization, and other obligations on us in order to maintain the licenses. In spite of our efforts, WFUHS, IU, or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nomlabofusp. Any of the foregoing could have a material adverse effect on our competitive position, business, financial conditions, results of operations, and prospects.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117"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nomlabofusp, which could have a material adverse effect on our business, financial conditions, results of operations, and prospects.</w:t>
      </w:r>
    </w:p>
    <w:p>
      <w:pPr>
        <w:spacing w:after="0" w:line="7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in-licensed patent rights from WFUHS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registered trademarks for a commercial trade name for nomlabofusp or other potential product candidates and failure to secure such registrations could adversely affect our business, financial condition and results of operations.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many jurisdictions, we have not yet registered trademarks for a commercial trade name for nomlabofusp or other potential product candidates. Any future trademark applications may be rejected during trademark registration proceedings. Although we would be given an opportunity to respond to those rejections, we may be unable to overcome such rejections. In addition, the USPTO and comparable agencies in many foreign jurisdictions give third parties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and similarly in many foreign jurisdictions regardless of whether we have registered it, or applied to register it, as a trademark. The FDA typically conducts a review of proposed product names, including an evaluation of potential for confusion with other product names. If the FDA or a foreign regulatory authority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other regulatory authorities.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We expect to rely on trademarks as one means to distinguish any of our products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5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nomlabofusp, our business may be materially harmed.</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development and FDA marketing approval of nomlabofusp or our other potential product candidates, one or more of our U.S. patents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restoration or the term of any such extension is less than we request, our competitors may obtain approval of competing products following our patent expiration, and our ability to generate revenues, business, financial condition and results of operations could be materially adversely affected.</w:t>
      </w:r>
    </w:p>
    <w:p>
      <w:pPr>
        <w:spacing w:after="0" w:line="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not adequately protect our technologies, which may adversely affect our position in the market, business, financial condition and results of operations.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rely on unpatented trade secrets, know-how, and technology, which are difficult to protect, especially in the pharmaceutical industry, where much of the information about a product must be made public during the regulatory approval process. We seek to protect trade secrets, in part, by entering into confidentiality agreements with employees, consultants and others. These parties may breach or terminate these agreements or may refuse to enter into such agreements with us, and we may not have adequate remedies for such breaches. Furthermore, these agreements may not provide meaningful protection for our trade secrets or other proprietary information or result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86" w:lineRule="exact"/>
        <w:rPr>
          <w:sz w:val="20"/>
          <w:szCs w:val="20"/>
          <w:color w:val="auto"/>
        </w:rPr>
      </w:pPr>
    </w:p>
    <w:p>
      <w:pPr>
        <w:ind w:right="620"/>
        <w:spacing w:after="0" w:line="289" w:lineRule="auto"/>
        <w:rPr>
          <w:sz w:val="20"/>
          <w:szCs w:val="20"/>
          <w:color w:val="auto"/>
        </w:rPr>
      </w:pPr>
      <w:r>
        <w:rPr>
          <w:rFonts w:ascii="Times New Roman" w:cs="Times New Roman" w:eastAsia="Times New Roman" w:hAnsi="Times New Roman"/>
          <w:sz w:val="17"/>
          <w:szCs w:val="17"/>
          <w:color w:val="auto"/>
        </w:rPr>
        <w:t>the effective assignment to us of intellectual property and may not provide an adequate remedy in the event of unauthorized use or disclosure of confidential information or other breaches of the agreements. Despite our efforts to protect our trade secrets, we or our board members, employees, consultants, contractors or scientific and other advisors may unintentionally or willfully disclose our proprietary information to competitors.</w:t>
      </w:r>
    </w:p>
    <w:p>
      <w:pPr>
        <w:spacing w:after="0" w:line="5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fail to maintain trade secret protection,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 knowledge, methods and know-how, we would not be able to assert our trade secrets against them and our business, financial condition and results of operations could be harmed.</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foreign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could increase the uncertainties and costs surrounding the prosecution of patent applications and the enforcement or defense of issued patents. The Leahy Smith America Invents Act ("the Leahy Smith Act") enacted in September 2011, brought significant changes to the U.S. patent law system. These include provisions that affect the way patent applications are prosecuted and may affect patent litigation. The United States Patent Office continues to develop and implement new regulations and procedures to govern administration of the Leahy Smith Act, and many of the substantive changes to patent law associated with the Leahy Smith Act became effective on March 16, 2013. The Leahy Smith Act and its implementation could increase the uncertainties and costs surrounding the prosecution of patent applications and the enforcement or defense of our issued patents, all of which could harm our business, results of operations, financial condition and prospects.</w:t>
      </w:r>
    </w:p>
    <w:p>
      <w:pPr>
        <w:spacing w:after="0" w:line="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have been previously employed at other biotechnology or pharmaceutical companies, including our competitors or potential competitors. Although we are not aware of any claims currently pending against us, we may be subject to claims that we or our employees inadvertently or otherwise used or disclosed the trade secrets or other proprietary information of our employees’ former employers.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develop and commercialize nomlabofusp or our other potential product candidates, which would materially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be highly volatile, and purchasers of our common stock could incur substantial losses.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68" w:lineRule="exact"/>
        <w:rPr>
          <w:sz w:val="20"/>
          <w:szCs w:val="20"/>
          <w:color w:val="auto"/>
        </w:rPr>
      </w:pPr>
    </w:p>
    <w:p>
      <w:pPr>
        <w:ind w:left="5540" w:right="2240" w:hanging="5023"/>
        <w:spacing w:after="0" w:line="783" w:lineRule="auto"/>
        <w:tabs>
          <w:tab w:leader="none" w:pos="8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product candidates, and delays or failures to obtain such approvals;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86" w:lineRule="exact"/>
        <w:rPr>
          <w:sz w:val="20"/>
          <w:szCs w:val="20"/>
          <w:color w:val="auto"/>
        </w:rPr>
      </w:pPr>
    </w:p>
    <w:p>
      <w:pPr>
        <w:ind w:left="900" w:right="44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delays in, current, and any future, non-clinical or clinical trials of nomlabofusp or any of our future product candidates, including any delays related to a future pandemic, epidemic or outbreak of an infectious disease;</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tension, including the potential impact of ongoing conflict between Russia and Ukraine and the current conflict in Israel and Gaza (including any escalation or expansion);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or collaboration agreements;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nomlabofusp or any of our future product candidates, if approved for marketing and commercialization, to achieve commercial success;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commercial partners or competitors of new commercial products, clinical progress (or the lack thereof), significant business developments,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potential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117" w:lineRule="exact"/>
        <w:rPr>
          <w:rFonts w:ascii="Times New Roman" w:cs="Times New Roman" w:eastAsia="Times New Roman" w:hAnsi="Times New Roman"/>
          <w:sz w:val="18"/>
          <w:szCs w:val="18"/>
          <w:color w:val="auto"/>
        </w:rPr>
      </w:pPr>
    </w:p>
    <w:p>
      <w:pPr>
        <w:jc w:val="both"/>
        <w:ind w:left="900" w:right="420" w:hanging="383"/>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including a global pandemic, or macroeconomic factors such as geopolitical tensions, tariffs, or the outbreak or escalation of hostilities or war;</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 perceptions of us or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is no guarantee that our common stock will appreciate or even maintain the price at which our holders have purchased it. Therefore, there is a risk that investors may lose all or part of their investment in our securities.</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8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may not be able to effectively and timely implement controls and procedures which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or to otherwise prevent material weaknesses in internal control over financial reporting, our business and reputation may be harmed and our stock price may decline. Furthermore, investor perceptions of us may be adversely affected, which could cause a decline in the market price of our common stock.</w:t>
      </w:r>
    </w:p>
    <w:p>
      <w:pPr>
        <w:spacing w:after="0" w:line="75" w:lineRule="exact"/>
        <w:rPr>
          <w:sz w:val="20"/>
          <w:szCs w:val="20"/>
          <w:color w:val="auto"/>
        </w:rPr>
      </w:pPr>
    </w:p>
    <w:p>
      <w:pPr>
        <w:jc w:val="right"/>
        <w:ind w:right="580"/>
        <w:spacing w:after="0" w:line="3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Ownership of our common stock is highly concentrated, and it may prevent other stockholders from influencing significant corporate decisions. </w:t>
      </w:r>
      <w:r>
        <w:rPr>
          <w:rFonts w:ascii="Times New Roman" w:cs="Times New Roman" w:eastAsia="Times New Roman" w:hAnsi="Times New Roman"/>
          <w:sz w:val="18"/>
          <w:szCs w:val="18"/>
          <w:color w:val="auto"/>
        </w:rPr>
        <w:t>Entities affiliated with Deerfield Management Company beneficially own or control approximately 33.3% of our outstanding common stock</w:t>
      </w:r>
    </w:p>
    <w:p>
      <w:pPr>
        <w:ind w:right="60"/>
        <w:spacing w:after="0" w:line="253" w:lineRule="auto"/>
        <w:rPr>
          <w:sz w:val="20"/>
          <w:szCs w:val="20"/>
          <w:color w:val="auto"/>
        </w:rPr>
      </w:pPr>
      <w:r>
        <w:rPr>
          <w:rFonts w:ascii="Times New Roman" w:cs="Times New Roman" w:eastAsia="Times New Roman" w:hAnsi="Times New Roman"/>
          <w:sz w:val="18"/>
          <w:szCs w:val="18"/>
          <w:color w:val="auto"/>
        </w:rPr>
        <w:t>(assuming no exercise of outstanding options) as of December 31, 2024, on a fully-diluted basis. Accordingly, such entities have substantial influence over the outcome of a corporate action by us requiring stockholder approval, including the election of directors, any merger, consolidation or sale of all or substantially all of our assets or any other significant corporate transaction. These stockholders also may exert influence in delaying or preventing a change in control of the combined company, even if such change in control would benefit our other stockholders.</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We cannot be certain whether the reduced disclosure requirements applicable to smaller reporting companies will make our common shares less attractive to investors or otherwise limit our ability to raise additional funds.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currently a “smaller reporting company” as defined in the Exchange Act of 1934 and have elected to take advantage of certain of the scaled disclosures available to smaller reporting companies, including simplified executive compensation disclosures in our filings, exemption from the provisions of Section 404(b) of the Sarbanes-Oxley Act requiring that an independent registered accounting firm provide an attestation report on the effectiveness of internal control over financial reporting and certain other decreased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and may prevent attempts by our stockholders to replace or remove our management.</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to fund the development and growth of our business. As a result, capital appreciation, if any, of our common stock will be stockholders’ sole source of gain, if any, for the foreseeable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Stock Market LLC could result in a delisting of our Common Stock.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Stock Market LLC ("Nasdaq") such as the corporate governance requirements or the minimum closing bid price requirement, Nasdaq may take steps to delist our common stock. Such a delisting would likely have a negative effect on the price of our common stock and would impair a stockholders ability to sell or purchase shares of common stock when they wish to do so.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United States are expensive and time-consuming, and our management will be required to devote substantial time to new compliance matters.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obligations of being a public company in the United States require significant expenditures and place significant demands on our management and other personnel, including costs resulting from public company reporting obligations under the Securities Exchange Act of 1934, as amended, and the rules and regulations regarding corporate governance practices, including those under the Sarbanes-Oxley Act, the Dodd-Frank Wall Street Reform and Consumer Protection Act of 2010 (the "Dodd-Frank Act") and the listing requirements of Nasdaq on which our securities are listed. These rules require the maintenance of effective disclosure and financial controls and procedures, internal control over financial reporting and strong corporate governance practices, among many other complex rules that are often difficult to implement, monitor and maintain compliance with. Our management and other personnel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8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impact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reckless or negligent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In addition, we are subject to the risk that a person or government could allege fraud or other misconduct, even if none occurred. If any such actions are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instituted against us, and we are not successful in defending ourselves or asserting our rights, those actions could have a significant impact on our business, including the imposition of significant fines or other sanctions.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geopolitical events and general conditions in the global financial markets. A severe or prolonged economic downturn due to geopolitical tension resulting from ongoing conflict between Russia and Ukraine and the current conflict in Israel and Gaza (including any escalation or expansion) or other factors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7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into receivership by the Federal Deposit Insurance Corporation (“FDIC”).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 Risk Management and Strategy</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manage cybersecurity risks relating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products (Information Systems and Data).</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Director of Information Technology, assisted by our managed information technology service provider and other third party service providers, leads the Company’s cybersecurity risk management processes. This group works to identify and assess risks from cybersecurity threats by monitoring and evaluating our threat environment and the Company’s risk profile using various methods in certain contexts, including, manual tools, subscribing to reports and services that identify cybersecurity threats, analyzing threat intelligence reports and feeds, conducting scans of certain environments, and other tests.</w:t>
      </w:r>
    </w:p>
    <w:p>
      <w:pPr>
        <w:spacing w:after="0" w:line="72"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We implement and maintain various technical, physical, and organizational measures, processes, standards and policies designed to manage risks from cybersecurity threats to our Information Systems and Data, as applicable depending on the environment, including incident detection and response, disaster recovery/business continuity policies, network security controls and data segmentation, access controls, physical security, asset management and tracking, systems monitoring, and employee training.</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risks from cybersecurity threats are part of the Company’s overall risk management processes. Our Director of Information Technology works with management to prioritize our risk management processes and mitigate cybersecurity threats that are more likely to lead to a material impact to our business.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to identify, assess, and manage risks from cybersecurity threats. These third-party service providers may include threat intelligence service providers, cybersecurity consultants, cybersecurity software providers, managed cybersecurity service providers, and dark web monitoring services.</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also have established a process to conduct diligence on certain third parties before engaging with those third parties, such as those that support our GxP processes, which may include a security assessment.</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our risk factors under Part 1 Item 1A. Risk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holds oversight responsibility over the Company’s cybersecurity risk management as part of its general oversight function. The audit committee of the board of directors is responsible for overseeing the Company’s cybersecurity risk management processes, including oversight of the Company’s processes for monitoring and controlling cybersecurity risks.</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Director of Information Technology, who has over 10 years of information technology management experience.</w:t>
      </w:r>
    </w:p>
    <w:p>
      <w:pPr>
        <w:spacing w:after="0" w:line="5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Director of Information Technology, along with management, is responsible for helping to integrate cybersecurity risk considerations into the Company’s overall risk management strategy and communicating key priorities to relevant personnel. Management is responsible for approving budgets, helping prepare for cybersecurity incidents, approving cybersecurity processes, and reviewing security-related reports.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8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processes designed to escalate certain cybersecurity incidents to members of management depending on the circumstances, including our Vice President Legal and Compliance, Vice President Finance and Administration, Vice President - Controller, Chief Financial Officer and Director of Information Technology. In addition, the Company’s incident response policy includes a process for reporting to the audit committee of the board of directors for certain cybersecurity incidents.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receives reports from members of the Company’s management concerning the Company’s significant cybersecurity threats and risk and the processes the Company has implemented to address them, as applicable.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are party to an operating lease for approximately 3,927 square feet of laboratory space in King of Prussia, PA. We believe the lab space is sufficient for our needs for the next several years.</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are party to an operating lease for approximately 8,104 square feet of office space in Bala Cynwyd, Pennsylvania that serves as our corporate office. We expect to increase our office space at our Bala Cynwyd Pennsylvania office in the near term by approximately 7,107 square feet to 15,211 square feet. We believe that appropriate office space will be readily available on commercially reasonable terms.</w:t>
      </w:r>
    </w:p>
    <w:p>
      <w:pPr>
        <w:spacing w:after="0" w:line="68"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We are party to an operating lease for approximately 17,705 square feet of office space in Boston, Massachusetts. This lease expires in October 2029. On October 27, 2020, we entered into a sublease agreement whereby we subleased all 17,705 square feet of office space leased under the Boston Lease until October 2029.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be subject to other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publicly traded on the Nasdaq Global Market under the symbol “LRMR.”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24, 2025, we had approximately 62 record holders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declared or paid any dividends since our inception nor do we expect to pay dividends in the foreseeable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by reference herein to Part III, Item 12 of this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have been no sales of unregistered securities other than as previously disclosed by us in our Current Reports on Form 8-K as filed with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audited consolidated financial statements and the related notes included elsewhere in this Annual Report on Form 10-K. In addition to historical financial information, the following discussion contains forward-looking statements based upon our current plans, expectations and beliefs that involve risks, uncertainties and assumptions. Our actual results may differ materially from those described in or implied by these forward-looking statements as a result of many factors, including those set forth under the section titled “Risk Factors” and in other parts of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and the United States Adopted Name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w:t>
      </w:r>
    </w:p>
    <w:p>
      <w:pPr>
        <w:spacing w:after="0" w:line="7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Program Update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two Phase 1 clinical trials and a Phase 2 dose exploration trial, and have an ongoing Phase 2 OLE trial in patients with FA and an ongoing PK run-in study in adolescent patients with FA.</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May 2021, we reported positive top-line data from our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May 2023, we reported preliminary unblinded top-line data from the 25 mg cohort of our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w:t>
      </w:r>
    </w:p>
    <w:p>
      <w:pPr>
        <w:spacing w:after="0" w:line="6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July 2023, the FDA cleared initiation of a second cohort (50 mg) of our four-week, placebo-controlled, Phase 2 dose exploration trial of nomlabofusp in patients with FA and the initiation of our OLE trial with daily dosing of 25 mg.</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February 2024, we reported positive top-line data and successful completion of the Phase 2 dose exploration study.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Patients who completed treatment in our Phase 2 dose exploration study or who previously completed a prior clinical trial of nomlabofusp are eligible to screen and possibly participate in the OLE study.</w:t>
      </w:r>
    </w:p>
    <w:p>
      <w:pPr>
        <w:spacing w:after="0" w:line="7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March 2024, we dosed the first patient in our OLE trial, evaluating daily subcutaneous injections of 25 mg of nomlabofusp self-administered or administered by a caregiver. The OLE study will evaluate the safety and tolerability, pharmacokinetics, and frataxin levels in peripheral tissues as well as other exploratory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pharmacodynamic markers (lipid profiles and gene expression data) following long-term subcutaneous administration of nomlabofusp. In addition, following the completion of enrollment, as well as at least one 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May 30, 2024, we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we received access to the Medicines and Healthcare Regulatory Agency ("MHRA") Innovative Licensing and Access Pathway (“ILAP”) for the treatment of adults and children with FA. The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(the “EU”), and access to the PRIME scheme in the EU.</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December 2024, we reported positive initial data from our ongoing OLE study. This data included safety, FXN levels, clinical, pharmacokinetic data and dose escalation:</w:t>
      </w:r>
    </w:p>
    <w:p>
      <w:pPr>
        <w:spacing w:after="0" w:line="54" w:lineRule="exact"/>
        <w:rPr>
          <w:sz w:val="20"/>
          <w:szCs w:val="20"/>
          <w:color w:val="auto"/>
        </w:rPr>
      </w:pPr>
    </w:p>
    <w:p>
      <w:pPr>
        <w:ind w:left="900" w:right="120" w:hanging="383"/>
        <w:spacing w:after="0" w:line="26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and withdrew from the study;</w:t>
      </w:r>
    </w:p>
    <w:p>
      <w:pPr>
        <w:spacing w:after="0" w:line="6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HV at baseline to 30% in buccal cells and from 16% to 72% in skin cells at Day 90;</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FXN levels appear to reach steady-state levels by Day 30 in buccal cells;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clinical data showed trends toward improvement across a number of clinical outcomes for long-term 25 mg daily nomlabofusp including:</w:t>
      </w:r>
    </w:p>
    <w:p>
      <w:pPr>
        <w:spacing w:after="0" w:line="27" w:lineRule="exact"/>
        <w:rPr>
          <w:rFonts w:ascii="Times New Roman" w:cs="Times New Roman" w:eastAsia="Times New Roman" w:hAnsi="Times New Roman"/>
          <w:sz w:val="18"/>
          <w:szCs w:val="18"/>
          <w:color w:val="auto"/>
        </w:rPr>
      </w:pPr>
    </w:p>
    <w:p>
      <w:pPr>
        <w:ind w:left="90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decreased values indicating early trends towards improvement in the Modified Friedreich Ataxia Rating Scale (mFARS) and the FARS-Activities of Daily Living ("ADL"), Modified Fatigue Impact Scale and 9 hole peg test at 90 days relative to baseline;</w:t>
      </w:r>
    </w:p>
    <w:p>
      <w:pPr>
        <w:spacing w:after="0" w:line="7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Also in December 2024, we announced that we were increasing the dose in the OLE to 50 mg of nomlabofusp daily for then currently enrolled and all future OLE study participants. In March 2025, we announced that our Safety Monitoring Team has deemed anaphylaxis as an adverse drug reaction likely associated with nomlabofusp and therefore, we expect to see additional reactions. To reduce the risk of allergic reactions, including anaphylaxis, we amended the OLE protocol to administer premedication for the first month of dosing. The OLE study is ongoing with seven sites activated and participants continuing to enroll. All study participants are currently receiving the 50 mg dose of nomlabofusp. We plan to provide an update on OLE data on at least 30 to 40 study participants, some of whom have been receiving nomlabofusp for more than a year, in September 2025.</w:t>
      </w:r>
    </w:p>
    <w:p>
      <w:pPr>
        <w:spacing w:after="0" w:line="79"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In January 2025, we initiated dosing of adolescents (12-17 years old) in a PK run-in study for pediatric patients with FA. Study participants in the PK run-in study are randomized 2:1 to receive either nomlabofusp at a weight-base dose expected to match the PK of adults receiving the 50 mg dose, or placebo, daily for seven days. Following assessment of safety and PK data, participants will be eligible to screen for the OLE study. The data from this cohort is expected to be presented during the nomlabofusp program update in September 2025.</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March 2025, we announced that FDA stated in written correspondence associated with a meeting through the START pilot program that they are open to considering the use of FXN concentration as a reasonably likely surrogate endpoint (“RLSE”) and the acceptability of FXN’s use as an RLSE would ultimately be a matter of review of the data in a future marketing application. FDA recommended focusing on assessments of skin FXN concentrations rather than buccal FXN concentrations due to more consistent sampling and less variability. FDA acknowledged that data we recently submitted appear to support a relationship between increased FXN concentrations in skin cells and relevant tissues such as the heart, dorsal root ganglion and skeletal muscle. FDA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also acknowledged that the nonclinical studies we submitted were performed at relevant human doses. FDA also suggested that we consider exploring the relationship between increases in FXN in skin and changes in pharmacodynamic (PD) markers such as lipid profiles and/or clinical measures to provide additional support for the use of FXN as an RLSE. We plan to continue discussions with FDA regarding the adequacy of the safety data set for a BLA submission seeking accelerated approval targeted for year-end 2025.</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Additionally, we have obtained feedback from both FDA and EMA on the global Phase 3 study protocol and we are on track to initiate the study by mid-2025 with potential sites in the U.S., E.U., U.K, Canada, and Australia.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 Including Recent Material Financings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at a public offering price of $8.74 per share. We received net proceeds of approximately $161.8 million after deducting underwriting discounts, commissions and other offering expenses.</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Sales Agreement (the "ATM Agreement") with Guggenheim Securities, LLC in connection with the establishment of an “at-the-market” offering program providing for the sale of up to an aggregate of $100 million of shares of our common stock from time to time. To date, we have made no sales under the ATM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continue to increase in the foreseeable future as we pursue clinical development of nomlabofusp and/or any other product candidates we develop.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 Expense</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Prior to May 28, 2020, we were a private company and lacked company-specific historical and implied volatility information for our common stock. Prior to January 1, 2023, the Company estimated its expected common stock price volatility solely based on the historical volatility of publicly traded peer companies with comparable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characteristics including enterprise value, risk profiles and position within the industry. Beginning on January 1, 2023, the Company began blending its historical data starting in June 2020 (following its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68"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spacing w:after="0" w:line="72" w:lineRule="exact"/>
        <w:rPr>
          <w:sz w:val="20"/>
          <w:szCs w:val="20"/>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86" w:lineRule="exact"/>
        <w:rPr>
          <w:sz w:val="20"/>
          <w:szCs w:val="20"/>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 or other regulatory authorities on our clinical trial design and timing;</w:t>
      </w:r>
    </w:p>
    <w:p>
      <w:pPr>
        <w:spacing w:after="0" w:line="11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research and development personnel.</w:t>
      </w:r>
    </w:p>
    <w:p>
      <w:pPr>
        <w:spacing w:after="0" w:line="11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commentary is a discussion and analysis of our financial condition as of December 31, 2024 and results of operations and cash flows for the year ended December 31, 2024 compared to the year ended December 31, 2023 and should be read in conjunction with the consolidated financial statements and accompanying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335"/>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90,890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(90,890 )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(41,758 )</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(49,132 )</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(80,604 )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(36,949 )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(43,655 )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-453390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-453390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twelve months ended December 31, 2024 increased $45.6 million compared to the twelve months ended December 31, 2023 due to continued and increased clinical development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nomlabofusp and related regulatory and bioanalysis. The increase in research and development expenses was primarily driven by an increase of $36.1 million in nomlabofusp manufacturing costs including production scale-up, costs and manufacturing costs related to producing drug product doses to be used in ongoing and planned clinical trials, an increase of $4.5 million in personnel expense due to increased clinical, regulatory, quality and manufacturing headcount, an increase of $1.3 million of professional fees related to regulatory, quality, medical, and clinical consulting costs, an increase of $1.2 million in clinical costs primarily associated with the OLE study which began dosing patients in the first quarter of 2024, an increase of $1.0 million in stock compensation costs associated with the incremental 2024 grants for existing and new employees, an increase of $0.9 million related to our participation in the Friedreich’s Ataxia Research Alliance's ("FARA's") TRACK-FA Neuroimaging Consortium conducting a natural history study designed to establish disease-specific neuroimaging biomarkers to track disease progression in the brain and spinal cord and provide a basis for utilizing these biomarkers in clinical trials, an increase of $0.3 million in internal lab costs related primarily to gene expression and lipid studies and an increase of $0.2 million in facility costs associated with the new lab space.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twelve months ended December 31, 2024 increased $3.5 million compared to the twelve months ended December 31, 2023. The increase in general and administrative expenses was primarily driven by an increase of $1.5 million in professional fees primarily related to consulting costs related to commercial activity and other public company related expenses, an increase of $1.4 million in personnel expense due to increased headcount, an increase of $0.4 million of other expense related to computer software, information technology services and recruiting and an increase of $0.2 million in stock compensation costs associated with 2024 grants to existing and new employee grants.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$10.3 million of income in the twelve months ended December 31, 2024 compared to $4.8 million in the twelve months ended December 31, 2023. The increase primarily relates to interest income on a higher investment base and higher investment yields on that base during the current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w w:val="99"/>
              </w:rPr>
              <w:t>(70,760 )</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(33,459 )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tcPr>
          <w:p>
            <w:pPr>
              <w:spacing w:after="0"/>
              <w:rPr>
                <w:sz w:val="18"/>
                <w:szCs w:val="18"/>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w w:val="99"/>
              </w:rPr>
              <w:t>(85,387 )</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161,883</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8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net operating activities used $70.8 million of cash, resulting from our net loss of $80.6 million, adjusted for noncash expenses of $3.7 million, and changes in our operating assets and liabilities provided cash of $6.2 million. Our net loss was attributed to operating expenses of $90.9 million, offset by other income (net) of $10.3 million. The change in operating assets and liabilities was primarily due to an increase in accounts payable, an increase in accrued expenses and offset by an increase in prepaid assets, all associated with increasing expenditures and development activity.</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$33.5 million of cash, resulting from our net loss of $36.9 million, adjusted for noncash expenses of $6.0 million, and changes in our operating assets and liabilities resulting in a use of cash of $2.5 million. Our net loss was attributed to operating expenses of $41.8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million, offset by other income (net) of $4.8 million. The change in operating assets and liabilities was primarily due to a decrease in accounts payable and accrued expenses and an increase in prepaid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investing activities used $85.4 million of net cash, resulting from purchases of $227.9 million in marketable securities, which was offset by $143.0 million of maturities and sales of marketable securities.</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investing activities provided $33.4 million of net cash, resulting from $134.8 million of maturities and sales of marketable securities, which was offset by purchases of $101.2 million in marketable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financing activities provided $161.9 million of cash primarily from an offering of common stock.</w:t>
      </w:r>
    </w:p>
    <w:p>
      <w:pPr>
        <w:spacing w:after="0" w:line="117"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financing activities provided less than $0.1 million of cash from the exercise of stock options and warrants.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commercialized any products and do not expect to generate revenue from the commercial sale of any products for several years,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all.</w:t>
      </w:r>
    </w:p>
    <w:p>
      <w:pPr>
        <w:spacing w:after="0" w:line="9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have to date incurred net losses. We incurred net losses of approximately $80.6 million and $36.9 million for the twelve months ended December 31, 2024 and 2023, respectively. As of December 31, 2024, we had an accumulated deficit of $269.2 million and a cash, cash equivalents and marketable securities balance of $183.5 million, excluding restricted cash of $0.6 million.</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spacing w:after="0" w:line="68" w:lineRule="exact"/>
        <w:rPr>
          <w:sz w:val="20"/>
          <w:szCs w:val="20"/>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nomlabofusp through additional clinical trials, including related manufacturing costs;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nomlabofusp and other potential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900" w:right="96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and received net proceeds of approximately $161.8 million after deducting underwriting discounts, commissions and other offering expenses. We anticipate that our current cash, cash equivalents and marketable securities will fund operations into the second quarter of 2026.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business. Any additional fundraising efforts may divert our management from their day-to-day activities, which may adversely affect our ability to develop and commercialize our product candidates.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Please read Note 2 to our audited consolidated financial statements included in Part IV, Item 15, of this Annual Report for a description of recent accounting pronouncements applicable to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60" w:right="3880" w:firstLine="46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audited consolidated financial statements and the report of our independent registered public accounting firm are included in this Annual Report on Form 10-K on the pages indicated in Part IV, 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With respect to the year ended December 31, 2024,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were effective as of December 31, 2024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our evaluation under that framework, our management concluded that our internal control over financial reporting was effective as of December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December 31, 2024, that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760" w:hanging="243"/>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firstLine="517"/>
        <w:spacing w:after="0" w:line="266" w:lineRule="auto"/>
        <w:tabs>
          <w:tab w:leader="none" w:pos="7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the fiscal year ended December 31, 2024, no director or “officer” as defined in Rule 16a-1(f) under the Exchange Act adopted or terminated any Rule 10b5-1 trading plan or arrangements or any non-Rule 10b5-1 trading plan or arrangements, in both cases as defined in Item 408(a)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of Form 10-K is incorporated by reference to the information contained in our definitive proxy statement for the 2025 annual meeting of stockholders.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this Annual Report on Form 10-K. In addition, with regard to trading in our own securities, it is our policy to comply with the federal securities laws and the applicable exchange listing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to the information contained in our definitive proxy statement for the 2025 annual meeting of stockholders.</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to the information contained in our definitive proxy statement for the 2025 annual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to the information contained in our definitive proxy statement for the 2025 annual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accounting firm is PricewaterhouseCoopers LLP, Philadelphia, Pennsylvania, USA, PCAOB Auditor ID: 238.</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to the information contained in our definitive proxy statement for the 2025 annual meeting of stockholders.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1" w:name="page102"/>
    <w:bookmarkEnd w:id="10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the Consolidated Financial Statements on page F-1 of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ind w:right="2100" w:firstLine="509"/>
        <w:spacing w:after="0" w:line="375" w:lineRule="auto"/>
        <w:rPr>
          <w:sz w:val="20"/>
          <w:szCs w:val="20"/>
          <w:color w:val="auto"/>
        </w:rPr>
      </w:pPr>
      <w:r>
        <w:rPr>
          <w:rFonts w:ascii="Times New Roman" w:cs="Times New Roman" w:eastAsia="Times New Roman" w:hAnsi="Times New Roman"/>
          <w:sz w:val="18"/>
          <w:szCs w:val="18"/>
          <w:color w:val="auto"/>
        </w:rPr>
        <w:t>None, as all information required in these schedules is included in the Notes to the Consolidated Financial Statements. 3. Exhibits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Reference is made to the Exhibit Index below for a list of exhibits required by Item 601 of Regulation S-K to be filed as part of this Annual Report.</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160" w:hanging="152"/>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in this document has been excluded pursuant to Regulation S-K, Item 601(b)(10).</w:t>
      </w:r>
    </w:p>
    <w:p>
      <w:pPr>
        <w:spacing w:after="0" w:line="9" w:lineRule="exact"/>
        <w:rPr>
          <w:rFonts w:ascii="Times New Roman" w:cs="Times New Roman" w:eastAsia="Times New Roman" w:hAnsi="Times New Roman"/>
          <w:sz w:val="18"/>
          <w:szCs w:val="18"/>
          <w:color w:val="auto"/>
        </w:rPr>
      </w:pPr>
    </w:p>
    <w:p>
      <w:pPr>
        <w:ind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annexes or exhibits have been omitted pursuant to Item 601(a)(5) of Regulation S-K, but will be furnished supplementally to the SEC upon request.</w:t>
      </w:r>
    </w:p>
    <w:p>
      <w:pPr>
        <w:ind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207" w:lineRule="exact"/>
        <w:rPr>
          <w:sz w:val="20"/>
          <w:szCs w:val="20"/>
          <w:color w:val="auto"/>
        </w:rPr>
      </w:pPr>
    </w:p>
    <w:p>
      <w:pPr>
        <w:ind w:left="440"/>
        <w:spacing w:after="0"/>
        <w:tabs>
          <w:tab w:leader="none" w:pos="60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p>
      <w:pPr>
        <w:ind w:left="1260" w:hanging="328"/>
        <w:spacing w:after="0" w:line="27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2.1 </w:t>
      </w:r>
      <w:hyperlink r:id="rId138">
        <w:r>
          <w:rPr>
            <w:rFonts w:ascii="Times New Roman" w:cs="Times New Roman" w:eastAsia="Times New Roman" w:hAnsi="Times New Roman"/>
            <w:sz w:val="17"/>
            <w:szCs w:val="17"/>
            <w:u w:val="single" w:color="auto"/>
            <w:color w:val="0000FF"/>
          </w:rPr>
          <w:t>Agreement and Plan of Merger, dated as of December 17, 2019, by and among Zafgen, Inc., Chondrial Therapeutics, Inc., Chondrial</w:t>
        </w:r>
      </w:hyperlink>
      <w:r>
        <w:rPr>
          <w:rFonts w:ascii="Times New Roman" w:cs="Times New Roman" w:eastAsia="Times New Roman" w:hAnsi="Times New Roman"/>
          <w:sz w:val="17"/>
          <w:szCs w:val="17"/>
          <w:color w:val="auto"/>
        </w:rPr>
        <w:t xml:space="preserve"> </w:t>
      </w:r>
      <w:hyperlink r:id="rId138">
        <w:r>
          <w:rPr>
            <w:rFonts w:ascii="Times New Roman" w:cs="Times New Roman" w:eastAsia="Times New Roman" w:hAnsi="Times New Roman"/>
            <w:sz w:val="17"/>
            <w:szCs w:val="17"/>
            <w:u w:val="single" w:color="auto"/>
            <w:color w:val="0000FF"/>
          </w:rPr>
          <w:t>Therapeutics Holdings, LLC, and Zordich Merger Sub, Inc. (incorporated by reference to Exhibit 2.1 of the Company’s Current Report on</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Form 8-K filed on December 18, 2019).</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796290</wp:posOffset>
            </wp:positionH>
            <wp:positionV relativeFrom="paragraph">
              <wp:posOffset>-295910</wp:posOffset>
            </wp:positionV>
            <wp:extent cx="60947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-158750</wp:posOffset>
            </wp:positionV>
            <wp:extent cx="63385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33857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-21590</wp:posOffset>
            </wp:positionV>
            <wp:extent cx="18275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827530" cy="8890"/>
                    </a:xfrm>
                    <a:prstGeom prst="rect">
                      <a:avLst/>
                    </a:prstGeom>
                    <a:noFill/>
                  </pic:spPr>
                </pic:pic>
              </a:graphicData>
            </a:graphic>
          </wp:anchor>
        </w:drawing>
      </w:r>
    </w:p>
    <w:p>
      <w:pPr>
        <w:ind w:left="1260" w:right="22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2.2 </w:t>
      </w:r>
      <w:hyperlink r:id="rId142">
        <w:r>
          <w:rPr>
            <w:rFonts w:ascii="Times New Roman" w:cs="Times New Roman" w:eastAsia="Times New Roman" w:hAnsi="Times New Roman"/>
            <w:sz w:val="17"/>
            <w:szCs w:val="17"/>
            <w:u w:val="single" w:color="auto"/>
            <w:color w:val="0000FF"/>
          </w:rPr>
          <w:t>Amendment No. 1 to Agreement and Plan of Merger, dated as of March 6, 2020, by and among Zafgen, Inc., Chondrial Therapeutics,</w:t>
        </w:r>
      </w:hyperlink>
      <w:r>
        <w:rPr>
          <w:rFonts w:ascii="Times New Roman" w:cs="Times New Roman" w:eastAsia="Times New Roman" w:hAnsi="Times New Roman"/>
          <w:sz w:val="17"/>
          <w:szCs w:val="17"/>
          <w:color w:val="auto"/>
        </w:rPr>
        <w:t xml:space="preserve"> </w:t>
      </w:r>
      <w:hyperlink r:id="rId142">
        <w:r>
          <w:rPr>
            <w:rFonts w:ascii="Times New Roman" w:cs="Times New Roman" w:eastAsia="Times New Roman" w:hAnsi="Times New Roman"/>
            <w:sz w:val="17"/>
            <w:szCs w:val="17"/>
            <w:u w:val="single" w:color="auto"/>
            <w:color w:val="0000FF"/>
          </w:rPr>
          <w:t>Inc., Chondrial Therapeutics Holdings, LLC, and Zordich Merger Sub, Inc. (incorporated by reference to Exhibit 2.1 of the Company’s</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Current Report on Form 8-K filed on March 6, 2020).</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796290</wp:posOffset>
            </wp:positionH>
            <wp:positionV relativeFrom="paragraph">
              <wp:posOffset>-296545</wp:posOffset>
            </wp:positionV>
            <wp:extent cx="61423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14235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-159385</wp:posOffset>
            </wp:positionV>
            <wp:extent cx="62122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21220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24593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2459355" cy="8255"/>
                    </a:xfrm>
                    <a:prstGeom prst="rect">
                      <a:avLst/>
                    </a:prstGeom>
                    <a:noFill/>
                  </pic:spPr>
                </pic:pic>
              </a:graphicData>
            </a:graphic>
          </wp:anchor>
        </w:drawing>
      </w:r>
    </w:p>
    <w:p>
      <w:pPr>
        <w:ind w:left="1260" w:right="20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3.1 </w:t>
      </w:r>
      <w:hyperlink r:id="rId146">
        <w:r>
          <w:rPr>
            <w:rFonts w:ascii="Times New Roman" w:cs="Times New Roman" w:eastAsia="Times New Roman" w:hAnsi="Times New Roman"/>
            <w:sz w:val="17"/>
            <w:szCs w:val="17"/>
            <w:u w:val="single" w:color="auto"/>
            <w:color w:val="0000FF"/>
          </w:rPr>
          <w:t>Ninth Amend</w:t>
        </w:r>
        <w:r>
          <w:rPr>
            <w:rFonts w:ascii="Times New Roman" w:cs="Times New Roman" w:eastAsia="Times New Roman" w:hAnsi="Times New Roman"/>
            <w:sz w:val="17"/>
            <w:szCs w:val="17"/>
            <w:u w:val="single" w:color="auto"/>
            <w:color w:val="0000CC"/>
          </w:rPr>
          <w:t>ed</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u w:val="single" w:color="auto"/>
            <w:color w:val="0000FF"/>
          </w:rPr>
          <w:t>and Restated Certificate of Incorporation of Larimar Therapeutics, Inc. (formerly known as Zafgen, Inc.) (incorporated</w:t>
        </w:r>
      </w:hyperlink>
      <w:r>
        <w:rPr>
          <w:rFonts w:ascii="Times New Roman" w:cs="Times New Roman" w:eastAsia="Times New Roman" w:hAnsi="Times New Roman"/>
          <w:sz w:val="17"/>
          <w:szCs w:val="17"/>
          <w:color w:val="auto"/>
        </w:rPr>
        <w:t xml:space="preserve"> </w:t>
      </w:r>
      <w:hyperlink r:id="rId146">
        <w:r>
          <w:rPr>
            <w:rFonts w:ascii="Times New Roman" w:cs="Times New Roman" w:eastAsia="Times New Roman" w:hAnsi="Times New Roman"/>
            <w:sz w:val="17"/>
            <w:szCs w:val="17"/>
            <w:u w:val="single" w:color="auto"/>
            <w:color w:val="0000FF"/>
          </w:rPr>
          <w:t>by reference to Exhibit 3.1 of the Company’s Current Report on Form 8-K filed on June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2274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227445" cy="8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45250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4525010" cy="8890"/>
                    </a:xfrm>
                    <a:prstGeom prst="rect">
                      <a:avLst/>
                    </a:prstGeom>
                    <a:noFill/>
                  </pic:spPr>
                </pic:pic>
              </a:graphicData>
            </a:graphic>
          </wp:anchor>
        </w:drawing>
      </w:r>
    </w:p>
    <w:p>
      <w:pPr>
        <w:jc w:val="center"/>
        <w:ind w:left="1160" w:right="80"/>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3.2  </w:t>
      </w:r>
      <w:hyperlink r:id="rId149">
        <w:r>
          <w:rPr>
            <w:rFonts w:ascii="Times New Roman" w:cs="Times New Roman" w:eastAsia="Times New Roman" w:hAnsi="Times New Roman"/>
            <w:sz w:val="17"/>
            <w:szCs w:val="17"/>
            <w:u w:val="single" w:color="auto"/>
            <w:color w:val="0000FF"/>
          </w:rPr>
          <w:t>Certificate of Amendment of Ninth Amended and Restated Certificate of Incorporation of Zafgen, Inc. related to the Reverse Stock Split,</w:t>
        </w:r>
      </w:hyperlink>
      <w:r>
        <w:rPr>
          <w:rFonts w:ascii="Times New Roman" w:cs="Times New Roman" w:eastAsia="Times New Roman" w:hAnsi="Times New Roman"/>
          <w:sz w:val="17"/>
          <w:szCs w:val="17"/>
          <w:color w:val="auto"/>
        </w:rPr>
        <w:t xml:space="preserve"> </w:t>
      </w:r>
      <w:hyperlink r:id="rId149">
        <w:r>
          <w:rPr>
            <w:rFonts w:ascii="Times New Roman" w:cs="Times New Roman" w:eastAsia="Times New Roman" w:hAnsi="Times New Roman"/>
            <w:sz w:val="17"/>
            <w:szCs w:val="17"/>
            <w:u w:val="single" w:color="auto"/>
            <w:color w:val="0000FF"/>
          </w:rPr>
          <w:t>dated May 28, 2020 (incorporated by reference to Exhibit 3.1 of the Company’s Current Report on Form 8-K filed on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3042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630428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60540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6054090" cy="8255"/>
                    </a:xfrm>
                    <a:prstGeom prst="rect">
                      <a:avLst/>
                    </a:prstGeom>
                    <a:noFill/>
                  </pic:spPr>
                </pic:pic>
              </a:graphicData>
            </a:graphic>
          </wp:anchor>
        </w:drawing>
      </w:r>
    </w:p>
    <w:p>
      <w:pPr>
        <w:ind w:left="1260" w:right="4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3.3 </w:t>
      </w:r>
      <w:hyperlink r:id="rId152">
        <w:r>
          <w:rPr>
            <w:rFonts w:ascii="Times New Roman" w:cs="Times New Roman" w:eastAsia="Times New Roman" w:hAnsi="Times New Roman"/>
            <w:sz w:val="17"/>
            <w:szCs w:val="17"/>
            <w:u w:val="single" w:color="auto"/>
            <w:color w:val="0000FF"/>
          </w:rPr>
          <w:t>Certificate of Amendment of Ninth Amended and Restated Certificate of Incorporation of Zafgen, Inc. related to the Name Change, dated</w:t>
        </w:r>
      </w:hyperlink>
      <w:r>
        <w:rPr>
          <w:rFonts w:ascii="Times New Roman" w:cs="Times New Roman" w:eastAsia="Times New Roman" w:hAnsi="Times New Roman"/>
          <w:sz w:val="17"/>
          <w:szCs w:val="17"/>
          <w:color w:val="auto"/>
        </w:rPr>
        <w:t xml:space="preserve"> </w:t>
      </w:r>
      <w:hyperlink r:id="rId152">
        <w:r>
          <w:rPr>
            <w:rFonts w:ascii="Times New Roman" w:cs="Times New Roman" w:eastAsia="Times New Roman" w:hAnsi="Times New Roman"/>
            <w:sz w:val="17"/>
            <w:szCs w:val="17"/>
            <w:u w:val="single" w:color="auto"/>
            <w:color w:val="0000FF"/>
          </w:rPr>
          <w:t>May 28, 2020 (incorporated by reference to Exhibit 3.1 of the Company’s Current Report on Form 8-K filed on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3290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632904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57778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ind w:left="126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3.4 </w:t>
      </w:r>
      <w:hyperlink r:id="rId155">
        <w:r>
          <w:rPr>
            <w:rFonts w:ascii="Times New Roman" w:cs="Times New Roman" w:eastAsia="Times New Roman" w:hAnsi="Times New Roman"/>
            <w:sz w:val="17"/>
            <w:szCs w:val="17"/>
            <w:u w:val="single" w:color="auto"/>
            <w:color w:val="0000FF"/>
          </w:rPr>
          <w:t>Certificate of Amendment of Ninth Amended and Restated Certificate of Incorporation of Larimar Therapeutics, Inc., dated May 31, 2024</w:t>
        </w:r>
      </w:hyperlink>
      <w:r>
        <w:rPr>
          <w:rFonts w:ascii="Times New Roman" w:cs="Times New Roman" w:eastAsia="Times New Roman" w:hAnsi="Times New Roman"/>
          <w:sz w:val="17"/>
          <w:szCs w:val="17"/>
          <w:color w:val="auto"/>
        </w:rPr>
        <w:t xml:space="preserve"> </w:t>
      </w:r>
      <w:hyperlink r:id="rId155">
        <w:r>
          <w:rPr>
            <w:rFonts w:ascii="Times New Roman" w:cs="Times New Roman" w:eastAsia="Times New Roman" w:hAnsi="Times New Roman"/>
            <w:sz w:val="17"/>
            <w:szCs w:val="17"/>
            <w:u w:val="single" w:color="auto"/>
            <w:color w:val="0000FF"/>
          </w:rPr>
          <w:t>(incorporated by reference to Exhibit 3.1 of the Company’s Quarterly Report on Form 10-Q filed on August 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3385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33857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53784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5378450" cy="8255"/>
                    </a:xfrm>
                    <a:prstGeom prst="rect">
                      <a:avLst/>
                    </a:prstGeom>
                    <a:noFill/>
                  </pic:spPr>
                </pic:pic>
              </a:graphicData>
            </a:graphic>
          </wp:anchor>
        </w:drawing>
      </w:r>
    </w:p>
    <w:p>
      <w:pPr>
        <w:ind w:left="1260" w:right="6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3.5 </w:t>
      </w:r>
      <w:hyperlink r:id="rId158">
        <w:r>
          <w:rPr>
            <w:rFonts w:ascii="Times New Roman" w:cs="Times New Roman" w:eastAsia="Times New Roman" w:hAnsi="Times New Roman"/>
            <w:sz w:val="17"/>
            <w:szCs w:val="17"/>
            <w:u w:val="single" w:color="auto"/>
            <w:color w:val="0000FF"/>
          </w:rPr>
          <w:t>Amended and Restated By-laws of Larimar Therapeutics, Inc. (formerly known as Zafgen, Inc.) (incorporated by reference to Exhibit 3.2</w:t>
        </w:r>
      </w:hyperlink>
      <w:r>
        <w:rPr>
          <w:rFonts w:ascii="Times New Roman" w:cs="Times New Roman" w:eastAsia="Times New Roman" w:hAnsi="Times New Roman"/>
          <w:sz w:val="17"/>
          <w:szCs w:val="17"/>
          <w:color w:val="auto"/>
        </w:rPr>
        <w:t xml:space="preserve"> </w:t>
      </w:r>
      <w:hyperlink r:id="rId158">
        <w:r>
          <w:rPr>
            <w:rFonts w:ascii="Times New Roman" w:cs="Times New Roman" w:eastAsia="Times New Roman" w:hAnsi="Times New Roman"/>
            <w:sz w:val="17"/>
            <w:szCs w:val="17"/>
            <w:u w:val="single" w:color="auto"/>
            <w:color w:val="0000FF"/>
          </w:rPr>
          <w:t>of the Company’s Current Report on Form 8-K filed on June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3131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313170" cy="8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32746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1260" w:right="44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 </w:t>
      </w:r>
      <w:hyperlink r:id="rId161">
        <w:r>
          <w:rPr>
            <w:rFonts w:ascii="Times New Roman" w:cs="Times New Roman" w:eastAsia="Times New Roman" w:hAnsi="Times New Roman"/>
            <w:sz w:val="17"/>
            <w:szCs w:val="17"/>
            <w:u w:val="single" w:color="auto"/>
            <w:color w:val="0000FF"/>
          </w:rPr>
          <w:t>Description of the Company’s Securities Registered Pursuant to Section 12 of the Securities Exchange Act of 1934 (incorporated by</w:t>
        </w:r>
      </w:hyperlink>
      <w:r>
        <w:rPr>
          <w:rFonts w:ascii="Times New Roman" w:cs="Times New Roman" w:eastAsia="Times New Roman" w:hAnsi="Times New Roman"/>
          <w:sz w:val="17"/>
          <w:szCs w:val="17"/>
          <w:color w:val="auto"/>
        </w:rPr>
        <w:t xml:space="preserve"> </w:t>
      </w:r>
      <w:hyperlink r:id="rId161">
        <w:r>
          <w:rPr>
            <w:rFonts w:ascii="Times New Roman" w:cs="Times New Roman" w:eastAsia="Times New Roman" w:hAnsi="Times New Roman"/>
            <w:sz w:val="17"/>
            <w:szCs w:val="17"/>
            <w:u w:val="single" w:color="auto"/>
            <w:color w:val="0000FF"/>
          </w:rPr>
          <w:t>reference to Exhibit 4.2 of the Company’s Annual Report on Form 10-K filed March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0763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607631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43154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4315460" cy="8890"/>
                    </a:xfrm>
                    <a:prstGeom prst="rect">
                      <a:avLst/>
                    </a:prstGeom>
                    <a:noFill/>
                  </pic:spPr>
                </pic:pic>
              </a:graphicData>
            </a:graphic>
          </wp:anchor>
        </w:drawing>
      </w:r>
    </w:p>
    <w:p>
      <w:pPr>
        <w:ind w:left="1260" w:right="28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 </w:t>
      </w:r>
      <w:hyperlink r:id="rId164">
        <w:r>
          <w:rPr>
            <w:rFonts w:ascii="Times New Roman" w:cs="Times New Roman" w:eastAsia="Times New Roman" w:hAnsi="Times New Roman"/>
            <w:sz w:val="17"/>
            <w:szCs w:val="17"/>
            <w:u w:val="single" w:color="auto"/>
            <w:color w:val="0000FF"/>
          </w:rPr>
          <w:t>Larimar Therapeutics, Inc. 2020 Equity Incentive Plan (incorporated by reference to Exhibit 10.1 of the Company’s Current Report on</w:t>
        </w:r>
      </w:hyperlink>
      <w:r>
        <w:rPr>
          <w:rFonts w:ascii="Times New Roman" w:cs="Times New Roman" w:eastAsia="Times New Roman" w:hAnsi="Times New Roman"/>
          <w:sz w:val="17"/>
          <w:szCs w:val="17"/>
          <w:color w:val="auto"/>
        </w:rPr>
        <w:t xml:space="preserve"> </w:t>
      </w:r>
      <w:hyperlink r:id="rId164">
        <w:r>
          <w:rPr>
            <w:rFonts w:ascii="Times New Roman" w:cs="Times New Roman" w:eastAsia="Times New Roman" w:hAnsi="Times New Roman"/>
            <w:sz w:val="17"/>
            <w:szCs w:val="17"/>
            <w:u w:val="single" w:color="auto"/>
            <w:color w:val="0000FF"/>
          </w:rPr>
          <w:t>Form 8-K filed on September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1804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1846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ind w:left="1260" w:right="6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 </w:t>
      </w:r>
      <w:hyperlink r:id="rId167">
        <w:r>
          <w:rPr>
            <w:rFonts w:ascii="Times New Roman" w:cs="Times New Roman" w:eastAsia="Times New Roman" w:hAnsi="Times New Roman"/>
            <w:sz w:val="17"/>
            <w:szCs w:val="17"/>
            <w:u w:val="single" w:color="auto"/>
            <w:color w:val="0000FF"/>
          </w:rPr>
          <w:t>Larimar Therapeutics, Inc. Form of Stock Option Grant Notice and Award Agreement under its 2020 Equity Incentive Plan (incorporated</w:t>
        </w:r>
      </w:hyperlink>
      <w:r>
        <w:rPr>
          <w:rFonts w:ascii="Times New Roman" w:cs="Times New Roman" w:eastAsia="Times New Roman" w:hAnsi="Times New Roman"/>
          <w:sz w:val="17"/>
          <w:szCs w:val="17"/>
          <w:color w:val="auto"/>
        </w:rPr>
        <w:t xml:space="preserve"> </w:t>
      </w:r>
      <w:hyperlink r:id="rId167">
        <w:r>
          <w:rPr>
            <w:rFonts w:ascii="Times New Roman" w:cs="Times New Roman" w:eastAsia="Times New Roman" w:hAnsi="Times New Roman"/>
            <w:sz w:val="17"/>
            <w:szCs w:val="17"/>
            <w:u w:val="single" w:color="auto"/>
            <w:color w:val="0000FF"/>
          </w:rPr>
          <w:t>by reference to Exhibit 10.2 of the Company’s Current Report on Form 8-K filed on September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316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316980" cy="8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48609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4860925" cy="8255"/>
                    </a:xfrm>
                    <a:prstGeom prst="rect">
                      <a:avLst/>
                    </a:prstGeom>
                    <a:noFill/>
                  </pic:spPr>
                </pic:pic>
              </a:graphicData>
            </a:graphic>
          </wp:anchor>
        </w:drawing>
      </w:r>
    </w:p>
    <w:p>
      <w:pPr>
        <w:ind w:left="1260" w:right="860" w:hanging="499"/>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 </w:t>
      </w:r>
      <w:hyperlink r:id="rId170">
        <w:r>
          <w:rPr>
            <w:rFonts w:ascii="Times New Roman" w:cs="Times New Roman" w:eastAsia="Times New Roman" w:hAnsi="Times New Roman"/>
            <w:sz w:val="17"/>
            <w:szCs w:val="17"/>
            <w:u w:val="single" w:color="auto"/>
            <w:color w:val="0000FF"/>
          </w:rPr>
          <w:t>Restricted Stock Award Agreement for Company Employees under the Larimar Therapeutics, Inc. 2020 Equity Incentive Plan</w:t>
        </w:r>
      </w:hyperlink>
      <w:r>
        <w:rPr>
          <w:rFonts w:ascii="Times New Roman" w:cs="Times New Roman" w:eastAsia="Times New Roman" w:hAnsi="Times New Roman"/>
          <w:sz w:val="17"/>
          <w:szCs w:val="17"/>
          <w:color w:val="auto"/>
        </w:rPr>
        <w:t xml:space="preserve"> </w:t>
      </w:r>
      <w:hyperlink r:id="rId170">
        <w:r>
          <w:rPr>
            <w:rFonts w:ascii="Times New Roman" w:cs="Times New Roman" w:eastAsia="Times New Roman" w:hAnsi="Times New Roman"/>
            <w:sz w:val="17"/>
            <w:szCs w:val="17"/>
            <w:u w:val="single" w:color="auto"/>
            <w:color w:val="0000FF"/>
          </w:rPr>
          <w:t>(incorporated by reference to Exhibit 10.3 to the Company’s Annual Report on Form 10-K filed 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58064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5806440" cy="8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53530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5353050" cy="8890"/>
                    </a:xfrm>
                    <a:prstGeom prst="rect">
                      <a:avLst/>
                    </a:prstGeom>
                    <a:noFill/>
                  </pic:spPr>
                </pic:pic>
              </a:graphicData>
            </a:graphic>
          </wp:anchor>
        </w:drawing>
      </w:r>
    </w:p>
    <w:p>
      <w:pPr>
        <w:ind w:left="1260" w:right="280" w:hanging="499"/>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 </w:t>
      </w:r>
      <w:hyperlink r:id="rId173">
        <w:r>
          <w:rPr>
            <w:rFonts w:ascii="Times New Roman" w:cs="Times New Roman" w:eastAsia="Times New Roman" w:hAnsi="Times New Roman"/>
            <w:sz w:val="17"/>
            <w:szCs w:val="17"/>
            <w:u w:val="single" w:color="auto"/>
            <w:color w:val="0000FF"/>
          </w:rPr>
          <w:t>Non-Qualified Stock Option Grant Notice and Award Agreement (incorporated by reference to Exhibit 10.4 to the Company’s Annual</w:t>
        </w:r>
      </w:hyperlink>
      <w:r>
        <w:rPr>
          <w:rFonts w:ascii="Times New Roman" w:cs="Times New Roman" w:eastAsia="Times New Roman" w:hAnsi="Times New Roman"/>
          <w:sz w:val="17"/>
          <w:szCs w:val="17"/>
          <w:color w:val="auto"/>
        </w:rPr>
        <w:t xml:space="preserve"> </w:t>
      </w:r>
      <w:hyperlink r:id="rId173">
        <w:r>
          <w:rPr>
            <w:rFonts w:ascii="Times New Roman" w:cs="Times New Roman" w:eastAsia="Times New Roman" w:hAnsi="Times New Roman"/>
            <w:sz w:val="17"/>
            <w:szCs w:val="17"/>
            <w:u w:val="single" w:color="auto"/>
            <w:color w:val="0000FF"/>
          </w:rPr>
          <w:t>Report on Form 10-K filed 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1772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617728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21958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2195830" cy="8890"/>
                    </a:xfrm>
                    <a:prstGeom prst="rect">
                      <a:avLst/>
                    </a:prstGeom>
                    <a:noFill/>
                  </pic:spPr>
                </pic:pic>
              </a:graphicData>
            </a:graphic>
          </wp:anchor>
        </w:drawing>
      </w:r>
    </w:p>
    <w:p>
      <w:pPr>
        <w:ind w:left="1260" w:right="366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 </w:t>
      </w:r>
      <w:hyperlink r:id="rId176">
        <w:r>
          <w:rPr>
            <w:rFonts w:ascii="Times New Roman" w:cs="Times New Roman" w:eastAsia="Times New Roman" w:hAnsi="Times New Roman"/>
            <w:sz w:val="17"/>
            <w:szCs w:val="17"/>
            <w:u w:val="single" w:color="auto"/>
            <w:color w:val="0000FF"/>
          </w:rPr>
          <w:t>Form of Performance-Based Restricted Stock Unit Award Agreement under the</w:t>
        </w:r>
      </w:hyperlink>
      <w:r>
        <w:rPr>
          <w:rFonts w:ascii="Times New Roman" w:cs="Times New Roman" w:eastAsia="Times New Roman" w:hAnsi="Times New Roman"/>
          <w:sz w:val="17"/>
          <w:szCs w:val="17"/>
          <w:color w:val="auto"/>
        </w:rPr>
        <w:t xml:space="preserve"> </w:t>
      </w:r>
      <w:hyperlink r:id="rId176">
        <w:r>
          <w:rPr>
            <w:rFonts w:ascii="Times New Roman" w:cs="Times New Roman" w:eastAsia="Times New Roman" w:hAnsi="Times New Roman"/>
            <w:sz w:val="17"/>
            <w:szCs w:val="17"/>
            <w:u w:val="single" w:color="auto"/>
            <w:color w:val="0000FF"/>
          </w:rPr>
          <w:t>Larimar Therapeutics, Inc. 2020 Equity Incentive Plan (incorporated by reference to</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Exhibit 10.1 to the Company’s Current Report on Form 8-K filed on January 27, 2025).</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796290</wp:posOffset>
            </wp:positionH>
            <wp:positionV relativeFrom="paragraph">
              <wp:posOffset>-296545</wp:posOffset>
            </wp:positionV>
            <wp:extent cx="36455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364553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-159385</wp:posOffset>
            </wp:positionV>
            <wp:extent cx="38512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385127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40081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4008120" cy="8890"/>
                    </a:xfrm>
                    <a:prstGeom prst="rect">
                      <a:avLst/>
                    </a:prstGeom>
                    <a:noFill/>
                  </pic:spPr>
                </pic:pic>
              </a:graphicData>
            </a:graphic>
          </wp:anchor>
        </w:drawing>
      </w:r>
    </w:p>
    <w:p>
      <w:pPr>
        <w:ind w:left="1260" w:right="10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 </w:t>
      </w:r>
      <w:hyperlink r:id="rId180">
        <w:r>
          <w:rPr>
            <w:rFonts w:ascii="Times New Roman" w:cs="Times New Roman" w:eastAsia="Times New Roman" w:hAnsi="Times New Roman"/>
            <w:sz w:val="17"/>
            <w:szCs w:val="17"/>
            <w:u w:val="single" w:color="auto"/>
            <w:color w:val="0000FF"/>
          </w:rPr>
          <w:t>Registration Rights Agreement, dated as of June 1, 2020, by and among the Company and certain Investors (incorporated by reference to</w:t>
        </w:r>
      </w:hyperlink>
      <w:r>
        <w:rPr>
          <w:rFonts w:ascii="Times New Roman" w:cs="Times New Roman" w:eastAsia="Times New Roman" w:hAnsi="Times New Roman"/>
          <w:sz w:val="17"/>
          <w:szCs w:val="17"/>
          <w:color w:val="auto"/>
        </w:rPr>
        <w:t xml:space="preserve"> </w:t>
      </w:r>
      <w:hyperlink r:id="rId180">
        <w:r>
          <w:rPr>
            <w:rFonts w:ascii="Times New Roman" w:cs="Times New Roman" w:eastAsia="Times New Roman" w:hAnsi="Times New Roman"/>
            <w:sz w:val="17"/>
            <w:szCs w:val="17"/>
            <w:u w:val="single" w:color="auto"/>
            <w:color w:val="0000FF"/>
          </w:rPr>
          <w:t>Exhibit 10.2 of the Company’s Current Report on Form 8-K filed on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2947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629475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38112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3811270" cy="8255"/>
                    </a:xfrm>
                    <a:prstGeom prst="rect">
                      <a:avLst/>
                    </a:prstGeom>
                    <a:noFill/>
                  </pic:spPr>
                </pic:pic>
              </a:graphicData>
            </a:graphic>
          </wp:anchor>
        </w:drawing>
      </w:r>
    </w:p>
    <w:p>
      <w:pPr>
        <w:ind w:left="1260" w:right="100" w:hanging="413"/>
        <w:spacing w:after="0" w:line="295"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10.7 </w:t>
      </w:r>
      <w:hyperlink r:id="rId183">
        <w:r>
          <w:rPr>
            <w:rFonts w:ascii="Times New Roman" w:cs="Times New Roman" w:eastAsia="Times New Roman" w:hAnsi="Times New Roman"/>
            <w:sz w:val="17"/>
            <w:szCs w:val="17"/>
            <w:u w:val="single" w:color="auto"/>
            <w:color w:val="0000EE"/>
          </w:rPr>
          <w:t>Registration Rights Agreement, dated as of June 8, 2020, by and among the Company and certain Investors (incorporated by reference to</w:t>
        </w:r>
      </w:hyperlink>
      <w:r>
        <w:rPr>
          <w:rFonts w:ascii="Times New Roman" w:cs="Times New Roman" w:eastAsia="Times New Roman" w:hAnsi="Times New Roman"/>
          <w:sz w:val="17"/>
          <w:szCs w:val="17"/>
          <w:color w:val="auto"/>
        </w:rPr>
        <w:t xml:space="preserve"> </w:t>
      </w:r>
      <w:hyperlink r:id="rId183">
        <w:r>
          <w:rPr>
            <w:rFonts w:ascii="Times New Roman" w:cs="Times New Roman" w:eastAsia="Times New Roman" w:hAnsi="Times New Roman"/>
            <w:sz w:val="17"/>
            <w:szCs w:val="17"/>
            <w:u w:val="single" w:color="auto"/>
            <w:color w:val="0000EE"/>
          </w:rPr>
          <w:t>Exhibit 10.3 of the Company’s Registration Statement on Form S-3 filed on June 26, 2020).</w:t>
        </w:r>
      </w:hyperlink>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3" w:name="page104"/>
    <w:bookmarkEnd w:id="103"/>
    <w:p>
      <w:pPr>
        <w:ind w:left="600" w:right="60" w:hanging="413"/>
        <w:spacing w:after="0" w:line="276"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10.8 </w:t>
      </w:r>
      <w:hyperlink r:id="rId185">
        <w:r>
          <w:rPr>
            <w:rFonts w:ascii="Times New Roman" w:cs="Times New Roman" w:eastAsia="Times New Roman" w:hAnsi="Times New Roman"/>
            <w:sz w:val="17"/>
            <w:szCs w:val="17"/>
            <w:u w:val="single" w:color="auto"/>
            <w:color w:val="0000EE"/>
          </w:rPr>
          <w:t>Form of Indemnification Agreement between the Company and its directors (incorporated by reference to Exhibit 10.3 of the Company’s</w:t>
        </w:r>
      </w:hyperlink>
      <w:r>
        <w:rPr>
          <w:rFonts w:ascii="Times New Roman" w:cs="Times New Roman" w:eastAsia="Times New Roman" w:hAnsi="Times New Roman"/>
          <w:sz w:val="17"/>
          <w:szCs w:val="17"/>
          <w:color w:val="auto"/>
        </w:rPr>
        <w:t xml:space="preserve"> </w:t>
      </w:r>
      <w:hyperlink r:id="rId185">
        <w:r>
          <w:rPr>
            <w:rFonts w:ascii="Times New Roman" w:cs="Times New Roman" w:eastAsia="Times New Roman" w:hAnsi="Times New Roman"/>
            <w:sz w:val="17"/>
            <w:szCs w:val="17"/>
            <w:u w:val="single" w:color="auto"/>
            <w:color w:val="0000EE"/>
          </w:rPr>
          <w:t>Current Report on Form 8-K filed on June 2, 2020).</w:t>
        </w:r>
      </w:hyperlink>
    </w:p>
    <w:p>
      <w:pPr>
        <w:ind w:left="600" w:right="48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10.9 </w:t>
      </w:r>
      <w:hyperlink r:id="rId186">
        <w:r>
          <w:rPr>
            <w:rFonts w:ascii="Times New Roman" w:cs="Times New Roman" w:eastAsia="Times New Roman" w:hAnsi="Times New Roman"/>
            <w:sz w:val="17"/>
            <w:szCs w:val="17"/>
            <w:u w:val="single" w:color="auto"/>
            <w:color w:val="0000FF"/>
          </w:rPr>
          <w:t>Employment Agreement, dated July 31, 2020, by and between the Company and Carole Ben-Maimon (incorporated by reference to</w:t>
        </w:r>
      </w:hyperlink>
      <w:r>
        <w:rPr>
          <w:rFonts w:ascii="Times New Roman" w:cs="Times New Roman" w:eastAsia="Times New Roman" w:hAnsi="Times New Roman"/>
          <w:sz w:val="17"/>
          <w:szCs w:val="17"/>
          <w:color w:val="auto"/>
        </w:rPr>
        <w:t xml:space="preserve"> </w:t>
      </w:r>
      <w:hyperlink r:id="rId186">
        <w:r>
          <w:rPr>
            <w:rFonts w:ascii="Times New Roman" w:cs="Times New Roman" w:eastAsia="Times New Roman" w:hAnsi="Times New Roman"/>
            <w:sz w:val="17"/>
            <w:szCs w:val="17"/>
            <w:u w:val="single" w:color="auto"/>
            <w:color w:val="0000FF"/>
          </w:rPr>
          <w:t>Exhibit 10.1 of the Company’s Current Report on Form 8-K filed on August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-159385</wp:posOffset>
            </wp:positionV>
            <wp:extent cx="60439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6043930" cy="889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-22225</wp:posOffset>
            </wp:positionV>
            <wp:extent cx="39319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3931920" cy="8255"/>
                    </a:xfrm>
                    <a:prstGeom prst="rect">
                      <a:avLst/>
                    </a:prstGeom>
                    <a:noFill/>
                  </pic:spPr>
                </pic:pic>
              </a:graphicData>
            </a:graphic>
          </wp:anchor>
        </w:drawing>
      </w: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10.10  </w:t>
      </w:r>
      <w:hyperlink r:id="rId189">
        <w:r>
          <w:rPr>
            <w:rFonts w:ascii="Times New Roman" w:cs="Times New Roman" w:eastAsia="Times New Roman" w:hAnsi="Times New Roman"/>
            <w:sz w:val="17"/>
            <w:szCs w:val="17"/>
            <w:u w:val="single" w:color="auto"/>
            <w:color w:val="0000EE"/>
          </w:rPr>
          <w:t>Employment Agreement, dated June 1, 2020, by and between the Company and Michael Celano (incorporated by reference to Exhibit</w:t>
        </w:r>
      </w:hyperlink>
    </w:p>
    <w:p>
      <w:pPr>
        <w:spacing w:after="0" w:line="24" w:lineRule="exact"/>
        <w:rPr>
          <w:sz w:val="20"/>
          <w:szCs w:val="20"/>
          <w:color w:val="auto"/>
        </w:rPr>
      </w:pPr>
    </w:p>
    <w:p>
      <w:pPr>
        <w:ind w:left="600"/>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10.4 of the Company’s Current Report on Form 8-K filed on June 2, 2020).</w:t>
        </w:r>
      </w:hyperlink>
    </w:p>
    <w:p>
      <w:pPr>
        <w:spacing w:after="0" w:line="5" w:lineRule="exact"/>
        <w:rPr>
          <w:sz w:val="20"/>
          <w:szCs w:val="20"/>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10.11  </w:t>
      </w:r>
      <w:hyperlink r:id="rId190">
        <w:r>
          <w:rPr>
            <w:rFonts w:ascii="Times New Roman" w:cs="Times New Roman" w:eastAsia="Times New Roman" w:hAnsi="Times New Roman"/>
            <w:sz w:val="17"/>
            <w:szCs w:val="17"/>
            <w:u w:val="single" w:color="auto"/>
            <w:color w:val="0000FF"/>
          </w:rPr>
          <w:t>Employment Agreement, dated February 7, 2023, by and between the Company and Gopi Shankar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-9525</wp:posOffset>
            </wp:positionV>
            <wp:extent cx="62630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6263005" cy="8255"/>
                    </a:xfrm>
                    <a:prstGeom prst="rect">
                      <a:avLst/>
                    </a:prstGeom>
                    <a:noFill/>
                  </pic:spPr>
                </pic:pic>
              </a:graphicData>
            </a:graphic>
          </wp:anchor>
        </w:drawing>
      </w:r>
    </w:p>
    <w:p>
      <w:pPr>
        <w:spacing w:after="0" w:line="4" w:lineRule="exact"/>
        <w:rPr>
          <w:sz w:val="20"/>
          <w:szCs w:val="20"/>
          <w:color w:val="auto"/>
        </w:rPr>
      </w:pPr>
    </w:p>
    <w:p>
      <w:pPr>
        <w:ind w:left="600"/>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10.10 of the Company’s Annual Report on Form 10-K filed on March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-19050</wp:posOffset>
            </wp:positionV>
            <wp:extent cx="36937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10.12  </w:t>
      </w:r>
      <w:hyperlink r:id="rId193">
        <w:r>
          <w:rPr>
            <w:rFonts w:ascii="Times New Roman" w:cs="Times New Roman" w:eastAsia="Times New Roman" w:hAnsi="Times New Roman"/>
            <w:sz w:val="17"/>
            <w:szCs w:val="17"/>
            <w:u w:val="single" w:color="auto"/>
            <w:color w:val="0000FF"/>
          </w:rPr>
          <w:t>Employment Agreement dated May 23, 2023, by and between the Company and Russell Clayton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-9525</wp:posOffset>
            </wp:positionV>
            <wp:extent cx="61836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6183630" cy="8890"/>
                    </a:xfrm>
                    <a:prstGeom prst="rect">
                      <a:avLst/>
                    </a:prstGeom>
                    <a:noFill/>
                  </pic:spPr>
                </pic:pic>
              </a:graphicData>
            </a:graphic>
          </wp:anchor>
        </w:drawing>
      </w:r>
    </w:p>
    <w:p>
      <w:pPr>
        <w:spacing w:after="0" w:line="4" w:lineRule="exact"/>
        <w:rPr>
          <w:sz w:val="20"/>
          <w:szCs w:val="20"/>
          <w:color w:val="auto"/>
        </w:rPr>
      </w:pPr>
    </w:p>
    <w:p>
      <w:pPr>
        <w:ind w:left="600"/>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10.1 of the Company’s Quarterly Report on Form 10-Q filed on August 10,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-19050</wp:posOffset>
            </wp:positionV>
            <wp:extent cx="37699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3769995" cy="8255"/>
                    </a:xfrm>
                    <a:prstGeom prst="rect">
                      <a:avLst/>
                    </a:prstGeom>
                    <a:noFill/>
                  </pic:spPr>
                </pic:pic>
              </a:graphicData>
            </a:graphic>
          </wp:anchor>
        </w:drawing>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10.13#  </w:t>
      </w:r>
      <w:hyperlink r:id="rId196">
        <w:r>
          <w:rPr>
            <w:rFonts w:ascii="Times New Roman" w:cs="Times New Roman" w:eastAsia="Times New Roman" w:hAnsi="Times New Roman"/>
            <w:sz w:val="17"/>
            <w:szCs w:val="17"/>
            <w:u w:val="single" w:color="auto"/>
            <w:color w:val="0000FF"/>
          </w:rPr>
          <w:t>License Agreement, by and between the Company and Wake Forest University Health Sciences, effective as of November 30,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-9525</wp:posOffset>
            </wp:positionV>
            <wp:extent cx="60820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6082030" cy="8255"/>
                    </a:xfrm>
                    <a:prstGeom prst="rect">
                      <a:avLst/>
                    </a:prstGeom>
                    <a:noFill/>
                  </pic:spPr>
                </pic:pic>
              </a:graphicData>
            </a:graphic>
          </wp:anchor>
        </w:drawing>
      </w:r>
    </w:p>
    <w:p>
      <w:pPr>
        <w:spacing w:after="0" w:line="4" w:lineRule="exact"/>
        <w:rPr>
          <w:sz w:val="20"/>
          <w:szCs w:val="20"/>
          <w:color w:val="auto"/>
        </w:rPr>
      </w:pPr>
    </w:p>
    <w:p>
      <w:pPr>
        <w:ind w:left="60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(incorporated by reference to Exhibit 10.6 of the Company’s Quarterly Report on Form 10-Q filed on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-19050</wp:posOffset>
            </wp:positionV>
            <wp:extent cx="54921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5492115" cy="8255"/>
                    </a:xfrm>
                    <a:prstGeom prst="rect">
                      <a:avLst/>
                    </a:prstGeom>
                    <a:noFill/>
                  </pic:spPr>
                </pic:pic>
              </a:graphicData>
            </a:graphic>
          </wp:anchor>
        </w:drawing>
      </w:r>
    </w:p>
    <w:p>
      <w:pPr>
        <w:ind w:left="600" w:right="320" w:hanging="584"/>
        <w:spacing w:after="0" w:line="290"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10.14# </w:t>
      </w:r>
      <w:hyperlink r:id="rId199">
        <w:r>
          <w:rPr>
            <w:rFonts w:ascii="Times New Roman" w:cs="Times New Roman" w:eastAsia="Times New Roman" w:hAnsi="Times New Roman"/>
            <w:sz w:val="17"/>
            <w:szCs w:val="17"/>
            <w:u w:val="single" w:color="auto"/>
            <w:color w:val="0000FF"/>
          </w:rPr>
          <w:t>Amendment 1 to License Agreement, by and between the Company and Wake Forest University Health Sciences, effective as of</w:t>
        </w:r>
      </w:hyperlink>
      <w:r>
        <w:rPr>
          <w:rFonts w:ascii="Times New Roman" w:cs="Times New Roman" w:eastAsia="Times New Roman" w:hAnsi="Times New Roman"/>
          <w:sz w:val="17"/>
          <w:szCs w:val="17"/>
          <w:color w:val="auto"/>
        </w:rPr>
        <w:t xml:space="preserve"> </w:t>
      </w:r>
      <w:hyperlink r:id="rId199">
        <w:r>
          <w:rPr>
            <w:rFonts w:ascii="Times New Roman" w:cs="Times New Roman" w:eastAsia="Times New Roman" w:hAnsi="Times New Roman"/>
            <w:sz w:val="17"/>
            <w:szCs w:val="17"/>
            <w:u w:val="single" w:color="auto"/>
            <w:color w:val="0000FF"/>
          </w:rPr>
          <w:t>November 28, 2017 (incorporated by reference to Exhibit 10.7 of the Company’s Quarterly Report on Form 10-Q filed on August 14,</w:t>
        </w:r>
      </w:hyperlink>
      <w:r>
        <w:rPr>
          <w:rFonts w:ascii="Times New Roman" w:cs="Times New Roman" w:eastAsia="Times New Roman" w:hAnsi="Times New Roman"/>
          <w:sz w:val="17"/>
          <w:szCs w:val="17"/>
          <w:u w:val="single" w:color="auto"/>
          <w:color w:val="0000FF"/>
        </w:rPr>
        <w:t xml:space="preserve"> </w:t>
      </w:r>
      <w:hyperlink r:id="rId199">
        <w:r>
          <w:rPr>
            <w:rFonts w:ascii="Times New Roman" w:cs="Times New Roman" w:eastAsia="Times New Roman" w:hAnsi="Times New Roman"/>
            <w:sz w:val="17"/>
            <w:szCs w:val="17"/>
            <w:u w:val="single" w:color="auto"/>
            <w:color w:val="0000FF"/>
          </w:rPr>
          <w:t>2020).</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-185420</wp:posOffset>
            </wp:positionV>
            <wp:extent cx="5910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591058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-48260</wp:posOffset>
            </wp:positionV>
            <wp:extent cx="61366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6136640" cy="889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88265</wp:posOffset>
            </wp:positionV>
            <wp:extent cx="2952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15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10.15#  </w:t>
      </w:r>
      <w:hyperlink r:id="rId203">
        <w:r>
          <w:rPr>
            <w:rFonts w:ascii="Times New Roman" w:cs="Times New Roman" w:eastAsia="Times New Roman" w:hAnsi="Times New Roman"/>
            <w:sz w:val="17"/>
            <w:szCs w:val="17"/>
            <w:u w:val="single" w:color="auto"/>
            <w:color w:val="0000FF"/>
          </w:rPr>
          <w:t>Amendment 2 to License Agreement, by and between the Company and Wake Forest University Health Sciences, effective as of March</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-9525</wp:posOffset>
            </wp:positionV>
            <wp:extent cx="62376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6237605" cy="8255"/>
                    </a:xfrm>
                    <a:prstGeom prst="rect">
                      <a:avLst/>
                    </a:prstGeom>
                    <a:noFill/>
                  </pic:spPr>
                </pic:pic>
              </a:graphicData>
            </a:graphic>
          </wp:anchor>
        </w:drawing>
      </w:r>
    </w:p>
    <w:p>
      <w:pPr>
        <w:spacing w:after="0" w:line="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29, 2019 (incorporated by reference to Exhibit 10.8 of the Company’s Quarterly Report on Form 10-Q filed on August 14, 2020).</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-19050</wp:posOffset>
            </wp:positionV>
            <wp:extent cx="59207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ind w:left="600" w:right="320" w:hanging="584"/>
        <w:spacing w:after="0" w:line="290"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10.16# </w:t>
      </w:r>
      <w:hyperlink r:id="rId206">
        <w:r>
          <w:rPr>
            <w:rFonts w:ascii="Times New Roman" w:cs="Times New Roman" w:eastAsia="Times New Roman" w:hAnsi="Times New Roman"/>
            <w:sz w:val="17"/>
            <w:szCs w:val="17"/>
            <w:u w:val="single" w:color="auto"/>
            <w:color w:val="0000FF"/>
          </w:rPr>
          <w:t>License Agreement, by and between the Company and Indiana University Research and Technology Corporation, effective as of</w:t>
        </w:r>
      </w:hyperlink>
      <w:r>
        <w:rPr>
          <w:rFonts w:ascii="Times New Roman" w:cs="Times New Roman" w:eastAsia="Times New Roman" w:hAnsi="Times New Roman"/>
          <w:sz w:val="17"/>
          <w:szCs w:val="17"/>
          <w:color w:val="auto"/>
        </w:rPr>
        <w:t xml:space="preserve"> </w:t>
      </w:r>
      <w:hyperlink r:id="rId206">
        <w:r>
          <w:rPr>
            <w:rFonts w:ascii="Times New Roman" w:cs="Times New Roman" w:eastAsia="Times New Roman" w:hAnsi="Times New Roman"/>
            <w:sz w:val="17"/>
            <w:szCs w:val="17"/>
            <w:u w:val="single" w:color="auto"/>
            <w:color w:val="0000FF"/>
          </w:rPr>
          <w:t>November 30, 2016 (incorporated by reference to Exhibit 10.9 of the Company’s Quarterly Report on Form 10-Q filed on August 14,</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2020).</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-185420</wp:posOffset>
            </wp:positionV>
            <wp:extent cx="5910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591058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-48260</wp:posOffset>
            </wp:positionV>
            <wp:extent cx="61366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88265</wp:posOffset>
            </wp:positionV>
            <wp:extent cx="2952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156" w:lineRule="exact"/>
        <w:rPr>
          <w:rFonts w:ascii="Times New Roman" w:cs="Times New Roman" w:eastAsia="Times New Roman" w:hAnsi="Times New Roman"/>
          <w:sz w:val="17"/>
          <w:szCs w:val="17"/>
          <w:color w:val="auto"/>
        </w:rPr>
      </w:pPr>
    </w:p>
    <w:p>
      <w:pPr>
        <w:ind w:left="600" w:right="320" w:hanging="584"/>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10.17# </w:t>
      </w:r>
      <w:hyperlink r:id="rId210">
        <w:r>
          <w:rPr>
            <w:rFonts w:ascii="Times New Roman" w:cs="Times New Roman" w:eastAsia="Times New Roman" w:hAnsi="Times New Roman"/>
            <w:sz w:val="17"/>
            <w:szCs w:val="17"/>
            <w:u w:val="single" w:color="auto"/>
            <w:color w:val="0000FF"/>
          </w:rPr>
          <w:t>First Amendment to License Agreement, by and between the Company, the Trustee of Indiana University and Indiana University</w:t>
        </w:r>
      </w:hyperlink>
      <w:r>
        <w:rPr>
          <w:rFonts w:ascii="Times New Roman" w:cs="Times New Roman" w:eastAsia="Times New Roman" w:hAnsi="Times New Roman"/>
          <w:sz w:val="17"/>
          <w:szCs w:val="17"/>
          <w:color w:val="auto"/>
        </w:rPr>
        <w:t xml:space="preserve"> </w:t>
      </w:r>
      <w:hyperlink r:id="rId210">
        <w:r>
          <w:rPr>
            <w:rFonts w:ascii="Times New Roman" w:cs="Times New Roman" w:eastAsia="Times New Roman" w:hAnsi="Times New Roman"/>
            <w:sz w:val="17"/>
            <w:szCs w:val="17"/>
            <w:u w:val="single" w:color="auto"/>
            <w:color w:val="0000FF"/>
          </w:rPr>
          <w:t>Research and Technology Corporation, effective as of August 16, 2019 (incorporated by reference to Exhibit 10.10 of the Company’s</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Quarterly Report on Form 10-Q filed on August 14, 2020).</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-296545</wp:posOffset>
            </wp:positionV>
            <wp:extent cx="59334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593344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-159385</wp:posOffset>
            </wp:positionV>
            <wp:extent cx="61423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614235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-22225</wp:posOffset>
            </wp:positionV>
            <wp:extent cx="26943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2694305" cy="8255"/>
                    </a:xfrm>
                    <a:prstGeom prst="rect">
                      <a:avLst/>
                    </a:prstGeom>
                    <a:noFill/>
                  </pic:spPr>
                </pic:pic>
              </a:graphicData>
            </a:graphic>
          </wp:anchor>
        </w:drawing>
      </w: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10.18  </w:t>
      </w:r>
      <w:hyperlink r:id="rId214">
        <w:r>
          <w:rPr>
            <w:rFonts w:ascii="Times New Roman" w:cs="Times New Roman" w:eastAsia="Times New Roman" w:hAnsi="Times New Roman"/>
            <w:sz w:val="17"/>
            <w:szCs w:val="17"/>
            <w:u w:val="single" w:color="auto"/>
            <w:color w:val="0000FF"/>
          </w:rPr>
          <w:t>Second Amendment to License Agreement, by and between the Company and The Trustees of Indiana University, effective as of May 28,</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-9525</wp:posOffset>
            </wp:positionV>
            <wp:extent cx="63385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6338570" cy="8255"/>
                    </a:xfrm>
                    <a:prstGeom prst="rect">
                      <a:avLst/>
                    </a:prstGeom>
                    <a:noFill/>
                  </pic:spPr>
                </pic:pic>
              </a:graphicData>
            </a:graphic>
          </wp:anchor>
        </w:drawing>
      </w:r>
    </w:p>
    <w:p>
      <w:pPr>
        <w:spacing w:after="0" w:line="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2020 (incorporated by reference to Exhibit 10.1 to the Company’s Quarterly Report on Form 10-Q filed on August 11, 2022).</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-19050</wp:posOffset>
            </wp:positionV>
            <wp:extent cx="57429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5742940" cy="8255"/>
                    </a:xfrm>
                    <a:prstGeom prst="rect">
                      <a:avLst/>
                    </a:prstGeom>
                    <a:noFill/>
                  </pic:spPr>
                </pic:pic>
              </a:graphicData>
            </a:graphic>
          </wp:anchor>
        </w:drawing>
      </w: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10.19  </w:t>
      </w:r>
      <w:hyperlink r:id="rId217">
        <w:r>
          <w:rPr>
            <w:rFonts w:ascii="Times New Roman" w:cs="Times New Roman" w:eastAsia="Times New Roman" w:hAnsi="Times New Roman"/>
            <w:sz w:val="17"/>
            <w:szCs w:val="17"/>
            <w:u w:val="single" w:color="auto"/>
            <w:color w:val="0000FF"/>
          </w:rPr>
          <w:t>Third Amendment to License Agreement, by and between the Company and The Trustees of Indiana University, effective as of June 9,</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-9525</wp:posOffset>
            </wp:positionV>
            <wp:extent cx="62058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6205855" cy="8255"/>
                    </a:xfrm>
                    <a:prstGeom prst="rect">
                      <a:avLst/>
                    </a:prstGeom>
                    <a:noFill/>
                  </pic:spPr>
                </pic:pic>
              </a:graphicData>
            </a:graphic>
          </wp:anchor>
        </w:drawing>
      </w:r>
    </w:p>
    <w:p>
      <w:pPr>
        <w:spacing w:after="0" w:line="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2022 (incorporated by reference to Exhibit 10.2 to the Company’s Quarterly Report on Form 10-Q filed on August 11, 2022).</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-19050</wp:posOffset>
            </wp:positionV>
            <wp:extent cx="57429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5742940" cy="8890"/>
                    </a:xfrm>
                    <a:prstGeom prst="rect">
                      <a:avLst/>
                    </a:prstGeom>
                    <a:noFill/>
                  </pic:spPr>
                </pic:pic>
              </a:graphicData>
            </a:graphic>
          </wp:anchor>
        </w:drawing>
      </w:r>
    </w:p>
    <w:p>
      <w:pPr>
        <w:ind w:left="600" w:right="740" w:hanging="499"/>
        <w:spacing w:after="0" w:line="265"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10.20 </w:t>
      </w:r>
      <w:hyperlink r:id="rId220">
        <w:r>
          <w:rPr>
            <w:rFonts w:ascii="Times New Roman" w:cs="Times New Roman" w:eastAsia="Times New Roman" w:hAnsi="Times New Roman"/>
            <w:sz w:val="17"/>
            <w:szCs w:val="17"/>
            <w:u w:val="single" w:color="auto"/>
            <w:color w:val="0000EE"/>
          </w:rPr>
          <w:t>Notice of Substitute Option Grant between the Company and a certain Optionee (incorporated by reference to Exhibit 4.5 of the</w:t>
        </w:r>
      </w:hyperlink>
      <w:r>
        <w:rPr>
          <w:rFonts w:ascii="Times New Roman" w:cs="Times New Roman" w:eastAsia="Times New Roman" w:hAnsi="Times New Roman"/>
          <w:sz w:val="17"/>
          <w:szCs w:val="17"/>
          <w:color w:val="auto"/>
        </w:rPr>
        <w:t xml:space="preserve"> </w:t>
      </w:r>
      <w:hyperlink r:id="rId220">
        <w:r>
          <w:rPr>
            <w:rFonts w:ascii="Times New Roman" w:cs="Times New Roman" w:eastAsia="Times New Roman" w:hAnsi="Times New Roman"/>
            <w:sz w:val="17"/>
            <w:szCs w:val="17"/>
            <w:u w:val="single" w:color="auto"/>
            <w:color w:val="0000EE"/>
          </w:rPr>
          <w:t>Company’s Registration Statement on Form S-8 filed on June 26, 2020).</w:t>
        </w:r>
      </w:hyperlink>
    </w:p>
    <w:p>
      <w:pPr>
        <w:ind w:left="600" w:right="40" w:hanging="499"/>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10.21 </w:t>
      </w:r>
      <w:hyperlink r:id="rId221">
        <w:r>
          <w:rPr>
            <w:rFonts w:ascii="Times New Roman" w:cs="Times New Roman" w:eastAsia="Times New Roman" w:hAnsi="Times New Roman"/>
            <w:sz w:val="17"/>
            <w:szCs w:val="17"/>
            <w:u w:val="single" w:color="auto"/>
            <w:color w:val="0000FF"/>
          </w:rPr>
          <w:t>Lease, dated as of August 8, 2019, by and between Larimar Therapeutics, Inc. and Bala Plaza Property, Inc. (incorporated by reference to</w:t>
        </w:r>
      </w:hyperlink>
      <w:r>
        <w:rPr>
          <w:rFonts w:ascii="Times New Roman" w:cs="Times New Roman" w:eastAsia="Times New Roman" w:hAnsi="Times New Roman"/>
          <w:sz w:val="17"/>
          <w:szCs w:val="17"/>
          <w:color w:val="auto"/>
        </w:rPr>
        <w:t xml:space="preserve"> </w:t>
      </w:r>
      <w:hyperlink r:id="rId221">
        <w:r>
          <w:rPr>
            <w:rFonts w:ascii="Times New Roman" w:cs="Times New Roman" w:eastAsia="Times New Roman" w:hAnsi="Times New Roman"/>
            <w:sz w:val="17"/>
            <w:szCs w:val="17"/>
            <w:u w:val="single" w:color="auto"/>
            <w:color w:val="0000FF"/>
          </w:rPr>
          <w:t>Exhibit 10.20 to the Company’s Form 10-K filed 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-159385</wp:posOffset>
            </wp:positionV>
            <wp:extent cx="63163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6316345" cy="889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-22225</wp:posOffset>
            </wp:positionV>
            <wp:extent cx="32048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ind w:left="600" w:right="460" w:hanging="499"/>
        <w:spacing w:after="0" w:line="24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10.22 </w:t>
      </w:r>
      <w:hyperlink r:id="rId224">
        <w:r>
          <w:rPr>
            <w:rFonts w:ascii="Times New Roman" w:cs="Times New Roman" w:eastAsia="Times New Roman" w:hAnsi="Times New Roman"/>
            <w:sz w:val="17"/>
            <w:szCs w:val="17"/>
            <w:u w:val="single" w:color="auto"/>
            <w:color w:val="0000FF"/>
          </w:rPr>
          <w:t>First Amendment to Lease, dated as of March 9, 2023, by and between the Company and Bala Plaza Property, Inc. (incorporated by</w:t>
        </w:r>
      </w:hyperlink>
      <w:r>
        <w:rPr>
          <w:rFonts w:ascii="Times New Roman" w:cs="Times New Roman" w:eastAsia="Times New Roman" w:hAnsi="Times New Roman"/>
          <w:sz w:val="17"/>
          <w:szCs w:val="17"/>
          <w:color w:val="auto"/>
        </w:rPr>
        <w:t xml:space="preserve"> </w:t>
      </w:r>
      <w:hyperlink r:id="rId224">
        <w:r>
          <w:rPr>
            <w:rFonts w:ascii="Times New Roman" w:cs="Times New Roman" w:eastAsia="Times New Roman" w:hAnsi="Times New Roman"/>
            <w:sz w:val="17"/>
            <w:szCs w:val="17"/>
            <w:u w:val="single" w:color="auto"/>
            <w:color w:val="0000FF"/>
          </w:rPr>
          <w:t>reference to Exhibit 10.21 to the Company’s Form 10-K filed 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-137160</wp:posOffset>
            </wp:positionV>
            <wp:extent cx="60566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6056630" cy="889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0</wp:posOffset>
            </wp:positionV>
            <wp:extent cx="37757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3775710" cy="8890"/>
                    </a:xfrm>
                    <a:prstGeom prst="rect">
                      <a:avLst/>
                    </a:prstGeom>
                    <a:noFill/>
                  </pic:spPr>
                </pic:pic>
              </a:graphicData>
            </a:graphic>
          </wp:anchor>
        </w:drawing>
      </w:r>
    </w:p>
    <w:p>
      <w:pPr>
        <w:ind w:left="600" w:right="20" w:hanging="567"/>
        <w:spacing w:after="0" w:line="21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27">
        <w:r>
          <w:rPr>
            <w:rFonts w:ascii="Times New Roman" w:cs="Times New Roman" w:eastAsia="Times New Roman" w:hAnsi="Times New Roman"/>
            <w:sz w:val="17"/>
            <w:szCs w:val="17"/>
            <w:u w:val="single" w:color="auto"/>
            <w:color w:val="0000FF"/>
          </w:rPr>
          <w:t>Commercial Lease by and between the Company and Shigo Center Plaza Owner, LLC dated as of February 12, 2019 (incorporated herein</w:t>
        </w:r>
      </w:hyperlink>
      <w:r>
        <w:rPr>
          <w:rFonts w:ascii="Times New Roman" w:cs="Times New Roman" w:eastAsia="Times New Roman" w:hAnsi="Times New Roman"/>
          <w:sz w:val="17"/>
          <w:szCs w:val="17"/>
          <w:color w:val="auto"/>
        </w:rPr>
        <w:t xml:space="preserve"> </w:t>
      </w:r>
      <w:hyperlink r:id="rId227">
        <w:r>
          <w:rPr>
            <w:rFonts w:ascii="Times New Roman" w:cs="Times New Roman" w:eastAsia="Times New Roman" w:hAnsi="Times New Roman"/>
            <w:sz w:val="17"/>
            <w:szCs w:val="17"/>
            <w:u w:val="single" w:color="auto"/>
            <w:color w:val="0000FF"/>
          </w:rPr>
          <w:t>by reference to Exhibit 10.4 of the Registrant’s Form 10-Q filed on May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-135890</wp:posOffset>
            </wp:positionV>
            <wp:extent cx="63360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633603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635</wp:posOffset>
            </wp:positionV>
            <wp:extent cx="37185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3718560" cy="8890"/>
                    </a:xfrm>
                    <a:prstGeom prst="rect">
                      <a:avLst/>
                    </a:prstGeom>
                    <a:noFill/>
                  </pic:spPr>
                </pic:pic>
              </a:graphicData>
            </a:graphic>
          </wp:anchor>
        </w:drawing>
      </w:r>
    </w:p>
    <w:p>
      <w:pPr>
        <w:ind w:left="600" w:right="680" w:hanging="567"/>
        <w:spacing w:after="0" w:line="21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30">
        <w:r>
          <w:rPr>
            <w:rFonts w:ascii="Times New Roman" w:cs="Times New Roman" w:eastAsia="Times New Roman" w:hAnsi="Times New Roman"/>
            <w:sz w:val="17"/>
            <w:szCs w:val="17"/>
            <w:u w:val="single" w:color="auto"/>
            <w:color w:val="0000FF"/>
          </w:rPr>
          <w:t>Sublease, dated October 27, 2020 by and between the Company and Massachusetts Municipal Association, Inc. (incorporated by</w:t>
        </w:r>
      </w:hyperlink>
      <w:r>
        <w:rPr>
          <w:rFonts w:ascii="Times New Roman" w:cs="Times New Roman" w:eastAsia="Times New Roman" w:hAnsi="Times New Roman"/>
          <w:sz w:val="17"/>
          <w:szCs w:val="17"/>
          <w:color w:val="auto"/>
        </w:rPr>
        <w:t xml:space="preserve"> </w:t>
      </w:r>
      <w:hyperlink r:id="rId230">
        <w:r>
          <w:rPr>
            <w:rFonts w:ascii="Times New Roman" w:cs="Times New Roman" w:eastAsia="Times New Roman" w:hAnsi="Times New Roman"/>
            <w:sz w:val="17"/>
            <w:szCs w:val="17"/>
            <w:u w:val="single" w:color="auto"/>
            <w:color w:val="0000FF"/>
          </w:rPr>
          <w:t>reference to Exhibit 10.1 to the Company’s Current Report on Form 8-K filed on October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-135890</wp:posOffset>
            </wp:positionV>
            <wp:extent cx="59175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591756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635</wp:posOffset>
            </wp:positionV>
            <wp:extent cx="45916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4591685" cy="8255"/>
                    </a:xfrm>
                    <a:prstGeom prst="rect">
                      <a:avLst/>
                    </a:prstGeom>
                    <a:noFill/>
                  </pic:spPr>
                </pic:pic>
              </a:graphicData>
            </a:graphic>
          </wp:anchor>
        </w:drawing>
      </w:r>
    </w:p>
    <w:p>
      <w:pPr>
        <w:ind w:left="600" w:right="260" w:hanging="567"/>
        <w:spacing w:after="0" w:line="21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33">
        <w:r>
          <w:rPr>
            <w:rFonts w:ascii="Times New Roman" w:cs="Times New Roman" w:eastAsia="Times New Roman" w:hAnsi="Times New Roman"/>
            <w:sz w:val="17"/>
            <w:szCs w:val="17"/>
            <w:u w:val="single" w:color="auto"/>
            <w:color w:val="0000FF"/>
          </w:rPr>
          <w:t>Master Services Agreement, dated as of September 20, 2017, by and between the Company and KBI Biopharma, Inc. (incorporated by</w:t>
        </w:r>
      </w:hyperlink>
      <w:r>
        <w:rPr>
          <w:rFonts w:ascii="Times New Roman" w:cs="Times New Roman" w:eastAsia="Times New Roman" w:hAnsi="Times New Roman"/>
          <w:sz w:val="17"/>
          <w:szCs w:val="17"/>
          <w:color w:val="auto"/>
        </w:rPr>
        <w:t xml:space="preserve"> </w:t>
      </w:r>
      <w:hyperlink r:id="rId233">
        <w:r>
          <w:rPr>
            <w:rFonts w:ascii="Times New Roman" w:cs="Times New Roman" w:eastAsia="Times New Roman" w:hAnsi="Times New Roman"/>
            <w:sz w:val="17"/>
            <w:szCs w:val="17"/>
            <w:u w:val="single" w:color="auto"/>
            <w:color w:val="0000FF"/>
          </w:rPr>
          <w:t>reference to Exhibit 10.1 to the Company’s Quarterly Report on Form 10-Q filed on May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-135890</wp:posOffset>
            </wp:positionV>
            <wp:extent cx="61836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6183630" cy="889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635</wp:posOffset>
            </wp:positionV>
            <wp:extent cx="45783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4578350" cy="8255"/>
                    </a:xfrm>
                    <a:prstGeom prst="rect">
                      <a:avLst/>
                    </a:prstGeom>
                    <a:noFill/>
                  </pic:spPr>
                </pic:pic>
              </a:graphicData>
            </a:graphic>
          </wp:anchor>
        </w:drawing>
      </w:r>
    </w:p>
    <w:p>
      <w:pPr>
        <w:ind w:left="20"/>
        <w:spacing w:after="0" w:line="22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10.26</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36">
        <w:r>
          <w:rPr>
            <w:rFonts w:ascii="Times New Roman" w:cs="Times New Roman" w:eastAsia="Times New Roman" w:hAnsi="Times New Roman"/>
            <w:sz w:val="17"/>
            <w:szCs w:val="17"/>
            <w:u w:val="single" w:color="auto"/>
            <w:color w:val="0000FF"/>
          </w:rPr>
          <w:t>First Amendment to Master Services Agreement, dated as of November 9, 2018, by and between the Company and KBI Biopharma,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-26035</wp:posOffset>
            </wp:positionV>
            <wp:extent cx="6282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6282690" cy="8255"/>
                    </a:xfrm>
                    <a:prstGeom prst="rect">
                      <a:avLst/>
                    </a:prstGeom>
                    <a:noFill/>
                  </pic:spPr>
                </pic:pic>
              </a:graphicData>
            </a:graphic>
          </wp:anchor>
        </w:drawing>
      </w:r>
    </w:p>
    <w:p>
      <w:pPr>
        <w:ind w:left="600"/>
        <w:spacing w:after="0" w:line="202" w:lineRule="auto"/>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(incorporated by reference to Exhibit 10.2 to the Company’s Quarterly Report on Form 10-Q filed on May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0</wp:posOffset>
            </wp:positionV>
            <wp:extent cx="53657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5365750" cy="8890"/>
                    </a:xfrm>
                    <a:prstGeom prst="rect">
                      <a:avLst/>
                    </a:prstGeom>
                    <a:noFill/>
                  </pic:spPr>
                </pic:pic>
              </a:graphicData>
            </a:graphic>
          </wp:anchor>
        </w:drawing>
      </w:r>
    </w:p>
    <w:p>
      <w:pPr>
        <w:ind w:left="600" w:right="120" w:hanging="567"/>
        <w:spacing w:after="0"/>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39">
        <w:r>
          <w:rPr>
            <w:rFonts w:ascii="Times New Roman" w:cs="Times New Roman" w:eastAsia="Times New Roman" w:hAnsi="Times New Roman"/>
            <w:sz w:val="17"/>
            <w:szCs w:val="17"/>
            <w:u w:val="single" w:color="auto"/>
            <w:color w:val="0000FF"/>
          </w:rPr>
          <w:t>Second Amendment to Master Services Agreement, dated as of September 20, 2022, by and between the Company and KBI Biopharma,</w:t>
        </w:r>
      </w:hyperlink>
      <w:r>
        <w:rPr>
          <w:rFonts w:ascii="Times New Roman" w:cs="Times New Roman" w:eastAsia="Times New Roman" w:hAnsi="Times New Roman"/>
          <w:sz w:val="17"/>
          <w:szCs w:val="17"/>
          <w:color w:val="auto"/>
        </w:rPr>
        <w:t xml:space="preserve"> </w:t>
      </w:r>
      <w:hyperlink r:id="rId239">
        <w:r>
          <w:rPr>
            <w:rFonts w:ascii="Times New Roman" w:cs="Times New Roman" w:eastAsia="Times New Roman" w:hAnsi="Times New Roman"/>
            <w:sz w:val="17"/>
            <w:szCs w:val="17"/>
            <w:u w:val="single" w:color="auto"/>
            <w:color w:val="0000FF"/>
          </w:rPr>
          <w:t>Inc. (incorporated by reference to Exhibit 10.23 to the Company’s Form 10-K filed on March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-161925</wp:posOffset>
            </wp:positionV>
            <wp:extent cx="62699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626999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-24765</wp:posOffset>
            </wp:positionV>
            <wp:extent cx="47371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4737100" cy="8255"/>
                    </a:xfrm>
                    <a:prstGeom prst="rect">
                      <a:avLst/>
                    </a:prstGeom>
                    <a:noFill/>
                  </pic:spPr>
                </pic:pic>
              </a:graphicData>
            </a:graphic>
          </wp:anchor>
        </w:drawing>
      </w:r>
    </w:p>
    <w:p>
      <w:pPr>
        <w:spacing w:after="0" w:line="39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980" w:top="1414" w:right="379" w:bottom="1440" w:gutter="0" w:footer="0" w:header="0"/>
        </w:sectPr>
      </w:pPr>
    </w:p>
    <w:bookmarkStart w:id="104" w:name="page105"/>
    <w:bookmarkEnd w:id="104"/>
    <w:p>
      <w:pPr>
        <w:ind w:left="1260" w:right="100" w:hanging="499"/>
        <w:spacing w:after="0" w:line="27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10.28 </w:t>
      </w:r>
      <w:hyperlink r:id="rId243">
        <w:r>
          <w:rPr>
            <w:rFonts w:ascii="Times New Roman" w:cs="Times New Roman" w:eastAsia="Times New Roman" w:hAnsi="Times New Roman"/>
            <w:sz w:val="17"/>
            <w:szCs w:val="17"/>
            <w:u w:val="single" w:color="auto"/>
            <w:color w:val="0000FF"/>
          </w:rPr>
          <w:t>Sales Agreement, dated as of May 9, 2024, by and between the Company and Guggenheim Securities, LLC (incorporated by reference to</w:t>
        </w:r>
      </w:hyperlink>
      <w:r>
        <w:rPr>
          <w:rFonts w:ascii="Times New Roman" w:cs="Times New Roman" w:eastAsia="Times New Roman" w:hAnsi="Times New Roman"/>
          <w:sz w:val="17"/>
          <w:szCs w:val="17"/>
          <w:color w:val="auto"/>
        </w:rPr>
        <w:t xml:space="preserve"> </w:t>
      </w:r>
      <w:hyperlink r:id="rId243">
        <w:r>
          <w:rPr>
            <w:rFonts w:ascii="Times New Roman" w:cs="Times New Roman" w:eastAsia="Times New Roman" w:hAnsi="Times New Roman"/>
            <w:sz w:val="17"/>
            <w:szCs w:val="17"/>
            <w:u w:val="single" w:color="auto"/>
            <w:color w:val="0000FF"/>
          </w:rPr>
          <w:t>Exhibit 10.1 to the Company's Quarterly Report on Form 10-Q filed on May 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3042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630428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39331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3933190" cy="825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p>
      <w:pPr>
        <w:jc w:val="right"/>
        <w:spacing w:after="0"/>
        <w:rPr>
          <w:sz w:val="20"/>
          <w:szCs w:val="20"/>
          <w:color w:val="auto"/>
        </w:rPr>
      </w:pPr>
      <w:r>
        <w:rPr>
          <w:rFonts w:ascii="Times New Roman" w:cs="Times New Roman" w:eastAsia="Times New Roman" w:hAnsi="Times New Roman"/>
          <w:sz w:val="17"/>
          <w:szCs w:val="17"/>
          <w:color w:val="auto"/>
        </w:rPr>
        <w:t>19.1*^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21.1*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23.1*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31.1*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31.2*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32.1**</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97.1</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101.SCH</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101.CAL</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101.LAB</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101.PRE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0566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Subsidiaries of Larimar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9577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Consent of PricewaterhouseCoopers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40868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40868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1883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1565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3156585" cy="8255"/>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u w:val="single" w:color="auto"/>
          <w:color w:val="0000FF"/>
        </w:rPr>
        <w:t>Section 1350 certification of the Principal Executive Officer and Principal Financial Officer, as adopted pursuant to Section 906 of the Sarbanes-Oxley Act of 2002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63373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22967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2296795" cy="8890"/>
                    </a:xfrm>
                    <a:prstGeom prst="rect">
                      <a:avLst/>
                    </a:prstGeom>
                    <a:noFill/>
                  </pic:spPr>
                </pic:pic>
              </a:graphicData>
            </a:graphic>
          </wp:anchor>
        </w:drawing>
      </w:r>
    </w:p>
    <w:p>
      <w:pPr>
        <w:ind w:right="20"/>
        <w:spacing w:after="0" w:line="250" w:lineRule="auto"/>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Larimar Therapeutics. Inc.’s Compensation Recovery Policy (incorporated by reference to Exhibit 97.1 to the Company's Form 10-K filed</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63385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63385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897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8" w:lineRule="exact"/>
        <w:rPr>
          <w:sz w:val="20"/>
          <w:szCs w:val="20"/>
          <w:color w:val="auto"/>
        </w:rPr>
      </w:pPr>
    </w:p>
    <w:p>
      <w:pPr>
        <w:sectPr>
          <w:pgSz w:w="11900" w:h="16838" w:orient="portrait"/>
          <w:cols w:equalWidth="0" w:num="2">
            <w:col w:w="1140" w:space="120"/>
            <w:col w:w="9980"/>
          </w:cols>
          <w:pgMar w:left="320" w:top="1414" w:right="339" w:bottom="1440" w:gutter="0" w:footer="0" w:header="0"/>
          <w:type w:val="continuous"/>
        </w:sectPr>
      </w:pPr>
    </w:p>
    <w:p>
      <w:pPr>
        <w:jc w:val="center"/>
        <w:ind w:right="878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type w:val="continuous"/>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1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20"/>
          </w:cols>
          <w:pgMar w:left="320" w:top="1413" w:right="359" w:bottom="1440" w:gutter="0" w:footer="0" w:header="0"/>
        </w:sectPr>
      </w:pPr>
    </w:p>
    <w:p>
      <w:pPr>
        <w:spacing w:after="0" w:line="18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399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2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Michael Celano</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Joseph Truitt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Joseph Truitt</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Thomas E.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Jonathan Leff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Jonathan Leff</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Jeffrey W. Sherman, M.D., FACP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Jeffrey W. Sherman, M.D., FACP</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Frank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Frank E. Thomas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300" w:type="dxa"/>
            <w:vAlign w:val="bottom"/>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7"/>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 (principal</w:t>
            </w:r>
          </w:p>
        </w:tc>
        <w:tc>
          <w:tcPr>
            <w:tcW w:w="30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c>
          <w:tcPr>
            <w:tcW w:w="0" w:type="dxa"/>
            <w:vAlign w:val="bottom"/>
          </w:tcPr>
          <w:p>
            <w:pPr>
              <w:spacing w:after="0"/>
              <w:rPr>
                <w:sz w:val="1"/>
                <w:szCs w:val="1"/>
                <w:color w:val="auto"/>
              </w:rPr>
            </w:pPr>
          </w:p>
        </w:tc>
      </w:tr>
      <w:tr>
        <w:trPr>
          <w:trHeight w:val="126"/>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executive officer)</w:t>
            </w:r>
          </w:p>
        </w:tc>
        <w:tc>
          <w:tcPr>
            <w:tcW w:w="3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7"/>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0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c>
          <w:tcPr>
            <w:tcW w:w="0" w:type="dxa"/>
            <w:vAlign w:val="bottom"/>
          </w:tcPr>
          <w:p>
            <w:pPr>
              <w:spacing w:after="0"/>
              <w:rPr>
                <w:sz w:val="1"/>
                <w:szCs w:val="1"/>
                <w:color w:val="auto"/>
              </w:rPr>
            </w:pPr>
          </w:p>
        </w:tc>
      </w:tr>
      <w:tr>
        <w:trPr>
          <w:trHeight w:val="126"/>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3"/>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Board of Directors</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c>
          <w:tcPr>
            <w:tcW w:w="0" w:type="dxa"/>
            <w:vAlign w:val="bottom"/>
          </w:tcPr>
          <w:p>
            <w:pPr>
              <w:spacing w:after="0"/>
              <w:rPr>
                <w:sz w:val="1"/>
                <w:szCs w:val="1"/>
                <w:color w:val="auto"/>
              </w:rPr>
            </w:pPr>
          </w:p>
        </w:tc>
      </w:tr>
      <w:tr>
        <w:trPr>
          <w:trHeight w:val="661"/>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c>
          <w:tcPr>
            <w:tcW w:w="0" w:type="dxa"/>
            <w:vAlign w:val="bottom"/>
          </w:tcPr>
          <w:p>
            <w:pPr>
              <w:spacing w:after="0"/>
              <w:rPr>
                <w:sz w:val="1"/>
                <w:szCs w:val="1"/>
                <w:color w:val="auto"/>
              </w:rPr>
            </w:pPr>
          </w:p>
        </w:tc>
      </w:tr>
      <w:tr>
        <w:trPr>
          <w:trHeight w:val="662"/>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c>
          <w:tcPr>
            <w:tcW w:w="0" w:type="dxa"/>
            <w:vAlign w:val="bottom"/>
          </w:tcPr>
          <w:p>
            <w:pPr>
              <w:spacing w:after="0"/>
              <w:rPr>
                <w:sz w:val="1"/>
                <w:szCs w:val="1"/>
                <w:color w:val="auto"/>
              </w:rPr>
            </w:pPr>
          </w:p>
        </w:tc>
      </w:tr>
      <w:tr>
        <w:trPr>
          <w:trHeight w:val="661"/>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c>
          <w:tcPr>
            <w:tcW w:w="0" w:type="dxa"/>
            <w:vAlign w:val="bottom"/>
          </w:tcPr>
          <w:p>
            <w:pPr>
              <w:spacing w:after="0"/>
              <w:rPr>
                <w:sz w:val="1"/>
                <w:szCs w:val="1"/>
                <w:color w:val="auto"/>
              </w:rPr>
            </w:pPr>
          </w:p>
        </w:tc>
      </w:tr>
      <w:tr>
        <w:trPr>
          <w:trHeight w:val="662"/>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3280" w:space="720"/>
            <w:col w:w="7220"/>
          </w:cols>
          <w:pgMar w:left="320" w:top="141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106" w:name="page107"/>
    <w:bookmarkEnd w:id="10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3"/>
        </w:trPr>
        <w:tc>
          <w:tcPr>
            <w:tcW w:w="55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5000" w:type="dxa"/>
            <w:vAlign w:val="bottom"/>
            <w:gridSpan w:val="4"/>
          </w:tcPr>
          <w:p>
            <w:pPr>
              <w:spacing w:after="0"/>
              <w:rPr>
                <w:sz w:val="22"/>
                <w:szCs w:val="22"/>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F-1</w:t>
            </w:r>
          </w:p>
        </w:tc>
      </w:tr>
      <w:tr>
        <w:trPr>
          <w:trHeight w:val="412"/>
        </w:trPr>
        <w:tc>
          <w:tcPr>
            <w:tcW w:w="10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0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2024 and 2023</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F-4</w:t>
            </w:r>
          </w:p>
        </w:tc>
      </w:tr>
      <w:tr>
        <w:trPr>
          <w:trHeight w:val="412"/>
        </w:trPr>
        <w:tc>
          <w:tcPr>
            <w:tcW w:w="828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2024 and 2023</w:t>
            </w:r>
          </w:p>
        </w:tc>
        <w:tc>
          <w:tcPr>
            <w:tcW w:w="228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648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and 2023</w:t>
            </w:r>
          </w:p>
        </w:tc>
        <w:tc>
          <w:tcPr>
            <w:tcW w:w="1460" w:type="dxa"/>
            <w:vAlign w:val="bottom"/>
            <w:tcBorders>
              <w:top w:val="single" w:sz="8" w:color="0000FF"/>
            </w:tcBorders>
          </w:tcPr>
          <w:p>
            <w:pPr>
              <w:spacing w:after="0"/>
              <w:rPr>
                <w:sz w:val="24"/>
                <w:szCs w:val="24"/>
                <w:color w:val="auto"/>
              </w:rPr>
            </w:pPr>
          </w:p>
        </w:tc>
        <w:tc>
          <w:tcPr>
            <w:tcW w:w="2620" w:type="dxa"/>
            <w:vAlign w:val="bottom"/>
            <w:gridSpan w:val="2"/>
          </w:tcPr>
          <w:p>
            <w:pPr>
              <w:spacing w:after="0"/>
              <w:rPr>
                <w:sz w:val="24"/>
                <w:szCs w:val="24"/>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F-6</w:t>
            </w:r>
          </w:p>
        </w:tc>
      </w:tr>
      <w:tr>
        <w:trPr>
          <w:trHeight w:val="412"/>
        </w:trPr>
        <w:tc>
          <w:tcPr>
            <w:tcW w:w="10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F-7</w:t>
            </w:r>
          </w:p>
        </w:tc>
      </w:tr>
      <w:tr>
        <w:trPr>
          <w:trHeight w:val="884"/>
        </w:trPr>
        <w:tc>
          <w:tcPr>
            <w:tcW w:w="3160" w:type="dxa"/>
            <w:vAlign w:val="bottom"/>
            <w:tcBorders>
              <w:top w:val="single" w:sz="8" w:color="0000FF"/>
            </w:tcBorders>
          </w:tcPr>
          <w:p>
            <w:pPr>
              <w:spacing w:after="0"/>
              <w:rPr>
                <w:sz w:val="24"/>
                <w:szCs w:val="24"/>
                <w:color w:val="auto"/>
              </w:rPr>
            </w:pPr>
          </w:p>
        </w:tc>
        <w:tc>
          <w:tcPr>
            <w:tcW w:w="33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106</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Larimar Therapeutics,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Larimar Therapeutics, Inc. and its subsidiary (the “Company”) as of December 31, 2024 and 2023, and the related consolidated statements of operations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will require additional financing to fund future operations. Management’s evaluation of the events and conditions and management’s plans to mitigate this matter are also described in Note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11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 recognizes external research and development costs based on an evaluation of the progress to completion of specific tasks using information provided to the Company by its key service providers. Within accrued expenses, total accrued research and development expenses amounted to $17.1 million as of December 31, 2024. Management’s process involves reviewing open contracts and purchase orders, communicating with personnel and outside vendors to identify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services that have been performed, and estimating the level of service performed and the associated costs incurred for the services when invoices or other notification of actual costs have not been received.</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accrued research and development expenses is a critical audit matter are (i) the significant judgment by management in developing the estimates of accrued research and development expenses and (ii) a high degree of auditor judgment, subjectivity and effort in performing procedures and evaluating audit evidence for these accrued research and development expenses related to management’s estimates of the level of service performed and the associated costs incurred for the services when invoices or other notification of actual costs have not yet been received.</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These procedures also included, among others; (i) testing management’s process for estimating accrued research and development expenses; (ii) evaluating the appropriateness of the method used by management to develop the estimate; (iii) testing the completeness and accuracy of the data used by management to develop the estimates related to the level of service performed and the associated costs incurred for the services when invoices or other notification of actual costs have not yet been received; (iv) evaluating the reasonableness of the estimated costs incurred for the services which have not been invoiced or other notification of actual costs have not yet been received, on a sample basis, by tracing to underlying supporting documentation, such as underlying contracts, invoices and information received from certain third party service vendors, where applicable, and; (v) testing a selection of invoices received by the Company subsequent to December 31, 2024.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200,225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2024 and December 31, 2023; no shares issued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authorized as of December 31, 2024 and December 31, 2023;</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63,815,065 and 43,909,069 shares issued and outstanding as of</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(269,158 )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(188,554 )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171,812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200,225</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-3950970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-3110865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-3093720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-1971040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41,758</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(90,890 )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(41,758 )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(80,604 )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(36,949 )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(1.32 )</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(0.84 )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61,256,084</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43,901,241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(80,604 )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(36,949 )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gain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(80,537 )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(36,837 )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-1791335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-1216660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-1199515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-890905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-873760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980" w:type="dxa"/>
            <w:vAlign w:val="bottom"/>
            <w:gridSpan w:val="4"/>
            <w:vMerge w:val="restart"/>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Comprehensiv</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6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88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Gain</w:t>
            </w: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4680" w:type="dxa"/>
            <w:vAlign w:val="bottom"/>
            <w:tcBorders>
              <w:right w:val="single" w:sz="8" w:color="CFF0FC"/>
            </w:tcBorders>
            <w:shd w:val="clear" w:color="auto" w:fill="CFF0FC"/>
          </w:tcPr>
          <w:p>
            <w:pPr>
              <w:ind w:left="20"/>
              <w:spacing w:after="0" w:line="174" w:lineRule="exact"/>
              <w:rPr>
                <w:sz w:val="20"/>
                <w:szCs w:val="20"/>
                <w:color w:val="auto"/>
              </w:rPr>
            </w:pPr>
            <w:r>
              <w:rPr>
                <w:rFonts w:ascii="Times New Roman" w:cs="Times New Roman" w:eastAsia="Times New Roman" w:hAnsi="Times New Roman"/>
                <w:sz w:val="17"/>
                <w:szCs w:val="17"/>
                <w:b w:val="1"/>
                <w:bCs w:val="1"/>
                <w:color w:val="auto"/>
              </w:rPr>
              <w:t>Balances as of December 31, 2023</w:t>
            </w:r>
          </w:p>
        </w:tc>
        <w:tc>
          <w:tcPr>
            <w:tcW w:w="880" w:type="dxa"/>
            <w:vAlign w:val="bottom"/>
            <w:tcBorders>
              <w:top w:val="single" w:sz="8" w:color="auto"/>
            </w:tcBorders>
            <w:shd w:val="clear" w:color="auto" w:fill="CFF0FC"/>
          </w:tcPr>
          <w:p>
            <w:pPr>
              <w:jc w:val="right"/>
              <w:spacing w:after="0" w:line="174" w:lineRule="exact"/>
              <w:rPr>
                <w:sz w:val="20"/>
                <w:szCs w:val="20"/>
                <w:color w:val="auto"/>
              </w:rPr>
            </w:pPr>
            <w:r>
              <w:rPr>
                <w:rFonts w:ascii="Times New Roman" w:cs="Times New Roman" w:eastAsia="Times New Roman" w:hAnsi="Times New Roman"/>
                <w:sz w:val="17"/>
                <w:szCs w:val="17"/>
                <w:color w:val="auto"/>
              </w:rPr>
              <w:t>43,909,06</w:t>
            </w: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80" w:type="dxa"/>
            <w:vAlign w:val="bottom"/>
            <w:tcBorders>
              <w:right w:val="single" w:sz="8" w:color="CFF0FC"/>
            </w:tcBorders>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(188,554 )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6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Issuance of common stock, net</w:t>
            </w: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19,736,84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161,736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153,750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(1 )</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8,796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CFF0FC"/>
            </w:tcBorders>
            <w:shd w:val="clear" w:color="auto" w:fill="CFF0FC"/>
          </w:tcPr>
          <w:p>
            <w:pPr>
              <w:ind w:left="12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(80,604 )</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(80,604 )</w:t>
            </w:r>
          </w:p>
        </w:tc>
        <w:tc>
          <w:tcPr>
            <w:tcW w:w="0" w:type="dxa"/>
            <w:vAlign w:val="bottom"/>
          </w:tcPr>
          <w:p>
            <w:pPr>
              <w:spacing w:after="0"/>
              <w:rPr>
                <w:sz w:val="1"/>
                <w:szCs w:val="1"/>
                <w:color w:val="auto"/>
              </w:rPr>
            </w:pPr>
          </w:p>
        </w:tc>
      </w:tr>
      <w:tr>
        <w:trPr>
          <w:trHeight w:val="174"/>
        </w:trPr>
        <w:tc>
          <w:tcPr>
            <w:tcW w:w="4680" w:type="dxa"/>
            <w:vAlign w:val="bottom"/>
            <w:tcBorders>
              <w:top w:val="single" w:sz="8" w:color="CFF0FC"/>
            </w:tcBorders>
          </w:tcPr>
          <w:p>
            <w:pPr>
              <w:ind w:left="20"/>
              <w:spacing w:after="0" w:line="174" w:lineRule="exact"/>
              <w:rPr>
                <w:sz w:val="20"/>
                <w:szCs w:val="20"/>
                <w:color w:val="auto"/>
              </w:rPr>
            </w:pPr>
            <w:r>
              <w:rPr>
                <w:rFonts w:ascii="Times New Roman" w:cs="Times New Roman" w:eastAsia="Times New Roman" w:hAnsi="Times New Roman"/>
                <w:sz w:val="17"/>
                <w:szCs w:val="17"/>
                <w:b w:val="1"/>
                <w:bCs w:val="1"/>
                <w:color w:val="auto"/>
              </w:rPr>
              <w:t>Balances as of December 31, 2024</w:t>
            </w:r>
          </w:p>
        </w:tc>
        <w:tc>
          <w:tcPr>
            <w:tcW w:w="8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63,815,06</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440,758</w:t>
            </w:r>
          </w:p>
        </w:tc>
        <w:tc>
          <w:tcPr>
            <w:tcW w:w="2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(269,158 )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2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980" w:type="dxa"/>
            <w:vAlign w:val="bottom"/>
            <w:gridSpan w:val="4"/>
            <w:vMerge w:val="restart"/>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Comprehensiv</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6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88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9"/>
              <w:spacing w:after="0" w:line="142" w:lineRule="exact"/>
              <w:rPr>
                <w:sz w:val="20"/>
                <w:szCs w:val="20"/>
                <w:color w:val="auto"/>
              </w:rPr>
            </w:pPr>
            <w:r>
              <w:rPr>
                <w:rFonts w:ascii="Times New Roman" w:cs="Times New Roman" w:eastAsia="Times New Roman" w:hAnsi="Times New Roman"/>
                <w:sz w:val="13"/>
                <w:szCs w:val="13"/>
                <w:b w:val="1"/>
                <w:bCs w:val="1"/>
                <w:color w:val="auto"/>
              </w:rPr>
              <w:t>Gain (Loss)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17"/>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as of December 31, 2022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43,269,200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262,496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(151,605 )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(31 )</w:t>
            </w: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110,903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(36,949 )</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(36,949 )</w:t>
            </w:r>
          </w:p>
        </w:tc>
        <w:tc>
          <w:tcPr>
            <w:tcW w:w="0" w:type="dxa"/>
            <w:vAlign w:val="bottom"/>
          </w:tcPr>
          <w:p>
            <w:pPr>
              <w:spacing w:after="0"/>
              <w:rPr>
                <w:sz w:val="1"/>
                <w:szCs w:val="1"/>
                <w:color w:val="auto"/>
              </w:rPr>
            </w:pPr>
          </w:p>
        </w:tc>
      </w:tr>
      <w:tr>
        <w:trPr>
          <w:trHeight w:val="20"/>
        </w:trPr>
        <w:tc>
          <w:tcPr>
            <w:tcW w:w="468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as of December 31, 2023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43,909,069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270,150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(188,554 )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-1824990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-1824990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-1824990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-1824990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-1824990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1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(80,604 )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(36,949 )</w:t>
            </w: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(189 )</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accretion of discount on marketable securities</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(5,256 )</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(1,843 )</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(8,465 )</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(1,065 )</w:t>
            </w:r>
          </w:p>
        </w:tc>
      </w:tr>
      <w:tr>
        <w:trPr>
          <w:trHeight w:val="21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r>
      <w:tr>
        <w:trPr>
          <w:trHeight w:val="216"/>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(1,022 )</w:t>
            </w:r>
          </w:p>
        </w:tc>
      </w:tr>
      <w:tr>
        <w:trPr>
          <w:trHeight w:val="21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8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(70,760 )</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(33,459 )</w:t>
            </w:r>
          </w:p>
        </w:tc>
      </w:tr>
      <w:tr>
        <w:trPr>
          <w:trHeight w:val="210"/>
        </w:trPr>
        <w:tc>
          <w:tcPr>
            <w:tcW w:w="8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(515 )</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(164 )</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8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(227,872 )</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(101,233 )</w:t>
            </w: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5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(85,387 )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100" w:type="dxa"/>
            <w:vAlign w:val="bottom"/>
          </w:tcPr>
          <w:p>
            <w:pPr>
              <w:spacing w:after="0"/>
              <w:rPr>
                <w:sz w:val="18"/>
                <w:szCs w:val="18"/>
                <w:color w:val="auto"/>
              </w:rPr>
            </w:pPr>
          </w:p>
        </w:tc>
      </w:tr>
      <w:tr>
        <w:trPr>
          <w:trHeight w:val="21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 net of issuance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161,883</w:t>
            </w: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1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100" w:type="dxa"/>
            <w:vAlign w:val="bottom"/>
          </w:tcPr>
          <w:p>
            <w:pPr>
              <w:spacing w:after="0"/>
              <w:rPr>
                <w:sz w:val="18"/>
                <w:szCs w:val="18"/>
                <w:color w:val="auto"/>
              </w:rPr>
            </w:pPr>
          </w:p>
        </w:tc>
      </w:tr>
      <w:tr>
        <w:trPr>
          <w:trHeight w:val="249"/>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5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costs included in accounts payable and accrued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 included in other current assets</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-2271395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-1713865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-1148080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-574040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-556895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International Nonproprietary Name and the United States Adopted Name for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Larimar has completed two Phase 1 clinical trials and a Phase 2 dose exploration trial, and has an ongoing Phase 2 OLE trial in patients with FA and an ongoing run-in study in adolescent patients with FA.</w:t>
      </w:r>
    </w:p>
    <w:p>
      <w:pPr>
        <w:spacing w:after="0" w:line="5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In May 2021, the Company reported positive top-line data from its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w:t>
      </w:r>
    </w:p>
    <w:p>
      <w:pPr>
        <w:spacing w:after="0" w:line="5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reported preliminary unblinded top-line data from the 25 mg cohort of the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w:t>
      </w:r>
    </w:p>
    <w:p>
      <w:pPr>
        <w:spacing w:after="0" w:line="68"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In July 2023, the FDA cleared initiation of a second cohort (50 mg) of the four-week, placebo-controlled, Phase 2 dose exploration trial of nomlabofusp in patients with FA and the initiation of the OLE trial with daily dosing of 25 mg.</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February 2024, the Company reported positive top-line data and successful completion of the Phase 2 dose exploration study.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Patients who completed treatment in the Phase 2 dose exploration study or who previously completed a prior clinical trial of nomlabofusp are eligible to screen and possibly participate in the OLE study.</w:t>
      </w:r>
    </w:p>
    <w:p>
      <w:pPr>
        <w:spacing w:after="0" w:line="79" w:lineRule="exact"/>
        <w:rPr>
          <w:sz w:val="20"/>
          <w:szCs w:val="20"/>
          <w:color w:val="auto"/>
        </w:rPr>
      </w:pPr>
    </w:p>
    <w:p>
      <w:pPr>
        <w:ind w:right="60" w:firstLine="554"/>
        <w:spacing w:after="0" w:line="256" w:lineRule="auto"/>
        <w:rPr>
          <w:sz w:val="20"/>
          <w:szCs w:val="20"/>
          <w:color w:val="auto"/>
        </w:rPr>
      </w:pPr>
      <w:r>
        <w:rPr>
          <w:rFonts w:ascii="Times New Roman" w:cs="Times New Roman" w:eastAsia="Times New Roman" w:hAnsi="Times New Roman"/>
          <w:sz w:val="18"/>
          <w:szCs w:val="18"/>
          <w:color w:val="auto"/>
        </w:rPr>
        <w:t>In March 2024, Larimar dosed the first patient in the OLE trial, evaluating daily subcutaneous injections of 25 mg of nomlabofusp self-administered or administered by a caregiver.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following the completion of enrollment, as well as at least one 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30, 2024, Larimar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the Company received access to the Medicines and Healthcare Regulatory Agency ("MHRA”) Innovative Licensing and Access Pathway (“ILAP”) for the treatment of adults and children with FA. The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(the “EU”), and access to the PRIME scheme in the EU.</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spacing w:after="0" w:line="86"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reported positive initial data from the ongoing OLE study. This data included safety, FXN levels, clinical, pharmacokinetic data and dose escalation:</w:t>
      </w:r>
    </w:p>
    <w:p>
      <w:pPr>
        <w:spacing w:after="0" w:line="54" w:lineRule="exact"/>
        <w:rPr>
          <w:sz w:val="20"/>
          <w:szCs w:val="20"/>
          <w:color w:val="auto"/>
        </w:rPr>
      </w:pPr>
    </w:p>
    <w:p>
      <w:pPr>
        <w:ind w:left="900" w:right="120" w:hanging="383"/>
        <w:spacing w:after="0" w:line="266"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and withdrew from the study;</w:t>
      </w:r>
    </w:p>
    <w:p>
      <w:pPr>
        <w:spacing w:after="0" w:line="6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HV at baseline to 30% in buccal cells and from 16% to 72% in skin cells at Day 90;</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FXN levels appear to reach steady-state levels by Day 30 in buccal cells;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clinical data showed trends toward improvement across a number of clinical outcomes for long-term 25 mg daily nomlabofusp including:</w:t>
      </w:r>
    </w:p>
    <w:p>
      <w:pPr>
        <w:spacing w:after="0" w:line="27" w:lineRule="exact"/>
        <w:rPr>
          <w:rFonts w:ascii="Times New Roman" w:cs="Times New Roman" w:eastAsia="Times New Roman" w:hAnsi="Times New Roman"/>
          <w:sz w:val="18"/>
          <w:szCs w:val="18"/>
          <w:color w:val="auto"/>
        </w:rPr>
      </w:pPr>
    </w:p>
    <w:p>
      <w:pPr>
        <w:ind w:left="90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decreased values indicating early trends towards improvement in the Modified Friedreich Ataxia Rating Scale (mFARS) and the FARS-Activities of Daily Living ("ADL"), Modified Fatigue Impact Scale and 9 hole peg test at 90 days relative to baseline;</w:t>
      </w:r>
    </w:p>
    <w:p>
      <w:pPr>
        <w:spacing w:after="0" w:line="7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Also in December 2024, Larimar announced that it was increasing the dose in the OLE to 50 mg of nomlabofusp daily for then currently enrolled and all future OLE study participants. In March 2025, the Company announced that its Safety Monitoring Team has deemed anaphylaxis as an adverse drug reaction likely associated with nomlabofusp and therefore, Larimar expects to see additional reactions. To reduce the risk of allergic reactions, including anaphylaxis, Larimar amended the OLE protocol to administer premedication for the first month of dosing. The OLE study is ongoing with seven sites activated and participants continuing to enroll. All study participants are currently receiving the 50 mg dose of nomlabofusp. The Company plans to provide an update on OLE data on at least 30 to 40 study participants, some of whom have been receiving nomlabofusp for more than a year, in September 2025.</w:t>
      </w:r>
    </w:p>
    <w:p>
      <w:pPr>
        <w:spacing w:after="0" w:line="8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In January 2025, Larimar initiated dosing of adolescents (12-17 years old) in a PK run-in study for pediatric patients with FA. Study participants in the PK run-in study are randomized 2:1 to receive either nomlabofusp at a weight-base dose expected to match the PK of adults receiving the 50 mg dose, or placebo, daily for seven days. Following assessment of safety and PK data, participants will be eligible to screen for the OLE study. The data from this cohort is expected to be presented during the nomlabofusp program update in September 2025.</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March 2025, Larimar announced that FDA stated in written correspondence associated with a meeting through the START pilot program that they are open to considering the use of FXN concentration as a reasonably likely surrogate endpoint (“RLSE”) and the acceptability of FXN’s use as an RLSE would ultimately be a matter of review of the data in a future marketing application. FDA recommended focusing on assessments of skin FXN concentrations rather than buccal FXN concentrations due to more consistent sampling and less variability. FDA acknowledged that data the Company recently submitted appear to support a relationship between increased FXN concentrations in skin cells and relevant tissues such as the heart, dorsal root ganglion and skeletal muscle. FDA also acknowledged that the nonclinical studies Larimar submitted were performed at relevant human doses. FDA also suggested that Larimar consider exploring the relationship between increases in FXN in skin and changes in pharmacodynamic (PD) markers such as lipid profiles and/or clinical measures to provide additional support for the use of FXN as an RLSE. Larimar plans to continue discussions with FDA regarding the adequacy of the safety data set for a BLA submission seeking accelerated approval targeted for year-end 2025.</w:t>
      </w:r>
    </w:p>
    <w:p>
      <w:pPr>
        <w:spacing w:after="0" w:line="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Company has obtained feedback from both FDA and EMA on the global Phase 3 study protocol and is on track to initiate the study by mid-2025 with potential sites in the U.S., E.U., U.K, Canada, and Australia.</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capabilities. Even if the Company's drug development efforts are successful, it is uncertain when, if ever, it will realize significant revenue from product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Larimar and its wholly owned subsidiary. All intercompany balances and transactions have been eliminated. The accompanying consolidated financial statements have been prepared in conformity with U. S. Generally Accepted Accounting Principles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presented on the basis that it will continue as a going concern, which contemplates the realization of assets and satisfaction of liabilities in the normal course of business.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Since its inception, the Company has incurred significant recurring operating losses and negative cash flows from operations. The Company has incurred net losses of $80.6 million and $36.9 million for the years ended December 31, 2024, and 2023, respectively, and cash flow used in operations of $70.8 million and $33.5 million for the years ended December 31, 2024 and 2023, respectively. In addition, as of December 31, 2024, the Company had an accumulated deficit of $269.2 million. The Company expects to continue to generate operating losses for the foreseeable future. As of December 31, 2024, the Company had approximately $183.5 million of cash, cash equivalents and marketable securities available for use to fund its operations and capital requirements.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w:t>
      </w:r>
    </w:p>
    <w:p>
      <w:pPr>
        <w:spacing w:after="0" w:line="6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sold 19,736,842 shares of its common stock in an underwritten public offering at a price of $8.74 per share and received net proceeds of approximately $161.8 million.</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consolidated financial statements are issued. As of the issuance date of these consolidated financial statements, the Company expects its cash, cash equivalents and marketable securities will be sufficient to fund its forecasted operating expenses and capital expenditure requirements into the second quarter of 2026.</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6" w:name="page117"/>
    <w:bookmarkEnd w:id="116"/>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adverse effect on the Company's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pre commercialization efforts and/or commercial operations, which could adversely affect its business prospects, or the Company may be unable to continue operations. If the timing of the Company's clinical assumptions are delayed or if there are other forecasted assumption changes that negatively impact its operating plan, the Company would reduce expenditures in order to further extend cash resources.</w:t>
      </w:r>
    </w:p>
    <w:p>
      <w:pPr>
        <w:spacing w:after="0" w:line="71"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and marketable securities. Cash balances may be held in financial institutions which may exceed federally insured limits. The Company has not experienced realized losses related to its cash, cash equivalents or marketable securities.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highly dependent on third-party manufacturers to supply products for research and development activities in its programs, to scale and optimize their manufacturing processes and, ultimately, to provide commercial supply. The Company relies and expects to continue to rely on a small number of manufacturers to supply it with its requirements for drug substance and formulated drugs related to these programs. The drug substance which is in frozen liquid form for nomlabofusp is currently manufactured for the Company by a third-party manufacturer, and the frozen liquid form of drug product is made at another manufacturer. The Company is undertaking a program with a third manufacturer to begin to produce a lyophilized version of the drug product from the same drug substance, that, once available, the Company intends to use in certain of its future planned clinical trials. The Company’s research and development programs could be adversely affected by a significant interruption in these manufacturing services or in the supply of drug substance and formulated drugs.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 Cash equivalents consisted of money market funds as of December 31, 2024 and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debt investments with original maturities greater than ninety days. The Company classifies its marketable securities as available-for-sale. Accordingly, these investments are recorded at fair value, which is based on quoted market prices. When the fair value is below the amortized cost the amount of the expected credit loss is estimated. The credit-related impairment amount, if any, would be recognized in net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income; the remaining impairment amount and unrealized gains are reported as a component of accumulated other comprehensive income in stockholders’ equity. Credit losses, if any, are recognized through the use of an allowance for credit losses account and subsequent improvements in expected credit losses are recognized as a reversal of the allowance account. If the Company has the intent to sell the security or if it is more likely than not that the Company would be required to sell the security prior to recovery of its amortized cost basis, the allowance for credit loss would be written off and the excess of the amortized cost basis of the asset over its fair value would be recorded in net income.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Long-lived assets consist of property and equipment, net¸ and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manufacturing and scale-up, other drug development and testing costs,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to scale up the manufacturing process, and other costs. The Company recognizes external research and development costs based on an evaluation of the progress to completion of specific tasks using information provided to the Company by its key service providers.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8" w:name="page119"/>
    <w:bookmarkEnd w:id="11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 making group, in deciding how to allocate resources in assessing performance. The Company is managed on a consolidated basis and has one operating and reportable segment related to the development of clinical and preclinical product candidates for the development of the Company’s proprietary new therapies, primarily nomlabofusp, the Company's life science segment. The Company’s chief operating decision maker (“CODM”) is the Company's chief executive officer ("CEO").</w:t>
      </w:r>
    </w:p>
    <w:p>
      <w:pPr>
        <w:spacing w:after="0" w:line="7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of the life science segment are the same as those described in the summary of significant accounting policies. The CODM assesses performance for the Company and its reportable segment based on net loss, which is reported on the consolidated Statements of Operations. The measure of segment assets is reported on the balance sheet as total consolidated assets. All long-lived assets are located in the U.S.</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regulatory approval.</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CODM uses consolidated financial information, including consolidated net loss, to evaluate performance, forecast future period financial results, allocate resources for the company by, among other things, comparing budgeted to actual results.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8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twelve months ended December 31,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Technical operations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44,805</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Development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Nomlabofusp support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90,890</w:t>
            </w: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(10,286 )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(4,809 )</w:t>
            </w: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(80,604 )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(36,949 )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4"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Gain (Loss)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Comprehensive gain (loss) includes net loss as well as other changes in stockholders’ equity that result from transactions and economic events other than those with stockholders. For the years ended December 31, 2024 and 2023, the Company’s only element of other comprehensive gain (loss) was unrealized gain (loss) on marketable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 Prior to August 11, 2023, basic shares outstanding includes the weighted average effect of the Company’s prefunded warrants issued in June 2020, the exercise of which requires little or no consideration for the delivery of shares of common stock. These prefunded warrants were exercised on August 11, 2023 and the Company received cash proceeds of less than $0.1 million. Accordingly, the 628,403 shares were issued upon the exercise of these warrants and are included in issued and outstanding common stock.</w:t>
      </w:r>
    </w:p>
    <w:p>
      <w:pPr>
        <w:spacing w:after="0" w:line="7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7,135,390 and 4,888,502 options to purchase common stock, outstanding as of December 31, 2024 and 2023 respectively, from the computation of diluted net loss per share for the twelve months ended December 31, 2024 and 2023, respectively, because they had an anti-dilutive impact due to the net loss incurred for the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consolidated results of operations, cash flows or financial position.</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adopted ASU 2023-07, effective December 31, 2024, in these consolidated financial statements. ASU 2023-07 only impacted the disclosures and did not impact the consolidated financial statements. See Note 2, Segment Information, for disclosures related to the adoption of ASU 2023-07.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(Topic 740),” which requires entities to disclose in their rate reconciliation table additional categories of information about federal, state and foreign income taxes as well as additional information about reconciling items if certain quantitative thresholds are met. This ASU will require all entities to disclose income taxes paid, net of refunds, disaggregated by federal (national), state and foreign taxes for annual periods and to disaggregate the information by jurisdiction based on a quantitative threshold. All entities are required to apply the guidance prospectively, with the option to apply it retrospectively. The ASU is effective for fiscal years beginning after December 15, 2024, with early adoption permitted. The Company has determined it will adopt this ASU on January 1, 2025, the adoption of which is not expected to have a material impact on the Company’s consolidated results of operations or cash flows.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disaggregated disclosures in the notes of the financial statements of certain categories of expenses that are included in expense line items on the face of the income statement. This ASU is effective for annual periods beginning after December 15, 2026, and interim periods within annual reporting periods beginning after December 15, 2027. Early adoption is permitted. The Company will evaluate the impact adopting ASU 2024-03 will have on the Company's consolidated financial statements and disclosures.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82"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Cash Equivalents/Marketable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Company’s assets and liabilities that are measured at fair value on a recurring basis as of December 31, 2024 and December 31, 2023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ectPr>
          <w:pgSz w:w="11900" w:h="16838" w:orient="portrait"/>
          <w:cols w:equalWidth="0" w:num="1">
            <w:col w:w="11240"/>
          </w:cols>
          <w:pgMar w:left="320" w:top="1440" w:right="339" w:bottom="1440" w:gutter="0" w:footer="0" w:header="0"/>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42" w:lineRule="exact"/>
        <w:rPr>
          <w:sz w:val="20"/>
          <w:szCs w:val="20"/>
          <w:color w:val="auto"/>
        </w:rPr>
      </w:pPr>
    </w:p>
    <w:p>
      <w:pPr>
        <w:sectPr>
          <w:pgSz w:w="11900" w:h="16838" w:orient="portrait"/>
          <w:cols w:equalWidth="0" w:num="2">
            <w:col w:w="700" w:space="640"/>
            <w:col w:w="99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4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67" w:lineRule="exact"/>
        <w:rPr>
          <w:sz w:val="20"/>
          <w:szCs w:val="20"/>
          <w:color w:val="auto"/>
        </w:rPr>
      </w:pPr>
    </w:p>
    <w:p>
      <w:pPr>
        <w:sectPr>
          <w:pgSz w:w="11900" w:h="16838" w:orient="portrait"/>
          <w:cols w:equalWidth="0" w:num="2">
            <w:col w:w="700" w:space="640"/>
            <w:col w:w="99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Inputs to the valuation methodology are unobservable and significant to the fair value measurement.</w:t>
      </w:r>
    </w:p>
    <w:p>
      <w:pPr>
        <w:spacing w:after="0" w:line="129" w:lineRule="exact"/>
        <w:rPr>
          <w:sz w:val="20"/>
          <w:szCs w:val="20"/>
          <w:color w:val="auto"/>
        </w:rPr>
      </w:pPr>
    </w:p>
    <w:p>
      <w:pPr>
        <w:sectPr>
          <w:pgSz w:w="11900" w:h="16838" w:orient="portrait"/>
          <w:cols w:equalWidth="0" w:num="2">
            <w:col w:w="700" w:space="640"/>
            <w:col w:w="9900"/>
          </w:cols>
          <w:pgMar w:left="320" w:top="1440" w:right="339" w:bottom="1440" w:gutter="0" w:footer="0" w:header="0"/>
          <w:type w:val="continuous"/>
        </w:sect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payable and accrued liabilities. For accounts payable and accrued liabilities, the carrying amounts of these financial instruments as of December 31, 2024 and 2023 were considered representative of their fair values due to their short term to maturity.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December 31,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3"/>
          </w:tcPr>
          <w:p>
            <w:pPr>
              <w:jc w:val="center"/>
              <w:ind w:right="73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Money market funds invested in government</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40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40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3"/>
        </w:trPr>
        <w:tc>
          <w:tcPr>
            <w:tcW w:w="4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Money market funds invested in government</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40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4560" w:type="dxa"/>
            <w:vAlign w:val="bottom"/>
          </w:tcPr>
          <w:p>
            <w:pPr>
              <w:spacing w:after="0"/>
              <w:rPr>
                <w:sz w:val="24"/>
                <w:szCs w:val="24"/>
                <w:color w:val="auto"/>
              </w:rPr>
            </w:pPr>
          </w:p>
        </w:tc>
        <w:tc>
          <w:tcPr>
            <w:tcW w:w="1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F-15</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-3921125</wp:posOffset>
            </wp:positionV>
            <wp:extent cx="93980" cy="1797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-3921125</wp:posOffset>
            </wp:positionV>
            <wp:extent cx="93980" cy="179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-3921125</wp:posOffset>
            </wp:positionV>
            <wp:extent cx="93980" cy="1797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-3921125</wp:posOffset>
            </wp:positionV>
            <wp:extent cx="102870" cy="1797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-3218180</wp:posOffset>
            </wp:positionV>
            <wp:extent cx="93980"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-3218180</wp:posOffset>
            </wp:positionV>
            <wp:extent cx="93980"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-3218180</wp:posOffset>
            </wp:positionV>
            <wp:extent cx="9398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-3218180</wp:posOffset>
            </wp:positionV>
            <wp:extent cx="102870"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-2914015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-2896870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-2914015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-2896870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-2914015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-2896870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-2914015</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-2896870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-2214880</wp:posOffset>
            </wp:positionV>
            <wp:extent cx="93980" cy="179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-2214880</wp:posOffset>
            </wp:positionV>
            <wp:extent cx="93980"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-2214880</wp:posOffset>
            </wp:positionV>
            <wp:extent cx="93980" cy="1797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-2214880</wp:posOffset>
            </wp:positionV>
            <wp:extent cx="102870" cy="1797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-1362075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-1362075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-1362075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-1071245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-1071245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-1053465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2" w:name="page123"/>
    <w:bookmarkEnd w:id="122"/>
    <w:p>
      <w:pPr>
        <w:spacing w:after="0" w:line="19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$1.1 million and $0.3 million as of December 31, 2024 and 2023, respectively, and is included in prepaid expenses and other current assets on the consolidated balance sheet.</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bills, which are valued based on quoted market prices in active markets with no valuation adjustment, as Level 1 assets within the fair value hierarchy.</w:t>
      </w:r>
    </w:p>
    <w:p>
      <w:pPr>
        <w:spacing w:after="0" w:line="54" w:lineRule="exact"/>
        <w:rPr>
          <w:sz w:val="20"/>
          <w:szCs w:val="20"/>
          <w:color w:val="auto"/>
        </w:rPr>
      </w:pPr>
    </w:p>
    <w:p>
      <w:pPr>
        <w:jc w:val="both"/>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unrealized loss for available-for-sale investments were non-credit related, and the Company does not intend to sell the investments that were in an unrealized loss position, nor will it be required to sell those investments before recovery of their amortized cost basis, which may be maturity. As of December 31, 2024 and 2023, no allowances for credit losses for the Company’s investments were recorded. During the twelve months ended December 31, 2024 and 2023, the Company did not recognize any impairment losses related to investments.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Company's cash equivalents and marketable securities consisted of a U.S. government money market fund, U.S. Treasury Bills and U.S. government and agency securities, all held in our name in a separate custody account with U.S. Bank. The U.S. government money market fund has same-day liquidity access and the U.S. government and agency securities all have maturities of 360 days or less.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 as of December 31,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9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90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2"/>
          </w:tcPr>
          <w:p>
            <w:pPr>
              <w:jc w:val="center"/>
              <w:ind w:right="501"/>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6"/>
              </w:rPr>
              <w:t>(20 )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9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150,088</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center"/>
              <w:ind w:right="70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(20</w:t>
            </w:r>
          </w:p>
        </w:tc>
        <w:tc>
          <w:tcPr>
            <w:tcW w:w="2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center"/>
              <w:ind w:right="70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3900" w:type="dxa"/>
            <w:vAlign w:val="bottom"/>
          </w:tcPr>
          <w:p>
            <w:pPr>
              <w:spacing w:after="0"/>
              <w:rPr>
                <w:sz w:val="24"/>
                <w:szCs w:val="24"/>
                <w:color w:val="auto"/>
              </w:rPr>
            </w:pPr>
          </w:p>
        </w:tc>
        <w:tc>
          <w:tcPr>
            <w:tcW w:w="2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F-16</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-1927860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-1910715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-2073910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-1927860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-1910715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-2073910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-1927860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-1910715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-2073910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-1927860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-1071245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-1071245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-1053465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prepaid expenses and other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20" w:type="dxa"/>
            <w:vAlign w:val="bottom"/>
          </w:tcPr>
          <w:p>
            <w:pPr>
              <w:spacing w:after="0"/>
              <w:rPr>
                <w:sz w:val="15"/>
                <w:szCs w:val="15"/>
                <w:color w:val="auto"/>
              </w:rPr>
            </w:pPr>
          </w:p>
        </w:tc>
        <w:tc>
          <w:tcPr>
            <w:tcW w:w="3400" w:type="dxa"/>
            <w:vAlign w:val="bottom"/>
          </w:tcPr>
          <w:p>
            <w:pPr>
              <w:jc w:val="center"/>
              <w:ind w:left="159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3"/>
          </w:tcPr>
          <w:p>
            <w:pPr>
              <w:jc w:val="right"/>
              <w:ind w:right="934"/>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0" w:type="dxa"/>
            <w:vAlign w:val="bottom"/>
            <w:shd w:val="clear" w:color="auto" w:fill="CFF0FC"/>
          </w:tcPr>
          <w:p>
            <w:pPr>
              <w:jc w:val="center"/>
              <w:ind w:left="1594"/>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3400" w:type="dxa"/>
            <w:vAlign w:val="bottom"/>
          </w:tcPr>
          <w:p>
            <w:pPr>
              <w:jc w:val="center"/>
              <w:ind w:left="1594"/>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0" w:type="dxa"/>
            <w:vAlign w:val="bottom"/>
            <w:shd w:val="clear" w:color="auto" w:fill="CFF0FC"/>
          </w:tcPr>
          <w:p>
            <w:pPr>
              <w:jc w:val="center"/>
              <w:ind w:left="1594"/>
              <w:spacing w:after="0"/>
              <w:rPr>
                <w:sz w:val="20"/>
                <w:szCs w:val="20"/>
                <w:color w:val="auto"/>
              </w:rPr>
            </w:pPr>
            <w:r>
              <w:rPr>
                <w:rFonts w:ascii="Times New Roman" w:cs="Times New Roman" w:eastAsia="Times New Roman" w:hAnsi="Times New Roman"/>
                <w:sz w:val="18"/>
                <w:szCs w:val="18"/>
                <w:color w:val="auto"/>
              </w:rPr>
              <w:t>7 years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0" w:type="dxa"/>
            <w:vAlign w:val="bottom"/>
          </w:tcPr>
          <w:p>
            <w:pPr>
              <w:jc w:val="center"/>
              <w:ind w:left="1594"/>
              <w:spacing w:after="0"/>
              <w:rPr>
                <w:sz w:val="20"/>
                <w:szCs w:val="20"/>
                <w:color w:val="auto"/>
              </w:rPr>
            </w:pPr>
            <w:r>
              <w:rPr>
                <w:rFonts w:ascii="Times New Roman" w:cs="Times New Roman" w:eastAsia="Times New Roman" w:hAnsi="Times New Roman"/>
                <w:sz w:val="18"/>
                <w:szCs w:val="18"/>
                <w:color w:val="auto"/>
                <w:w w:val="97"/>
              </w:rPr>
              <w:t>lease term</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09"/>
        </w:trPr>
        <w:tc>
          <w:tcPr>
            <w:tcW w:w="4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(1,543 )</w:t>
            </w: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(1,225 )</w:t>
            </w:r>
          </w:p>
        </w:tc>
      </w:tr>
      <w:tr>
        <w:trPr>
          <w:trHeight w:val="250"/>
        </w:trPr>
        <w:tc>
          <w:tcPr>
            <w:tcW w:w="48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$0.2 million for the years ended December 31, 2024 and 2023, respectively. In addition, for the years ended December 31, 2024 and 2023, there was $0.1 million of depreciation related to sublet assets recorded as other expense.</w:t>
      </w:r>
    </w:p>
    <w:p>
      <w:pPr>
        <w:spacing w:after="0" w:line="50"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8"/>
                <w:szCs w:val="18"/>
                <w:color w:val="auto"/>
              </w:rPr>
            </w:pPr>
          </w:p>
        </w:tc>
      </w:tr>
      <w:tr>
        <w:trPr>
          <w:trHeight w:val="216"/>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4600" w:type="dxa"/>
            <w:vAlign w:val="bottom"/>
          </w:tcPr>
          <w:p>
            <w:pPr>
              <w:spacing w:after="0"/>
              <w:rPr>
                <w:sz w:val="24"/>
                <w:szCs w:val="24"/>
                <w:color w:val="auto"/>
              </w:rPr>
            </w:pPr>
          </w:p>
        </w:tc>
        <w:tc>
          <w:tcPr>
            <w:tcW w:w="336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F-17</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-1216660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were exercisable at an exercise price of $0.01 and were exercisable indefinitely. In August 2023, the 628,403 shares of prefunded warrants were exercised and the Company received cash proceeds of six thousand two hundred and eighty-four dollars.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Company’s Amended and Restated Certificate of Incorporation, authorized the Company to issue up to 115,000,000 shares of $0.001 par value common stock, of which 63,815,065 shares were issued and outstanding, and up to 5,000,000 shares of $0.001 par value undesignated preferred stock,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sold 19,736,842 shares of its common stock in an underwritten public offering price of $8.74 per share and received net proceeds of approximately $161.8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ATM Agreement</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sales agreement (the "2022 ATM Agreement") with a Guggenheim Securities, LLC in connection with the establishment of an “at-the-market” offering program under which the Company could sell up to an aggregate of $50.0 million of shares of common stock (the “ATM Shares”) from time to time.</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in connection with the underwritten public offering described above, the Company terminated the 2022 ATM Agreement. No ATM Shares were ever sold pursuant to the 2022 ATM Agreement.</w:t>
      </w:r>
    </w:p>
    <w:p>
      <w:pPr>
        <w:spacing w:after="0" w:line="6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"ATM Agreement") with Guggenheim Securities, LLC in connection with the establishment of an “at-the-market” offering program under which the Company could sell up to an aggregate of $100 million of shares of common stock (the “ATM Shares”) from time to time. To date, no sales of common stock have been made under this ATM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(“NSOs”), stock appreciation rights, restricted stock awards, restricted stock unit awards, performance-based restricted stock units,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w:t>
      </w:r>
    </w:p>
    <w:p>
      <w:pPr>
        <w:spacing w:after="0" w:line="7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permitted by the 2020 Plan, the Company added 2,552,603 and 1,756,363 shares available for grant to the 2020 Plan on January 1, 2025 and January 1, 2024, respectively, increasing the maximum number of shares of the Company’s common stock that may be issued under the 2020 Plan as of January 1, 2025 to 3,179,529 shares.</w:t>
      </w:r>
    </w:p>
    <w:p>
      <w:pPr>
        <w:spacing w:after="0" w:line="6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2024 and 2023, respectively, options to purchase 1,242 and 224,437 shares issued under the Prior Plans were canceled and became available for grant under the 2020 Plan. In addition, as of December 31, 2024, 626,926 shares of common stock were available for grant under the 2020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Valuation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7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3.72%</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w:t>
            </w:r>
          </w:p>
        </w:tc>
        <w:tc>
          <w:tcPr>
            <w:tcW w:w="17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6.23</w:t>
            </w:r>
          </w:p>
        </w:tc>
      </w:tr>
      <w:tr>
        <w:trPr>
          <w:trHeight w:val="21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7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7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twelve months ended December 31, 2024 (amounts in millions, except for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4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(a)</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4,273,502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(15,404 )</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Forfeited/Expired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(57,088 )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6,436,387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7.78</w:t>
            </w:r>
          </w:p>
        </w:tc>
        <w:tc>
          <w:tcPr>
            <w:tcW w:w="16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8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Exercisable as of December 31, 2024</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3,094,992</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1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3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expected to vest as of December 31, 2024</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6,436,387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7.78</w:t>
            </w:r>
          </w:p>
        </w:tc>
        <w:tc>
          <w:tcPr>
            <w:tcW w:w="16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8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-350520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-333375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right="6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Option Grants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twelve months ended December 31, 2024, the Company granted options to purchase 2,235,377 shares of common stock to employees and directors under the 2020 Plan. The options have an exercise price equal to the closing stock price as of the grant date. Of the 2,235,377 options granted, 2,140,377 were granted to employees and vest over four years, with 25% vesting on the first anniversary of the grant and the remainder vesting in equal monthly installments thereafter. The remaining 95,000 options were annual grants to the Company's directors and vest one year from the grant date. The weighted-average grant date fair value of options granted under the 2020 Plan during the twelve months ended December 31, 2024 was $4.25.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unvested stock options granted under the 2020 Plan was $10.7 million, which is expected to be recognized over a weighted average period of 2.63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 Grant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inducement awards granted in the twelve months ended December 31, 2024.</w:t>
      </w:r>
    </w:p>
    <w:p>
      <w:pPr>
        <w:spacing w:after="0" w:line="11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unvested inducement options granted under the 2020 Plan was $0.7 million, which is expected to be recognized over a weighted average period of 2.28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RSUs were granted under the 2020 Plan to the Company's employees in order to maintain retention of key employees. The value of an RSU award is based on the Company's stock price on the date of the grant. The shares underlying the RSUs are not issued until the RSUs vest.</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Activity with respect to the Company's RSUs during the twelve months ended December 31, 2024 was as follows (in millions, except share, contractual term,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4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(a)</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1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(153,750 )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(7,619 )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699,003</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4.69</w:t>
            </w:r>
          </w:p>
        </w:tc>
        <w:tc>
          <w:tcPr>
            <w:tcW w:w="16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Unvested and expected to vest as of December 31, 2024</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699,003</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4.69</w:t>
            </w:r>
          </w:p>
        </w:tc>
        <w:tc>
          <w:tcPr>
            <w:tcW w:w="1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-187960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Grants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2024, the Company granted 245,372 shares of RSUs to employees under the 2020 Plan. The RSUs vest annually over four years and have a weighted-average grant date fair value during the twelve months ended December 31, 2024 of $4.21.</w:t>
      </w:r>
    </w:p>
    <w:p>
      <w:pPr>
        <w:spacing w:after="0" w:line="54"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for RSUs was $2.3 million, which is expected to be recognized over a weighted-average period of 2.4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2025 Option, Restricted Stock Unit Grants and Performance-Based Restricted Stock Units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January 22, 2025, the Company granted options to purchase 2,084,162 shares of common stock, 347,360 shares of restricted stock units and 200,000 Performance-based restricted stock units to employees under the 2020 Plan. The options have an exercise price equal to the closing stock price as of the grant date, and vest over four years, with 25% vesting on the first anniversary of the grant and the remainder vesting in equal monthly installments thereafter. The shares of restricted stock will vest annually over four years. The performance-based restricted stock units were granted to the Company's named executive officers. The grants included two performance milestones. The fist milestone, which relates to 20% of each grant, will vest if the FDA accepts the filing of a biologic license application for accelerated approval of nomlabofusp by December 31, 2026. The second milestone, representing 80% of each grant will vest if the FDA approves the Company nomlabofusp BLA within 12 months of the BLA acceptance (no later than December 31, 2027.) If the first milestone is not achieved by December 31, 2026, the full grant will be forfeited.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78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680" w:type="dxa"/>
            <w:vAlign w:val="bottom"/>
          </w:tcPr>
          <w:p>
            <w:pPr>
              <w:spacing w:after="0"/>
              <w:rPr>
                <w:sz w:val="15"/>
                <w:szCs w:val="15"/>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nomlabofusp. Both agreements continue from their effective date through the last to date of expiration of the licensed patents, unless earlier terminated by either party in accordance with their terms.</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October 2022, the Company initiated dosing of a Phase 2 study. Pursuant to the terms of both the WFUHS License and the IU License, the company recognized milestone expense of $0.3 million within research and development expenses.</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Both agreements continue from their effective date through the last date of expiration of the licensed patents, unless earlier terminated by either party in accordance with their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 Cynwyd Office Space</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August 8, 2019, the Company entered into an operating lease for 4,642 square feet of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72" w:lineRule="exact"/>
        <w:rPr>
          <w:sz w:val="20"/>
          <w:szCs w:val="20"/>
          <w:color w:val="auto"/>
        </w:rPr>
      </w:pPr>
    </w:p>
    <w:p>
      <w:pPr>
        <w:ind w:right="660" w:firstLine="509"/>
        <w:spacing w:after="0" w:line="312" w:lineRule="auto"/>
        <w:rPr>
          <w:sz w:val="20"/>
          <w:szCs w:val="20"/>
          <w:color w:val="auto"/>
        </w:rPr>
      </w:pPr>
      <w:r>
        <w:rPr>
          <w:rFonts w:ascii="Times New Roman" w:cs="Times New Roman" w:eastAsia="Times New Roman" w:hAnsi="Times New Roman"/>
          <w:sz w:val="17"/>
          <w:szCs w:val="17"/>
          <w:color w:val="auto"/>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8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lease extension on the original 4,642 square footage commenced on September 1, 2023 and the Company recorded a right of use asset and lease liability of $0.5 million as of that date.</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new lease on 3,462 additional square footage commenced on October 1, 2023 and the Company recorded a right of use asset and lease liability of $0.3 million as of that date.</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right of use assets and lease liabilities with these leases are reflected in the financial statements for the year ended December 31, 2024 as are the right of use asset and lease liability of the Company's Boston office space and lab space discussed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Boston Office Lease</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Company's 2020 merger with Zafgen described in footnote 1, on May 28, 2020, the Company acquired a non-cancellable operating lease for approximately 17,705 square feet of office space (the “Premises”). The lease expires on October 30, 2029. As part of the agreement, the Company was initially required to maintain a letter of credit, of $1.3 million. In October of 2024, upon the agreement with the landlord that we had achieved certain clinical development milestones required in the lease, this letter of credit was reduced to $0.6 million. During both periods presented, this cash deposit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 Space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September 2023, the Company extended this lease for an additional year with the option to terminate with four months' notice. On March 28, 2024, the Company gave the requisite notice and vacated the property in May 2024.</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operating lease for alternate lab space in King of Prussia, Pennsylvania for a period of four years. Due to required tenant improvements to be completed by the landlord, the Company did not take immediate possession of the leased property. The actual lease term commenced on May 10, 2024. Upon commencement of the lease term, the Company recorded a right of use asset and lease liability of $0.5 million which are reflected in these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Expense</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Expense arising from operating leases was $0.5 million and $0.4 million during the twelve months ended December 31, 2024 and 2023, respectively. For operating leases, the weighted-average remaining lease term for leases at December 31, 2024 and 2023 was 4.5 and 5.5 years, respectively. For operating leases, the weighted average discount rate for leases at December 31, 2024 and 2023 was 11.0%. The Company has not entered into any financing leases.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December 31, 2024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80" w:type="dxa"/>
            <w:vAlign w:val="bottom"/>
          </w:tcPr>
          <w:p>
            <w:pPr>
              <w:spacing w:after="0"/>
              <w:rPr>
                <w:sz w:val="13"/>
                <w:szCs w:val="13"/>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42"/>
        </w:trPr>
        <w:tc>
          <w:tcPr>
            <w:tcW w:w="20" w:type="dxa"/>
            <w:vAlign w:val="bottom"/>
          </w:tcPr>
          <w:p>
            <w:pPr>
              <w:spacing w:after="0"/>
              <w:rPr>
                <w:sz w:val="12"/>
                <w:szCs w:val="12"/>
                <w:color w:val="auto"/>
              </w:rPr>
            </w:pPr>
          </w:p>
        </w:tc>
        <w:tc>
          <w:tcPr>
            <w:tcW w:w="1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Leases</w:t>
            </w:r>
          </w:p>
        </w:tc>
      </w:tr>
      <w:tr>
        <w:trPr>
          <w:trHeight w:val="216"/>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5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FF0FC"/>
          </w:tcPr>
          <w:p>
            <w:pPr>
              <w:spacing w:after="0"/>
              <w:rPr>
                <w:sz w:val="18"/>
                <w:szCs w:val="18"/>
                <w:color w:val="auto"/>
              </w:rPr>
            </w:pPr>
          </w:p>
        </w:tc>
      </w:tr>
      <w:tr>
        <w:trPr>
          <w:trHeight w:val="21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18"/>
                <w:szCs w:val="18"/>
                <w:color w:val="auto"/>
              </w:rPr>
            </w:pPr>
          </w:p>
        </w:tc>
      </w:tr>
      <w:tr>
        <w:trPr>
          <w:trHeight w:val="216"/>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FF0FC"/>
          </w:tcPr>
          <w:p>
            <w:pPr>
              <w:spacing w:after="0"/>
              <w:rPr>
                <w:sz w:val="18"/>
                <w:szCs w:val="18"/>
                <w:color w:val="auto"/>
              </w:rPr>
            </w:pPr>
          </w:p>
        </w:tc>
      </w:tr>
      <w:tr>
        <w:trPr>
          <w:trHeight w:val="21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r>
      <w:tr>
        <w:trPr>
          <w:trHeight w:val="216"/>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shd w:val="clear" w:color="auto" w:fill="CFF0FC"/>
          </w:tcPr>
          <w:p>
            <w:pPr>
              <w:spacing w:after="0"/>
              <w:rPr>
                <w:sz w:val="18"/>
                <w:szCs w:val="18"/>
                <w:color w:val="auto"/>
              </w:rPr>
            </w:pPr>
          </w:p>
        </w:tc>
        <w:tc>
          <w:tcPr>
            <w:tcW w:w="92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(1,314 )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92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50"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no income tax benefits for the net operating losses incurred in each year due to its uncertainty of realizing a benefit from those items.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domestic and foreign components of loss before income taxes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7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14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(80,604 )</w:t>
            </w:r>
          </w:p>
        </w:tc>
        <w:tc>
          <w:tcPr>
            <w:tcW w:w="700" w:type="dxa"/>
            <w:vAlign w:val="bottom"/>
            <w:gridSpan w:val="3"/>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(36,948 )</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50"/>
        </w:trPr>
        <w:tc>
          <w:tcPr>
            <w:tcW w:w="4760" w:type="dxa"/>
            <w:vAlign w:val="bottom"/>
            <w:tcBorders>
              <w:bottom w:val="single" w:sz="8" w:color="CFF0FC"/>
            </w:tcBorders>
            <w:shd w:val="clear" w:color="auto" w:fill="CFF0FC"/>
          </w:tcPr>
          <w:p>
            <w:pPr>
              <w:spacing w:after="0"/>
              <w:rPr>
                <w:sz w:val="21"/>
                <w:szCs w:val="21"/>
                <w:color w:val="auto"/>
              </w:rPr>
            </w:pPr>
          </w:p>
        </w:tc>
        <w:tc>
          <w:tcPr>
            <w:tcW w:w="2780" w:type="dxa"/>
            <w:vAlign w:val="bottom"/>
            <w:tcBorders>
              <w:bottom w:val="single" w:sz="8" w:color="CFF0FC"/>
            </w:tcBorders>
            <w:gridSpan w:val="2"/>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(80,604 )</w:t>
            </w: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(36,949 )</w:t>
            </w:r>
          </w:p>
        </w:tc>
      </w:tr>
      <w:tr>
        <w:trPr>
          <w:trHeight w:val="305"/>
        </w:trPr>
        <w:tc>
          <w:tcPr>
            <w:tcW w:w="94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7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23"/>
                <w:szCs w:val="23"/>
                <w:color w:val="auto"/>
              </w:rPr>
            </w:pPr>
          </w:p>
        </w:tc>
      </w:tr>
      <w:tr>
        <w:trPr>
          <w:trHeight w:val="142"/>
        </w:trPr>
        <w:tc>
          <w:tcPr>
            <w:tcW w:w="47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state tax rate</w:t>
            </w:r>
          </w:p>
        </w:tc>
        <w:tc>
          <w:tcPr>
            <w:tcW w:w="2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and state research and development tax credit</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Nondeductible permanent differences</w:t>
            </w:r>
          </w:p>
        </w:tc>
        <w:tc>
          <w:tcPr>
            <w:tcW w:w="2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compensation forfeitures - DTA Write Off</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4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27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(29.6 )</w:t>
            </w: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4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45"/>
        </w:trPr>
        <w:tc>
          <w:tcPr>
            <w:tcW w:w="4760" w:type="dxa"/>
            <w:vAlign w:val="bottom"/>
          </w:tcPr>
          <w:p>
            <w:pPr>
              <w:spacing w:after="0"/>
              <w:rPr>
                <w:sz w:val="24"/>
                <w:szCs w:val="24"/>
                <w:color w:val="auto"/>
              </w:rPr>
            </w:pPr>
          </w:p>
        </w:tc>
        <w:tc>
          <w:tcPr>
            <w:tcW w:w="3140" w:type="dxa"/>
            <w:vAlign w:val="bottom"/>
            <w:gridSpan w:val="3"/>
          </w:tcPr>
          <w:p>
            <w:pPr>
              <w:jc w:val="right"/>
              <w:ind w:right="2010"/>
              <w:spacing w:after="0"/>
              <w:rPr>
                <w:sz w:val="20"/>
                <w:szCs w:val="20"/>
                <w:color w:val="auto"/>
              </w:rPr>
            </w:pPr>
            <w:r>
              <w:rPr>
                <w:rFonts w:ascii="Times New Roman" w:cs="Times New Roman" w:eastAsia="Times New Roman" w:hAnsi="Times New Roman"/>
                <w:sz w:val="18"/>
                <w:szCs w:val="18"/>
                <w:color w:val="auto"/>
              </w:rPr>
              <w:t>F-23</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-2691130</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-2673985</wp:posOffset>
            </wp:positionV>
            <wp:extent cx="111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-1216660</wp:posOffset>
            </wp:positionV>
            <wp:extent cx="1111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deferred tax assets as of December 31, 2024 and 2023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R&amp;D - acquired in merger with Zafgen</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66,678</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66,678</w:t>
            </w: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R&amp;D - Section 174 Costs post 2021</w:t>
            </w: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22,616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9,411</w:t>
            </w: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3,490</w:t>
            </w: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50,177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45,195</w:t>
            </w: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28,022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16,319</w:t>
            </w: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Accruals &amp; reserves</w:t>
            </w:r>
          </w:p>
        </w:tc>
        <w:tc>
          <w:tcPr>
            <w:tcW w:w="10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assets &amp; intangibles</w:t>
            </w: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1,298</w:t>
            </w:r>
          </w:p>
        </w:tc>
      </w:tr>
      <w:tr>
        <w:trPr>
          <w:trHeight w:val="209"/>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173,736</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142,538</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10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(768 )</w:t>
            </w:r>
          </w:p>
        </w:tc>
      </w:tr>
      <w:tr>
        <w:trPr>
          <w:trHeight w:val="20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(768 )</w:t>
            </w:r>
          </w:p>
        </w:tc>
      </w:tr>
      <w:tr>
        <w:trPr>
          <w:trHeight w:val="210"/>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(173,028 )</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(141,770 )</w:t>
            </w:r>
          </w:p>
        </w:tc>
      </w:tr>
      <w:tr>
        <w:trPr>
          <w:trHeight w:val="20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deferred tax assets / (liabilities)</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-462280</wp:posOffset>
            </wp:positionV>
            <wp:extent cx="1111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 ended December 31, 2024 and 2023 related primarily to the increase in net operating loss carryforwards and tax credit carryforwards and a decrease other deferred tax assets associated with a reduction in the Company’s effective state rate. Changes to the valuation allowance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as of the beginning of the year</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141,770</w:t>
            </w:r>
          </w:p>
        </w:tc>
        <w:tc>
          <w:tcPr>
            <w:tcW w:w="11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130,831</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31,258</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10,939</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173,028</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141,770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2024, the Company had net operating loss carryforwards that expire for federal, foreign and state income tax purposes of</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$198.2 million, $1.2 million and $164.5 million, respectively. The federal and state operating losses begin to expire in 2026 and 2030, while the foreign net loss carryforward can be carried forward indefinitely. As of December 31, 2024, the Company had federal net operating loss carryforwards that were generated after December 31, 2017 of $159.5 million that do not expire, however these carryforwards are limited to 80% of the taxable income in any one tax period. As of December 31, 2024, the Company also had available tax credit carryforwards for federal and state income tax purposes of $28.0 million which begin to expire in 2039. Utilization of the pre-Merger net operating loss carryforwards attributable to Zafgen, of approximately $33.5 million, are subject to a substantial annual limitation under Section 382 of the Internal Revenue Code of 1986 due to ownership changes occurred during the tax year associated with the Merger. In addition to the limitation of the pre-Merger NOL’s of Zafgen, the net capitalized R&amp;D deferred tax assets in the amount of $66.9 million is subject to the built-in loss rules under Section 382 and may not be realized if the underlying asset associated with the R&amp;D is disposed within five years of the Merger, or May 28, 2025. In general, an ownership change, as defined by Section 382, results from transactions increasing the ownership of certain stockholders or public groups in the stock of a corporation by more than 50% over a three-year period. The ownership changes will limit the amount of pre-merger Zafgen carryforwards that can be utilized annually to offset future taxable income with an annual limitation of approximately $35 thousand per year. The Company has reduced their NOL and R&amp;D tax credit deferred tax assets associated with the pre-Merger Zafgen operations as a result of the 382 analysis.</w:t>
      </w:r>
    </w:p>
    <w:p>
      <w:pPr>
        <w:spacing w:after="0" w:line="84"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as a result of its merger with Zafgen, its ability to utilize NOLs acquired in the transaction and our other NOLs is expected to be severely limited by Section 382 of the Code. Additionally, the Company’s July 2021, September 2022 and February 2024 equity transactions could also limit its ability to utilize NOLs in the future. The Company has not conducted a study to assess whether a change of control has occurred or whether there have been multiple changes of control since inception. If the Company experienced a change of control, as defined by Section 382, at any time since inception, utilization of its net operating loss carryforwards or tax credit carryforwards would be subject to an annual limitation under Section 382, which is determined by first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multiplying the value of the Company’s stock at the time of the ownership change by the applicable long-term tax-exempt rate, and then could be subject to additional adjustments, as required. Additionally, our July 2021, September 2022 and February 2024 equity transactions could also limit our ability to utilize NOLs in the future.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Tax Cuts and Jobs Act ("TCJA") requires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of $69.2 million, $24.5 million and $22.2 million in 2024, 2023 and 2022, respectively. The Company is amortizing these costs for tax purposes over five years if the research and development was performed in the U.S. and over 15 years if the research and development was performed outside the U.S.</w:t>
      </w:r>
    </w:p>
    <w:p>
      <w:pPr>
        <w:spacing w:after="0" w:line="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Company’s net deferred tax asset balance before the valuation allowance was $173.0 million and $141.8 million, respectively, and was comprised principally of net operating loss carryforwards, capitalized research and development expenses and tax credit carryforwards. During the years ended December 31, 2024 and 2023, gross deferred tax assets increased due to deferred tax assets acquired as a result of additional net operating loss carryforwards and research and development tax credits generated.</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2024 and 2023. Management reevaluates the positive and negative evidence at each reporting period.</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not recorded any amounts for unrecognized tax benefits as of December 31, 2024 and 2023.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2020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179"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135"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In May 2024, the Company entered into an agreement with the Friedreich’s Ataxia Research Alliance (FARA) to join the TRACK-FA Neuroimaging Consortium that includes pharmaceutical, biotechnology, academic and clinical partners. The consortium will conduct a natural history study designed to establish disease-specific neuroimaging biomarkers to track disease progression in the brain and spinal cord and provide a basis for utilizing these biomarkers in clinical trials. As an industry partner, the Company will help fund the study and contribute to the study design, research activities, and analysis. The Company will have access to all study data for use in its regulatory filings, as appropriate. During the twelve months ended December 31, 2024, the Company incurred $0.9 million of costs related to the Track-FA program and will fund future costs going forward. One of the Company’s Directors is also a director of FARA.</w:t>
      </w:r>
    </w:p>
    <w:p>
      <w:pPr>
        <w:spacing w:after="0" w:line="8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Additionally, during the twelve months ended December 31, 2024, the Company sponsored patient and caregiver awareness events held by FARA for a cumulative $0.1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color w:val="auto"/>
        </w:rPr>
        <w:t>GOODWIN PROCTER DRAFT: 2/15/2023</w:t>
      </w:r>
    </w:p>
    <w:p>
      <w:pPr>
        <w:spacing w:after="0" w:line="394"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25"/>
          <w:szCs w:val="25"/>
          <w:b w:val="1"/>
          <w:bCs w:val="1"/>
          <w:color w:val="auto"/>
        </w:rPr>
        <w:t>RESTRICTED STOCK UNIT AWARD AGREEMENT FOR COMPANY EMPLOYEES UNDER THE LARIMAR THERAPEUTICS, INC. 2020 EQUITY INCENTIVE PLAN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274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-13970</wp:posOffset>
            </wp:positionV>
            <wp:extent cx="274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-13970</wp:posOffset>
            </wp:positionV>
            <wp:extent cx="274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Pursuant to the Larimar Therapeutics, Inc. 2020 Equity Incentive Plan as amended through the date hereof (the “Plan”), Larimar Therapeutics, Inc. (the “Company”) hereby grants an award of the number of Restricted Stock Units listed above (an “Award”) to the Grantee named above. Each Restricted Stock Unit shall relate to one share of common stock, par value $0.001 per share (a “Share” or “Shares”) of the Company.</w:t>
      </w:r>
    </w:p>
    <w:p>
      <w:pPr>
        <w:spacing w:after="0" w:line="180" w:lineRule="exact"/>
        <w:rPr>
          <w:sz w:val="20"/>
          <w:szCs w:val="20"/>
          <w:color w:val="auto"/>
        </w:rPr>
      </w:pPr>
    </w:p>
    <w:p>
      <w:pPr>
        <w:ind w:right="220" w:firstLine="757"/>
        <w:spacing w:after="0" w:line="238" w:lineRule="auto"/>
        <w:tabs>
          <w:tab w:leader="none" w:pos="101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spacing w:after="0" w:line="176" w:lineRule="exact"/>
        <w:rPr>
          <w:rFonts w:ascii="Times New Roman" w:cs="Times New Roman" w:eastAsia="Times New Roman" w:hAnsi="Times New Roman"/>
          <w:sz w:val="22"/>
          <w:szCs w:val="22"/>
          <w:color w:val="auto"/>
        </w:rPr>
      </w:pPr>
    </w:p>
    <w:p>
      <w:pPr>
        <w:ind w:right="100" w:firstLine="757"/>
        <w:spacing w:after="0" w:line="239" w:lineRule="auto"/>
        <w:tabs>
          <w:tab w:leader="none" w:pos="101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The restrictions and conditions of Paragraph 1 of this Agreement shall lapse on the Vesting Date or Dates specified in the following schedule so long as the Grantee remains an employee of the Company or a Subsidiary on such Dates. If a series of Vesting Dates is specified, then the restrictions and conditions in Paragraph 1 shall lapse only with respect to the number of Restricted Stock Units specified as vested on such date.</w:t>
      </w:r>
    </w:p>
    <w:p>
      <w:pPr>
        <w:spacing w:after="0" w:line="170" w:lineRule="exact"/>
        <w:rPr>
          <w:sz w:val="20"/>
          <w:szCs w:val="20"/>
          <w:color w:val="auto"/>
        </w:rPr>
      </w:pPr>
    </w:p>
    <w:tbl>
      <w:tblPr>
        <w:tblLayout w:type="fixed"/>
        <w:tblInd w:w="2180" w:type="dxa"/>
        <w:tblCellMar>
          <w:top w:w="0" w:type="dxa"/>
          <w:left w:w="0" w:type="dxa"/>
          <w:bottom w:w="0" w:type="dxa"/>
          <w:right w:w="0" w:type="dxa"/>
        </w:tblCellMar>
      </w:tblPr>
      <w:tr>
        <w:trPr>
          <w:trHeight w:val="253"/>
        </w:trPr>
        <w:tc>
          <w:tcPr>
            <w:tcW w:w="3880" w:type="dxa"/>
            <w:vAlign w:val="bottom"/>
            <w:gridSpan w:val="2"/>
          </w:tcPr>
          <w:p>
            <w:pPr>
              <w:jc w:val="center"/>
              <w:ind w:right="1260"/>
              <w:spacing w:after="0"/>
              <w:rPr>
                <w:sz w:val="20"/>
                <w:szCs w:val="20"/>
                <w:color w:val="auto"/>
              </w:rPr>
            </w:pPr>
            <w:r>
              <w:rPr>
                <w:rFonts w:ascii="Times New Roman" w:cs="Times New Roman" w:eastAsia="Times New Roman" w:hAnsi="Times New Roman"/>
                <w:sz w:val="22"/>
                <w:szCs w:val="22"/>
                <w:color w:val="auto"/>
                <w:w w:val="97"/>
              </w:rPr>
              <w:t>Incremental Number of</w:t>
            </w: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0"/>
        </w:trPr>
        <w:tc>
          <w:tcPr>
            <w:tcW w:w="3880" w:type="dxa"/>
            <w:vAlign w:val="bottom"/>
            <w:gridSpan w:val="2"/>
          </w:tcPr>
          <w:p>
            <w:pPr>
              <w:jc w:val="center"/>
              <w:ind w:right="1280"/>
              <w:spacing w:after="0" w:line="230" w:lineRule="exact"/>
              <w:rPr>
                <w:sz w:val="20"/>
                <w:szCs w:val="20"/>
                <w:color w:val="auto"/>
              </w:rPr>
            </w:pPr>
            <w:r>
              <w:rPr>
                <w:rFonts w:ascii="Times New Roman" w:cs="Times New Roman" w:eastAsia="Times New Roman" w:hAnsi="Times New Roman"/>
                <w:sz w:val="22"/>
                <w:szCs w:val="22"/>
                <w:color w:val="auto"/>
                <w:w w:val="98"/>
              </w:rPr>
              <w:t>Restricted Stock Units Vested</w:t>
            </w:r>
          </w:p>
        </w:tc>
        <w:tc>
          <w:tcPr>
            <w:tcW w:w="1520" w:type="dxa"/>
            <w:vAlign w:val="bottom"/>
          </w:tcPr>
          <w:p>
            <w:pPr>
              <w:spacing w:after="0"/>
              <w:rPr>
                <w:sz w:val="19"/>
                <w:szCs w:val="19"/>
                <w:color w:val="auto"/>
              </w:rPr>
            </w:pPr>
          </w:p>
        </w:tc>
        <w:tc>
          <w:tcPr>
            <w:tcW w:w="1380" w:type="dxa"/>
            <w:vAlign w:val="bottom"/>
            <w:gridSpan w:val="2"/>
          </w:tcPr>
          <w:p>
            <w:pPr>
              <w:jc w:val="center"/>
              <w:ind w:right="260"/>
              <w:spacing w:after="0" w:line="230" w:lineRule="exact"/>
              <w:rPr>
                <w:sz w:val="20"/>
                <w:szCs w:val="20"/>
                <w:color w:val="auto"/>
              </w:rPr>
            </w:pPr>
            <w:r>
              <w:rPr>
                <w:rFonts w:ascii="Times New Roman" w:cs="Times New Roman" w:eastAsia="Times New Roman" w:hAnsi="Times New Roman"/>
                <w:sz w:val="22"/>
                <w:szCs w:val="22"/>
                <w:color w:val="auto"/>
                <w:w w:val="96"/>
              </w:rPr>
              <w:t>Vesting Date</w:t>
            </w:r>
          </w:p>
        </w:tc>
      </w:tr>
      <w:tr>
        <w:trPr>
          <w:trHeight w:val="20"/>
        </w:trPr>
        <w:tc>
          <w:tcPr>
            <w:tcW w:w="26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75"/>
        </w:trPr>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280" w:type="dxa"/>
            <w:vAlign w:val="bottom"/>
          </w:tcPr>
          <w:p>
            <w:pPr>
              <w:spacing w:after="0"/>
              <w:rPr>
                <w:sz w:val="24"/>
                <w:szCs w:val="24"/>
                <w:color w:val="auto"/>
              </w:rPr>
            </w:pPr>
          </w:p>
        </w:tc>
        <w:tc>
          <w:tcPr>
            <w:tcW w:w="2900" w:type="dxa"/>
            <w:vAlign w:val="bottom"/>
            <w:gridSpan w:val="3"/>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43"/>
        </w:trPr>
        <w:tc>
          <w:tcPr>
            <w:tcW w:w="2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1280" w:type="dxa"/>
            <w:vAlign w:val="bottom"/>
          </w:tcPr>
          <w:p>
            <w:pPr>
              <w:spacing w:after="0"/>
              <w:rPr>
                <w:sz w:val="21"/>
                <w:szCs w:val="21"/>
                <w:color w:val="auto"/>
              </w:rPr>
            </w:pPr>
          </w:p>
        </w:tc>
        <w:tc>
          <w:tcPr>
            <w:tcW w:w="2900" w:type="dxa"/>
            <w:vAlign w:val="bottom"/>
            <w:gridSpan w:val="3"/>
          </w:tcPr>
          <w:p>
            <w:pPr>
              <w:jc w:val="center"/>
              <w:ind w:left="11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43"/>
        </w:trPr>
        <w:tc>
          <w:tcPr>
            <w:tcW w:w="2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1280" w:type="dxa"/>
            <w:vAlign w:val="bottom"/>
          </w:tcPr>
          <w:p>
            <w:pPr>
              <w:spacing w:after="0"/>
              <w:rPr>
                <w:sz w:val="21"/>
                <w:szCs w:val="21"/>
                <w:color w:val="auto"/>
              </w:rPr>
            </w:pPr>
          </w:p>
        </w:tc>
        <w:tc>
          <w:tcPr>
            <w:tcW w:w="2900" w:type="dxa"/>
            <w:vAlign w:val="bottom"/>
            <w:gridSpan w:val="3"/>
          </w:tcPr>
          <w:p>
            <w:pPr>
              <w:jc w:val="center"/>
              <w:ind w:left="11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86"/>
        </w:trPr>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280" w:type="dxa"/>
            <w:vAlign w:val="bottom"/>
          </w:tcPr>
          <w:p>
            <w:pPr>
              <w:spacing w:after="0"/>
              <w:rPr>
                <w:sz w:val="24"/>
                <w:szCs w:val="24"/>
                <w:color w:val="auto"/>
              </w:rPr>
            </w:pPr>
          </w:p>
        </w:tc>
        <w:tc>
          <w:tcPr>
            <w:tcW w:w="2900" w:type="dxa"/>
            <w:vAlign w:val="bottom"/>
            <w:gridSpan w:val="3"/>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Administrator may at any time accelerate the vesting schedule specified in this Paragraph 2.</w:t>
      </w:r>
    </w:p>
    <w:p>
      <w:pPr>
        <w:spacing w:after="0" w:line="206" w:lineRule="exact"/>
        <w:rPr>
          <w:sz w:val="20"/>
          <w:szCs w:val="20"/>
          <w:color w:val="auto"/>
        </w:rPr>
      </w:pPr>
    </w:p>
    <w:p>
      <w:pPr>
        <w:ind w:right="80" w:firstLine="757"/>
        <w:spacing w:after="0" w:line="239" w:lineRule="auto"/>
        <w:tabs>
          <w:tab w:leader="none" w:pos="101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If the Grantee’s employment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ACTIVE/121521257.3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representatives will thereafter have any further rights or interests in such unvested Restricted Stock Units.</w:t>
      </w:r>
    </w:p>
    <w:p>
      <w:pPr>
        <w:spacing w:after="0" w:line="206" w:lineRule="exact"/>
        <w:rPr>
          <w:sz w:val="20"/>
          <w:szCs w:val="20"/>
          <w:color w:val="auto"/>
        </w:rPr>
      </w:pPr>
    </w:p>
    <w:p>
      <w:pPr>
        <w:ind w:right="80" w:firstLine="757"/>
        <w:spacing w:after="0" w:line="239" w:lineRule="auto"/>
        <w:tabs>
          <w:tab w:leader="none" w:pos="10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80" w:lineRule="exact"/>
        <w:rPr>
          <w:rFonts w:ascii="Times New Roman" w:cs="Times New Roman" w:eastAsia="Times New Roman" w:hAnsi="Times New Roman"/>
          <w:sz w:val="22"/>
          <w:szCs w:val="22"/>
          <w:color w:val="auto"/>
        </w:rPr>
      </w:pPr>
    </w:p>
    <w:p>
      <w:pPr>
        <w:ind w:right="180" w:firstLine="757"/>
        <w:spacing w:after="0" w:line="261" w:lineRule="auto"/>
        <w:tabs>
          <w:tab w:leader="none" w:pos="101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 governed by all the terms and conditions of the Plan, including the powers of the Committee set forth in Section 2 of the Plan. Capitalized terms in this Agreement shall have the meaning specified in the Plan, unless a different meaning is specified herein.</w:t>
      </w:r>
    </w:p>
    <w:p>
      <w:pPr>
        <w:spacing w:after="0" w:line="157" w:lineRule="exact"/>
        <w:rPr>
          <w:rFonts w:ascii="Times New Roman" w:cs="Times New Roman" w:eastAsia="Times New Roman" w:hAnsi="Times New Roman"/>
          <w:sz w:val="21"/>
          <w:szCs w:val="21"/>
          <w:color w:val="auto"/>
        </w:rPr>
      </w:pPr>
    </w:p>
    <w:p>
      <w:pPr>
        <w:ind w:right="20" w:firstLine="757"/>
        <w:spacing w:after="0" w:line="249" w:lineRule="auto"/>
        <w:tabs>
          <w:tab w:leader="none" w:pos="101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To the extent authorized by the Committee, the required tax withholding obligation may be satisfied, in whole or in part, by withholding from Shares to be issued to the Grantee a number of Shares with an aggregate Fair Market Value that would satisfy the withholding amount due. The Company has the right to deduct any such taxes from payment of any kind otherwise due to the Grantee.</w:t>
      </w:r>
    </w:p>
    <w:p>
      <w:pPr>
        <w:spacing w:after="0" w:line="170" w:lineRule="exact"/>
        <w:rPr>
          <w:rFonts w:ascii="Times New Roman" w:cs="Times New Roman" w:eastAsia="Times New Roman" w:hAnsi="Times New Roman"/>
          <w:sz w:val="21"/>
          <w:szCs w:val="21"/>
          <w:color w:val="auto"/>
        </w:rPr>
      </w:pPr>
    </w:p>
    <w:p>
      <w:pPr>
        <w:ind w:firstLine="757"/>
        <w:spacing w:after="0" w:line="238" w:lineRule="auto"/>
        <w:tabs>
          <w:tab w:leader="none" w:pos="10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The Grantee acknowledges that the Company has not advised the Grantee regarding the Grantee’s tax liability in connection with this Award. The Grantee acknowledges that the Grantee has reviewed with the Grantee’s own tax advisors the tax treatment of this Award (including the issuance of any Shares in settlement of the Restricted Stock Units hereunder) and is relying solely on those advisors in that regard. The Grantee understands that the Grantee (and not the Company) will be responsible for the Grantee’s own tax liabilities arising in connection with this Award.</w:t>
      </w:r>
    </w:p>
    <w:p>
      <w:pPr>
        <w:spacing w:after="0" w:line="176" w:lineRule="exact"/>
        <w:rPr>
          <w:rFonts w:ascii="Times New Roman" w:cs="Times New Roman" w:eastAsia="Times New Roman" w:hAnsi="Times New Roman"/>
          <w:sz w:val="22"/>
          <w:szCs w:val="22"/>
          <w:color w:val="auto"/>
        </w:rPr>
      </w:pPr>
    </w:p>
    <w:p>
      <w:pPr>
        <w:ind w:right="120" w:firstLine="757"/>
        <w:spacing w:after="0" w:line="244" w:lineRule="auto"/>
        <w:tabs>
          <w:tab w:leader="none" w:pos="10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Continuation of Service</w:t>
      </w:r>
      <w:r>
        <w:rPr>
          <w:rFonts w:ascii="Times New Roman" w:cs="Times New Roman" w:eastAsia="Times New Roman" w:hAnsi="Times New Roman"/>
          <w:sz w:val="22"/>
          <w:szCs w:val="22"/>
          <w:color w:val="auto"/>
        </w:rPr>
        <w:t>. This Agreement will not confer upon the Grantee any right to continue in the</w:t>
      </w:r>
    </w:p>
    <w:p>
      <w:pPr>
        <w:spacing w:after="0" w:line="14" w:lineRule="exact"/>
        <w:rPr>
          <w:rFonts w:ascii="Times New Roman" w:cs="Times New Roman" w:eastAsia="Times New Roman" w:hAnsi="Times New Roman"/>
          <w:sz w:val="22"/>
          <w:szCs w:val="22"/>
          <w:color w:val="auto"/>
        </w:rPr>
      </w:pPr>
    </w:p>
    <w:p>
      <w:pPr>
        <w:ind w:right="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or service of the Company or any of its Affiliates, or limit in any respect the right of the Company or its Affiliates to discharge the Grantee at any time, for any reason.</w:t>
      </w:r>
    </w:p>
    <w:p>
      <w:pPr>
        <w:spacing w:after="0" w:line="178"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represents the entire agreement between the parties with respect to the subject matter hereof and supersedes any prior agreement, written or otherwise, relating to the subject matter 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ACTIVE/121521257.3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ind w:firstLine="749"/>
        <w:spacing w:after="0" w:line="23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9"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Electronic Delivery of Documents</w:t>
      </w:r>
      <w:r>
        <w:rPr>
          <w:rFonts w:ascii="Times New Roman" w:cs="Times New Roman" w:eastAsia="Times New Roman" w:hAnsi="Times New Roman"/>
          <w:sz w:val="22"/>
          <w:szCs w:val="22"/>
          <w:color w:val="auto"/>
        </w:rPr>
        <w:t>. The Grantee authorizes the Company to deliver electronically any prospectuses or other documentation related to this Award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Grantee a paper copy of any document also delivered to the Grantee electronically. The authorization described in this Paragraph may be revoked by the Grantee at any time by written notice to the Company.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ACTIVE/121521257.3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5" w:name="page136"/>
    <w:bookmarkEnd w:id="135"/>
    <w:p>
      <w:pPr>
        <w:ind w:left="4880"/>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-13970</wp:posOffset>
            </wp:positionV>
            <wp:extent cx="274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jc w:val="center"/>
        <w:ind w:right="-319"/>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-13970</wp:posOffset>
            </wp:positionV>
            <wp:extent cx="2743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-13970</wp:posOffset>
            </wp:positionV>
            <wp:extent cx="2743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276860</wp:posOffset>
            </wp:positionV>
            <wp:extent cx="274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568325</wp:posOffset>
            </wp:positionV>
            <wp:extent cx="274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859790</wp:posOffset>
            </wp:positionV>
            <wp:extent cx="274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ACTIVE/121521257.3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04" w:right="819" w:bottom="1440" w:gutter="0" w:footer="0" w:header="0"/>
        </w:sectPr>
      </w:pPr>
    </w:p>
    <w:bookmarkStart w:id="136" w:name="page137"/>
    <w:bookmarkEnd w:id="136"/>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LARIMAR THERAPEUTICS, INC.</w:t>
      </w:r>
    </w:p>
    <w:p>
      <w:pPr>
        <w:spacing w:after="0" w:line="307" w:lineRule="exact"/>
        <w:rPr>
          <w:sz w:val="20"/>
          <w:szCs w:val="20"/>
          <w:color w:val="auto"/>
        </w:rPr>
      </w:pPr>
    </w:p>
    <w:p>
      <w:pPr>
        <w:jc w:val="center"/>
        <w:ind w:right="40"/>
        <w:spacing w:after="0" w:line="267" w:lineRule="auto"/>
        <w:rPr>
          <w:sz w:val="20"/>
          <w:szCs w:val="20"/>
          <w:color w:val="auto"/>
        </w:rPr>
      </w:pPr>
      <w:r>
        <w:rPr>
          <w:rFonts w:ascii="Times New Roman" w:cs="Times New Roman" w:eastAsia="Times New Roman" w:hAnsi="Times New Roman"/>
          <w:sz w:val="25"/>
          <w:szCs w:val="25"/>
          <w:b w:val="1"/>
          <w:bCs w:val="1"/>
          <w:color w:val="auto"/>
        </w:rPr>
        <w:t>NON-QUALIFIED STOCK OPTION GRANT NOTICE AND AWARD AGREEMENT NON-PLAN INDUCEMENT AWARD</w:t>
      </w:r>
    </w:p>
    <w:p>
      <w:pPr>
        <w:spacing w:after="0" w:line="365"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Larimar Therapeutics, Inc., a Delaware corporation (the “Company”), hereby grants to the individual listed below (“Participant”) an non-qualified stock option to purchase the number of Shares set forth below (the “Option”). The Option is subject to the terms and conditions set forth in this Non-Qualified Stock Option Grant Notice (the “Grant Notice”) and the Award Agreement attached hereto as Exhibit A (the “Agreement”), which is incorporated herein by reference. This Option has been granted as an employment inducement grant pursuant to Rule 5635(c)(4) of the Marketplace Rules of NASDAQ Stock Market, Inc., is not issued under the Company’s 2020 Equity Incentive Plan, as amended through the date hereof (the “Plan”), and does not reduce the share reserve under the Plan. However, for purposes of interpreting the applicable provisions of this Option, the terms and conditions of the Plan (other than those applicable to the share reserve) shall govern and apply to this Option as if this Option had actually been issued under the Plan. This Option is not intended to be an “incentive stock option” under Section 422 of the Internal Revenue Code of 1986, as amended. Unless otherwise defined herein, the terms defined in the Plan shall have the same defined meanings in this Grant Notice and the Agreement.</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Participant:</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Borders>
              <w:bottom w:val="single" w:sz="8" w:color="auto"/>
            </w:tcBorders>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6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 xml:space="preserve">Exercise Price Per Share:  </w:t>
            </w:r>
            <w:r>
              <w:rPr>
                <w:rFonts w:ascii="Times New Roman" w:cs="Times New Roman" w:eastAsia="Times New Roman" w:hAnsi="Times New Roman"/>
                <w:sz w:val="22"/>
                <w:szCs w:val="22"/>
                <w:color w:val="auto"/>
              </w:rPr>
              <w:t>[</w:t>
            </w:r>
          </w:p>
        </w:tc>
        <w:tc>
          <w:tcPr>
            <w:tcW w:w="360" w:type="dxa"/>
            <w:vAlign w:val="bottom"/>
            <w:tcBorders>
              <w:bottom w:val="single" w:sz="8" w:color="auto"/>
            </w:tcBorders>
          </w:tcPr>
          <w:p>
            <w:pPr>
              <w:spacing w:after="0"/>
              <w:rPr>
                <w:sz w:val="24"/>
                <w:szCs w:val="24"/>
                <w:color w:val="auto"/>
              </w:rPr>
            </w:pP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81"/>
              </w:rPr>
              <w: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1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Total Number of Shares Subject to Option:</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39"/>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Expiration Date:</w:t>
            </w:r>
          </w:p>
        </w:tc>
        <w:tc>
          <w:tcPr>
            <w:tcW w:w="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b w:val="1"/>
                <w:bCs w:val="1"/>
                <w:color w:val="auto"/>
                <w:w w:val="98"/>
              </w:rPr>
              <w:t xml:space="preserve">Vesting Schedule: </w:t>
            </w:r>
            <w:r>
              <w:rPr>
                <w:rFonts w:ascii="Times New Roman" w:cs="Times New Roman" w:eastAsia="Times New Roman" w:hAnsi="Times New Roman"/>
                <w:sz w:val="22"/>
                <w:szCs w:val="22"/>
                <w:color w:val="auto"/>
                <w:w w:val="98"/>
              </w:rPr>
              <w:t>[</w:t>
            </w: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4"/>
            <w:vMerge w:val="continue"/>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20" w:right="180" w:firstLine="457"/>
        <w:spacing w:after="0" w:line="235" w:lineRule="auto"/>
        <w:rPr>
          <w:sz w:val="20"/>
          <w:szCs w:val="20"/>
          <w:color w:val="auto"/>
        </w:rPr>
      </w:pPr>
      <w:r>
        <w:rPr>
          <w:rFonts w:ascii="Times New Roman" w:cs="Times New Roman" w:eastAsia="Times New Roman" w:hAnsi="Times New Roman"/>
          <w:sz w:val="22"/>
          <w:szCs w:val="22"/>
          <w:color w:val="auto"/>
        </w:rPr>
        <w:t>By Participant’s signature below, Participant agrees to be bound by the terms and conditions of the Agreement and the Grant Notice, and, for purposes of interpreting the provisions of the Option, the terms and conditions of the Plan (other than those applicable to the share reserve) shall govern and apply to this Option as if this Option had actually been issued under the Plan. Participant has reviewed the Agreement, the Plan and the Grant Notice in their entirety, has had an opportunity to obtain the advice of counsel prior to executing the Grant Notice and fully understands all provisions of the Grant Notice, the Agreement and the Plan. This document may be executed, including by electronic means, in multiple counterparts, each of which will be deemed an original, and all of which together will be deemed a single instrument.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LARIMAR THERAPEUTICS, INC. PARTICIPANT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137" w:name="page138"/>
    <w:bookmarkEnd w:id="137"/>
    <w:p>
      <w:pPr>
        <w:spacing w:after="0" w:line="200" w:lineRule="exact"/>
        <w:rPr>
          <w:sz w:val="20"/>
          <w:szCs w:val="20"/>
          <w:color w:val="auto"/>
        </w:rPr>
      </w:pPr>
    </w:p>
    <w:p>
      <w:pPr>
        <w:spacing w:after="0" w:line="335" w:lineRule="exact"/>
        <w:rPr>
          <w:sz w:val="20"/>
          <w:szCs w:val="20"/>
          <w:color w:val="auto"/>
        </w:rPr>
      </w:pPr>
    </w:p>
    <w:p>
      <w:pPr>
        <w:ind w:left="120"/>
        <w:spacing w:after="0"/>
        <w:tabs>
          <w:tab w:leader="none" w:pos="4420" w:val="left"/>
        </w:tabs>
        <w:rPr>
          <w:sz w:val="20"/>
          <w:szCs w:val="20"/>
          <w:color w:val="auto"/>
        </w:rPr>
      </w:pPr>
      <w:r>
        <w:rPr>
          <w:rFonts w:ascii="Times New Roman" w:cs="Times New Roman" w:eastAsia="Times New Roman" w:hAnsi="Times New Roman"/>
          <w:sz w:val="21"/>
          <w:szCs w:val="21"/>
          <w:color w:val="auto"/>
        </w:rPr>
        <w:t>_____________________________________</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26"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22"/>
          <w:szCs w:val="22"/>
          <w:color w:val="auto"/>
        </w:rPr>
        <w:t>Name:</w:t>
        <w:tab/>
        <w:t>Name:</w:t>
      </w:r>
    </w:p>
    <w:p>
      <w:pPr>
        <w:spacing w:after="0" w:line="182"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Title:</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8" w:name="page139"/>
    <w:bookmarkEnd w:id="138"/>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EXHIBIT A</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TO NON-QUALIFIED STOCK OPTION GRANT</w:t>
      </w: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NOTICE AWARD AGREEMENT</w:t>
      </w:r>
    </w:p>
    <w:p>
      <w:pPr>
        <w:spacing w:after="0" w:line="200" w:lineRule="exact"/>
        <w:rPr>
          <w:sz w:val="20"/>
          <w:szCs w:val="20"/>
          <w:color w:val="auto"/>
        </w:rPr>
      </w:pPr>
    </w:p>
    <w:p>
      <w:pPr>
        <w:spacing w:after="0" w:line="243"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Pursuant to the Grant Notice to which this Agreement is attached, the Company has granted to Participant an Option under the Plan to purchase the number of Shares set forth in the Grant Notice.</w:t>
      </w:r>
    </w:p>
    <w:p>
      <w:pPr>
        <w:spacing w:after="0" w:line="158" w:lineRule="exact"/>
        <w:rPr>
          <w:sz w:val="20"/>
          <w:szCs w:val="20"/>
          <w:color w:val="auto"/>
        </w:rPr>
      </w:pPr>
    </w:p>
    <w:p>
      <w:pPr>
        <w:ind w:firstLine="757"/>
        <w:spacing w:after="0" w:line="236"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Option</w:t>
      </w:r>
      <w:r>
        <w:rPr>
          <w:rFonts w:ascii="Times New Roman" w:cs="Times New Roman" w:eastAsia="Times New Roman" w:hAnsi="Times New Roman"/>
          <w:sz w:val="22"/>
          <w:szCs w:val="22"/>
          <w:color w:val="auto"/>
        </w:rPr>
        <w:t>. In consideration of Participant’s employment with or service to the Company and for other good and valuable consideration, effective as of the Grant Date set forth in the Grant Notice, the Company has granted to Participant the Option to purchase part or all of the aggregate number of Shares set forth in the Grant Notice, subject to the terms and conditions set forth in the Grant Notice and this Agreement, and, as set forth above, for purposes of interpreting the provisions of the Option, the terms and conditions of the Plan (other than those applicable to the share reserve) shall govern and apply to this Option as if this Option had actually been issued under the Plan.</w:t>
      </w:r>
    </w:p>
    <w:p>
      <w:pPr>
        <w:spacing w:after="0" w:line="181" w:lineRule="exact"/>
        <w:rPr>
          <w:rFonts w:ascii="Times New Roman" w:cs="Times New Roman" w:eastAsia="Times New Roman" w:hAnsi="Times New Roman"/>
          <w:sz w:val="22"/>
          <w:szCs w:val="22"/>
          <w:color w:val="auto"/>
        </w:rPr>
      </w:pPr>
    </w:p>
    <w:p>
      <w:pPr>
        <w:ind w:right="460" w:firstLine="757"/>
        <w:spacing w:after="0" w:line="258"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Grant; Term of Option</w:t>
      </w:r>
      <w:r>
        <w:rPr>
          <w:rFonts w:ascii="Times New Roman" w:cs="Times New Roman" w:eastAsia="Times New Roman" w:hAnsi="Times New Roman"/>
          <w:sz w:val="22"/>
          <w:szCs w:val="22"/>
          <w:color w:val="auto"/>
        </w:rPr>
        <w:t>. The Option is granted on the Grant Date and may not be exercised later than the Expiration Date, subject to earlier termination in accordance with this Agreement.</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Exercise Price</w:t>
      </w:r>
      <w:r>
        <w:rPr>
          <w:rFonts w:ascii="Times New Roman" w:cs="Times New Roman" w:eastAsia="Times New Roman" w:hAnsi="Times New Roman"/>
          <w:sz w:val="22"/>
          <w:szCs w:val="22"/>
          <w:color w:val="auto"/>
        </w:rPr>
        <w:t>. The exercise price per Share of the Option (the “Exercise Price”) is set forth in the Grant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w:t>
      </w:r>
    </w:p>
    <w:p>
      <w:pPr>
        <w:spacing w:after="0" w:line="18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Exercise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40" w:firstLine="1505"/>
        <w:spacing w:after="0" w:line="282" w:lineRule="auto"/>
        <w:tabs>
          <w:tab w:leader="none" w:pos="2036"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Subject to the continued service of the Participant with the Company through the relevant vesting dates, the Option shall become vested and exercisable in such amounts and at such times as set forth in the Grant Notice.</w:t>
      </w:r>
    </w:p>
    <w:p>
      <w:pPr>
        <w:spacing w:after="0" w:line="134" w:lineRule="exact"/>
        <w:rPr>
          <w:rFonts w:ascii="Times New Roman" w:cs="Times New Roman" w:eastAsia="Times New Roman" w:hAnsi="Times New Roman"/>
          <w:sz w:val="21"/>
          <w:szCs w:val="21"/>
          <w:color w:val="auto"/>
        </w:rPr>
      </w:pPr>
    </w:p>
    <w:p>
      <w:pPr>
        <w:ind w:right="20" w:firstLine="1505"/>
        <w:spacing w:after="0" w:line="282" w:lineRule="auto"/>
        <w:tabs>
          <w:tab w:leader="none" w:pos="2036"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with Affiliates</w:t>
      </w:r>
      <w:r>
        <w:rPr>
          <w:rFonts w:ascii="Times New Roman" w:cs="Times New Roman" w:eastAsia="Times New Roman" w:hAnsi="Times New Roman"/>
          <w:sz w:val="21"/>
          <w:szCs w:val="21"/>
          <w:color w:val="auto"/>
        </w:rPr>
        <w:t>. Solely for purposes of this Agreement, service with the Company will be deemed to include service with an Affiliate of the Company (for only so long as such entity remains an Affiliate of the Company).</w:t>
      </w:r>
    </w:p>
    <w:p>
      <w:pPr>
        <w:spacing w:after="0" w:line="134" w:lineRule="exact"/>
        <w:rPr>
          <w:rFonts w:ascii="Times New Roman" w:cs="Times New Roman" w:eastAsia="Times New Roman" w:hAnsi="Times New Roman"/>
          <w:sz w:val="21"/>
          <w:szCs w:val="21"/>
          <w:color w:val="auto"/>
        </w:rPr>
      </w:pPr>
    </w:p>
    <w:p>
      <w:pPr>
        <w:ind w:right="400" w:firstLine="1505"/>
        <w:spacing w:after="0" w:line="258" w:lineRule="auto"/>
        <w:tabs>
          <w:tab w:leader="none" w:pos="203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of Service on the Option</w:t>
      </w:r>
      <w:r>
        <w:rPr>
          <w:rFonts w:ascii="Times New Roman" w:cs="Times New Roman" w:eastAsia="Times New Roman" w:hAnsi="Times New Roman"/>
          <w:sz w:val="22"/>
          <w:szCs w:val="22"/>
          <w:color w:val="auto"/>
        </w:rPr>
        <w:t>. If the Participant’s service ceases for any reason, the termination or survival of the Option will be determined in accordance with Section 7 of the Plan.</w:t>
      </w:r>
    </w:p>
    <w:p>
      <w:pPr>
        <w:spacing w:after="0" w:line="158" w:lineRule="exact"/>
        <w:rPr>
          <w:rFonts w:ascii="Times New Roman" w:cs="Times New Roman" w:eastAsia="Times New Roman" w:hAnsi="Times New Roman"/>
          <w:sz w:val="22"/>
          <w:szCs w:val="22"/>
          <w:color w:val="auto"/>
        </w:rPr>
      </w:pPr>
    </w:p>
    <w:p>
      <w:pPr>
        <w:ind w:right="140" w:firstLine="1505"/>
        <w:spacing w:after="0" w:line="238" w:lineRule="auto"/>
        <w:tabs>
          <w:tab w:leader="none" w:pos="203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The Participant may exercise the Option by delivering a payment of the Exercise Price, any required tax withholding and written notice of exercise to the Company in accordance with Section 5(d) of the Plan. To the extent permitted (and subject to procedures established) by the Committee in its discretion, the Participant may also pay the Exercise Price (i) by surrendering previously acquired Shares to the Company, which Shares have an aggregate Fair Market Value on the date of exercise equal to the aggregate</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6" w:right="419" w:bottom="1440" w:gutter="0" w:footer="0" w:header="0"/>
        </w:sectPr>
      </w:pPr>
    </w:p>
    <w:bookmarkStart w:id="139" w:name="page140"/>
    <w:bookmarkEnd w:id="139"/>
    <w:p>
      <w:pPr>
        <w:ind w:right="40"/>
        <w:spacing w:after="0" w:line="238" w:lineRule="auto"/>
        <w:rPr>
          <w:sz w:val="20"/>
          <w:szCs w:val="20"/>
          <w:color w:val="auto"/>
        </w:rPr>
      </w:pPr>
      <w:r>
        <w:rPr>
          <w:rFonts w:ascii="Times New Roman" w:cs="Times New Roman" w:eastAsia="Times New Roman" w:hAnsi="Times New Roman"/>
          <w:sz w:val="22"/>
          <w:szCs w:val="22"/>
          <w:color w:val="auto"/>
        </w:rPr>
        <w:t>Exercise Price then due (or by means of attestation, whereby the Participant identifies specific previously acquired Shares having an aggregate Fair Market Value on the date of exercise equal to the aggregate Exercise Price then due and the number of Shares actually delivered upon exercise is reduced by the number of such identified Shares), or (ii) by means of a broker-assisted cashless exercise. The notice of exercise must also be accompanied by any further documents or instruments necessary or desirable to carry out the purposes or intent of this Agreement.</w:t>
      </w:r>
    </w:p>
    <w:p>
      <w:pPr>
        <w:spacing w:after="0" w:line="177" w:lineRule="exact"/>
        <w:rPr>
          <w:sz w:val="20"/>
          <w:szCs w:val="20"/>
          <w:color w:val="auto"/>
        </w:rPr>
      </w:pPr>
    </w:p>
    <w:p>
      <w:pPr>
        <w:ind w:right="260" w:firstLine="1505"/>
        <w:spacing w:after="0" w:line="282" w:lineRule="auto"/>
        <w:tabs>
          <w:tab w:leader="none" w:pos="2036"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Partial Exercise</w:t>
      </w:r>
      <w:r>
        <w:rPr>
          <w:rFonts w:ascii="Times New Roman" w:cs="Times New Roman" w:eastAsia="Times New Roman" w:hAnsi="Times New Roman"/>
          <w:sz w:val="21"/>
          <w:szCs w:val="21"/>
          <w:color w:val="auto"/>
        </w:rPr>
        <w:t>. The minimum number of Shares with respect to which the Option may be exercised at any one time shall be the lesser of (i) 100 Shares, or (ii) the total number of Shares as to which the Option is then exercisable.</w:t>
      </w:r>
    </w:p>
    <w:p>
      <w:pPr>
        <w:spacing w:after="0" w:line="134" w:lineRule="exact"/>
        <w:rPr>
          <w:rFonts w:ascii="Times New Roman" w:cs="Times New Roman" w:eastAsia="Times New Roman" w:hAnsi="Times New Roman"/>
          <w:sz w:val="21"/>
          <w:szCs w:val="21"/>
          <w:color w:val="auto"/>
        </w:rPr>
      </w:pPr>
    </w:p>
    <w:p>
      <w:pPr>
        <w:ind w:firstLine="1505"/>
        <w:spacing w:after="0" w:line="239" w:lineRule="auto"/>
        <w:tabs>
          <w:tab w:leader="none" w:pos="203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Exercise</w:t>
      </w:r>
      <w:r>
        <w:rPr>
          <w:rFonts w:ascii="Times New Roman" w:cs="Times New Roman" w:eastAsia="Times New Roman" w:hAnsi="Times New Roman"/>
          <w:sz w:val="22"/>
          <w:szCs w:val="22"/>
          <w:color w:val="auto"/>
        </w:rPr>
        <w:t>. The Option may not be exercised, and any purported exercise will be void, if the issuance of Shares upon such exercise would constitute a violation of any law, regulation or exchange listing requirement. The Committee may from time to time modify the terms of the Option or impose additional conditions on the exercise of the Option as it deems necessary or appropriate to facilitate compliance with any law, regulation or exchange listing requirement.</w:t>
      </w:r>
    </w:p>
    <w:p>
      <w:pPr>
        <w:spacing w:after="0" w:line="180" w:lineRule="exact"/>
        <w:rPr>
          <w:rFonts w:ascii="Times New Roman" w:cs="Times New Roman" w:eastAsia="Times New Roman" w:hAnsi="Times New Roman"/>
          <w:sz w:val="22"/>
          <w:szCs w:val="22"/>
          <w:color w:val="auto"/>
        </w:rPr>
      </w:pPr>
    </w:p>
    <w:p>
      <w:pPr>
        <w:ind w:right="20" w:firstLine="757"/>
        <w:spacing w:after="0" w:line="238"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The Participant represents and warrants he or she is acquiring the Option (and upon exercise of the Option, will be acquiring the subject Shares) for investment for the Participant’s own account, not as a nominee or agent, and not with a view to, or for resale in connection with, any distribution thereof. As a further condition to the exercise of the Option, the Company may require the Participant to make any representation or warranty as may be required by or advisable under any applicable law or regulation.</w:t>
      </w:r>
    </w:p>
    <w:p>
      <w:pPr>
        <w:spacing w:after="0" w:line="176" w:lineRule="exact"/>
        <w:rPr>
          <w:rFonts w:ascii="Times New Roman" w:cs="Times New Roman" w:eastAsia="Times New Roman" w:hAnsi="Times New Roman"/>
          <w:sz w:val="22"/>
          <w:szCs w:val="22"/>
          <w:color w:val="auto"/>
        </w:rPr>
      </w:pPr>
    </w:p>
    <w:p>
      <w:pPr>
        <w:ind w:right="260" w:firstLine="757"/>
        <w:spacing w:after="0" w:line="244"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Except as may be permitted by the Committee in accordance with Section 14 of the Plan, the Option may not be sold, pledged, assigned, hypothecated, gifted, transferred or disposed of in any manner, either voluntarily or involuntarily, other than by will or by the laws of descent and distribution.</w:t>
      </w:r>
    </w:p>
    <w:p>
      <w:pPr>
        <w:spacing w:after="0" w:line="173" w:lineRule="exact"/>
        <w:rPr>
          <w:rFonts w:ascii="Times New Roman" w:cs="Times New Roman" w:eastAsia="Times New Roman" w:hAnsi="Times New Roman"/>
          <w:sz w:val="22"/>
          <w:szCs w:val="22"/>
          <w:color w:val="auto"/>
        </w:rPr>
      </w:pPr>
    </w:p>
    <w:p>
      <w:pPr>
        <w:ind w:right="640" w:firstLine="757"/>
        <w:spacing w:after="0" w:line="282" w:lineRule="auto"/>
        <w:tabs>
          <w:tab w:leader="none" w:pos="101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The Exercise Price, as well as the number and kind of shares subject to the Option, are subject to adjustment at the discretion of the Committee, including, but not limited to, in accordance with Section 3(d) of the Plan.</w:t>
      </w:r>
    </w:p>
    <w:p>
      <w:pPr>
        <w:spacing w:after="0" w:line="134" w:lineRule="exact"/>
        <w:rPr>
          <w:rFonts w:ascii="Times New Roman" w:cs="Times New Roman" w:eastAsia="Times New Roman" w:hAnsi="Times New Roman"/>
          <w:sz w:val="21"/>
          <w:szCs w:val="21"/>
          <w:color w:val="auto"/>
        </w:rPr>
      </w:pPr>
    </w:p>
    <w:p>
      <w:pPr>
        <w:ind w:right="100" w:firstLine="757"/>
        <w:spacing w:after="0" w:line="238"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The Participant acknowledges that the Company has not advised the Participant regarding the Participant’s tax liability in connection with the Option. The Participant acknowledges that the Participant has reviewed with the Participant’s own tax advisors the tax treatment of the Option (including the purchase and sale of Shares subject hereto) and is relying solely on those advisors in that regard. The Participant understands that the Participant (and not the Company) will be responsible for the Participant’s own tax liabilities arising in connection with the Option.</w:t>
      </w:r>
    </w:p>
    <w:p>
      <w:pPr>
        <w:spacing w:after="0" w:line="176" w:lineRule="exact"/>
        <w:rPr>
          <w:rFonts w:ascii="Times New Roman" w:cs="Times New Roman" w:eastAsia="Times New Roman" w:hAnsi="Times New Roman"/>
          <w:sz w:val="22"/>
          <w:szCs w:val="22"/>
          <w:color w:val="auto"/>
        </w:rPr>
      </w:pPr>
    </w:p>
    <w:p>
      <w:pPr>
        <w:ind w:right="800" w:firstLine="757"/>
        <w:spacing w:after="0" w:line="258"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Continuation of Service</w:t>
      </w:r>
      <w:r>
        <w:rPr>
          <w:rFonts w:ascii="Times New Roman" w:cs="Times New Roman" w:eastAsia="Times New Roman" w:hAnsi="Times New Roman"/>
          <w:sz w:val="22"/>
          <w:szCs w:val="22"/>
          <w:color w:val="auto"/>
        </w:rPr>
        <w:t>. This Agreement will not confer upon the Participant any right to continue in the employment or service of the Company or any of its Affiliates, or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limit in any respect the right of the Company or its Affiliates to discharge the Participant at any time, for any reason.</w:t>
      </w:r>
    </w:p>
    <w:p>
      <w:pPr>
        <w:spacing w:after="0" w:line="206"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As set forth above, this Option is not granted pursuant to the Plan. Instead, this Option is granted as an “employment inducement award” pursuant to the exemption provided by Rule 5635(c)(4) of the Marketplace Rules of NASDAQ Stock Market, Inc. However, for purposes of interpreting the provisions of this Option, the terms and conditions of the Plan (other than those applicable to the share reserve, but, including the powers of the Administrator set forth in Section 2 of the Plan) shall govern and apply to this Option as if this Option had actually been issued under the Plan. The Participant has received a copy of the Plan, has read the Plan and is familiar with its terms, and hereby accepts the Option subject to the terms and provisions of the Plan only for purposes of interpreting the provisions of this Agreement, including that the Committee is authorized to interpret this Option and the Plan and to adopt rules and regulations not inconsistent with the Plan as it deems appropriate. The Participant hereby agrees to accept as binding, conclusive and final all decisions or interpretations of the Committee with respect to questions arising under the Grant Notice or this Agreement, or any interpretations of the Plan or the Plan’s governance and applicability to this Agreement.</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u w:val="single" w:color="auto"/>
          <w:color w:val="auto"/>
        </w:rPr>
        <w:t>Entire A</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reement</w:t>
      </w:r>
      <w:r>
        <w:rPr>
          <w:rFonts w:ascii="Times New Roman" w:cs="Times New Roman" w:eastAsia="Times New Roman" w:hAnsi="Times New Roman"/>
          <w:sz w:val="21"/>
          <w:szCs w:val="21"/>
          <w:color w:val="auto"/>
        </w:rPr>
        <w:t>. The Grant Notice and this Agreement represent the entire agreement between the parties with respect to the subject matter hereof and supersede any prior agreement, written or otherwise, relating to the subject matter hereof.</w:t>
      </w:r>
    </w:p>
    <w:p>
      <w:pPr>
        <w:spacing w:after="0" w:line="135"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only be amended by a writing signed by each of the parties hereto; provided that the Company may amend this Agreement without the Participant’s consent, if the amendment does not materially impair the Participant’s rights hereunder.</w:t>
      </w:r>
    </w:p>
    <w:p>
      <w:pPr>
        <w:spacing w:after="0" w:line="173"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Governin</w:t>
      </w: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This Agreement will be construed in accordance with the laws of the State of Delaware, without regard to the application of the principles of conflicts of laws.</w:t>
      </w:r>
    </w:p>
    <w:p>
      <w:pPr>
        <w:spacing w:after="0" w:line="158"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Headin</w:t>
      </w:r>
      <w:r>
        <w:rPr>
          <w:rFonts w:ascii="Times New Roman" w:cs="Times New Roman" w:eastAsia="Times New Roman" w:hAnsi="Times New Roman"/>
          <w:sz w:val="22"/>
          <w:szCs w:val="22"/>
          <w:color w:val="auto"/>
        </w:rPr>
        <w:t>gs. The headings in this Agreement are for convenience only. They form no part of the Agreement and will not affect its interpretation.</w:t>
      </w:r>
    </w:p>
    <w:p>
      <w:pPr>
        <w:spacing w:after="0" w:line="15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15.</w:t>
      </w: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Option and to implement or structure future equity grants, the Company, its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Option (the “Relevant Information”). By entering into this Agreement, the Participant (a) authorizes the Company to collect, process, register and transfer to the Relevant Companies all Relevant Information; (b) waives any privacy rights the Participant may have with respect to the Relevant Information; (c) authorizes the Relevant Companies to store and transmit such information in electronic form; and</w:t>
      </w:r>
    </w:p>
    <w:p>
      <w:pPr>
        <w:spacing w:after="0" w:line="6" w:lineRule="exact"/>
        <w:rPr>
          <w:sz w:val="20"/>
          <w:szCs w:val="20"/>
          <w:color w:val="auto"/>
        </w:rPr>
      </w:pPr>
    </w:p>
    <w:p>
      <w:pPr>
        <w:jc w:val="both"/>
        <w:ind w:right="60" w:firstLine="8"/>
        <w:spacing w:after="0" w:line="235" w:lineRule="auto"/>
        <w:tabs>
          <w:tab w:leader="none" w:pos="30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ind w:firstLine="749"/>
        <w:spacing w:after="0" w:line="235"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Electronic Delivery of Documents</w:t>
      </w:r>
      <w:r>
        <w:rPr>
          <w:rFonts w:ascii="Times New Roman" w:cs="Times New Roman" w:eastAsia="Times New Roman" w:hAnsi="Times New Roman"/>
          <w:sz w:val="22"/>
          <w:szCs w:val="22"/>
          <w:color w:val="auto"/>
        </w:rPr>
        <w:t>. The Participant authorizes the Company to deliver electronically any prospectuses or other documentation related to the Option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Updated October 28, 2024</w:t>
      </w:r>
    </w:p>
    <w:p>
      <w:pPr>
        <w:spacing w:after="0" w:line="206" w:lineRule="exact"/>
        <w:rPr>
          <w:sz w:val="20"/>
          <w:szCs w:val="20"/>
          <w:color w:val="auto"/>
        </w:rPr>
      </w:pPr>
    </w:p>
    <w:p>
      <w:pPr>
        <w:ind w:left="760" w:hanging="752"/>
        <w:spacing w:after="0"/>
        <w:tabs>
          <w:tab w:leader="none" w:pos="7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Larimar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and updated this Insider Trading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satisfy the Company’s obligation to prevent insider trading and to help the Company’s personnel and its external advisors avoid violating insider trading laws.</w:t>
      </w:r>
    </w:p>
    <w:p>
      <w:pPr>
        <w:spacing w:after="0" w:line="169" w:lineRule="exact"/>
        <w:rPr>
          <w:sz w:val="20"/>
          <w:szCs w:val="20"/>
          <w:color w:val="auto"/>
        </w:rPr>
      </w:pPr>
    </w:p>
    <w:p>
      <w:pPr>
        <w:ind w:left="760" w:hanging="752"/>
        <w:spacing w:after="0"/>
        <w:tabs>
          <w:tab w:leader="none" w:pos="7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the Policy</w:t>
      </w:r>
    </w:p>
    <w:p>
      <w:pPr>
        <w:spacing w:after="0" w:line="21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This Policy applies to (i) all officers, directors and employees of the Company and any of its subsidiaries, (ii) immediate family members and any persons that reside in the same household as any of the foregoing persons and (iii) any other person whose transactions in Company Securities (as defined below) are controlled by the foregoing persons, and any trust, partnership, corporation or other entity over which such persons have investment control (collectively, “</w:t>
      </w:r>
      <w:r>
        <w:rPr>
          <w:rFonts w:ascii="Times New Roman" w:cs="Times New Roman" w:eastAsia="Times New Roman" w:hAnsi="Times New Roman"/>
          <w:sz w:val="21"/>
          <w:szCs w:val="21"/>
          <w:u w:val="single" w:color="auto"/>
          <w:color w:val="auto"/>
        </w:rPr>
        <w:t>Insiders</w:t>
      </w:r>
      <w:r>
        <w:rPr>
          <w:rFonts w:ascii="Times New Roman" w:cs="Times New Roman" w:eastAsia="Times New Roman" w:hAnsi="Times New Roman"/>
          <w:sz w:val="21"/>
          <w:szCs w:val="21"/>
          <w:color w:val="auto"/>
        </w:rPr>
        <w:t>”). Individuals subject to this Policy are responsible for ensuring that members of their households also comply with this Policy and therefore should make them aware of the need to confer with you before they trade in Company Securities (as defined below) and should treat all such transactions for the purposes of this Policy and applicable securities laws as if the transactions were for your own account.</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does not, however, apply to personal securities transactions of your immediate family members (as defined below) where the purchase or sale decision is made by a third party not controlled by you or your immediate family members (as defined below).</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purposes of this Policy, “i</w:t>
      </w:r>
      <w:r>
        <w:rPr>
          <w:rFonts w:ascii="Times New Roman" w:cs="Times New Roman" w:eastAsia="Times New Roman" w:hAnsi="Times New Roman"/>
          <w:sz w:val="22"/>
          <w:szCs w:val="22"/>
          <w:u w:val="single" w:color="auto"/>
          <w:color w:val="auto"/>
        </w:rPr>
        <w:t>mmediate family member</w:t>
      </w:r>
      <w:r>
        <w:rPr>
          <w:rFonts w:ascii="Times New Roman" w:cs="Times New Roman" w:eastAsia="Times New Roman" w:hAnsi="Times New Roman"/>
          <w:sz w:val="22"/>
          <w:szCs w:val="22"/>
          <w:color w:val="auto"/>
        </w:rPr>
        <w:t>” means any spouse, child, stepchild, grandchild, parent, stepparent, grandparent, sibling, mother or father-in-law, son or daughter-in-law, or brother or sister-in-law (as well as other adoptive relationships), whether or not sharing the same household as the persons described in item (i) above.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All consultants and outside advisors assisting the Company on sensitive matters are expected to abide by this Policy, although the Company assumes no responsibility with respect to the actions of persons who are not under its direct control.</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Persons in possession of material non-public information related to, affecting or regarding the Company or its subsidiaries (“</w:t>
      </w:r>
      <w:r>
        <w:rPr>
          <w:rFonts w:ascii="Times New Roman" w:cs="Times New Roman" w:eastAsia="Times New Roman" w:hAnsi="Times New Roman"/>
          <w:sz w:val="22"/>
          <w:szCs w:val="22"/>
          <w:u w:val="single" w:color="auto"/>
          <w:color w:val="auto"/>
        </w:rPr>
        <w:t>Inside Information</w:t>
      </w:r>
      <w:r>
        <w:rPr>
          <w:rFonts w:ascii="Times New Roman" w:cs="Times New Roman" w:eastAsia="Times New Roman" w:hAnsi="Times New Roman"/>
          <w:sz w:val="22"/>
          <w:szCs w:val="22"/>
          <w:color w:val="auto"/>
        </w:rPr>
        <w:t>”) when their employment or service terminates may not trade in Company Securities (as defined below) until that information has become public or is no longer material.</w:t>
      </w:r>
    </w:p>
    <w:p>
      <w:pPr>
        <w:spacing w:after="0" w:line="169" w:lineRule="exact"/>
        <w:rPr>
          <w:sz w:val="20"/>
          <w:szCs w:val="20"/>
          <w:color w:val="auto"/>
        </w:rPr>
      </w:pPr>
    </w:p>
    <w:p>
      <w:pPr>
        <w:ind w:left="760" w:hanging="752"/>
        <w:spacing w:after="0"/>
        <w:tabs>
          <w:tab w:leader="none" w:pos="7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Transactions Subject to the Policy</w:t>
      </w:r>
    </w:p>
    <w:p>
      <w:pPr>
        <w:spacing w:after="0" w:line="210" w:lineRule="exact"/>
        <w:rPr>
          <w:sz w:val="20"/>
          <w:szCs w:val="20"/>
          <w:color w:val="auto"/>
        </w:rPr>
      </w:pPr>
    </w:p>
    <w:p>
      <w:pPr>
        <w:jc w:val="both"/>
        <w:ind w:right="160" w:firstLine="749"/>
        <w:spacing w:after="0" w:line="244" w:lineRule="auto"/>
        <w:rPr>
          <w:sz w:val="20"/>
          <w:szCs w:val="20"/>
          <w:color w:val="auto"/>
        </w:rPr>
      </w:pPr>
      <w:r>
        <w:rPr>
          <w:rFonts w:ascii="Times New Roman" w:cs="Times New Roman" w:eastAsia="Times New Roman" w:hAnsi="Times New Roman"/>
          <w:sz w:val="22"/>
          <w:szCs w:val="22"/>
          <w:color w:val="auto"/>
        </w:rPr>
        <w:t>This Policy applies to all transactions in securities of the Company (collectively referred to in this Policy as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including common stock, options to purchase common stock, preferred stock, convertible debt, restricted stock and warrants, or any other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3" w:name="page144"/>
    <w:bookmarkEnd w:id="143"/>
    <w:p>
      <w:pPr>
        <w:spacing w:after="0" w:line="18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of securities that the Company has or may issue, as well as derivative securities that are not issued by the Company, such as exchange-traded put or call options or swaps relating to the Company Securities.</w:t>
      </w:r>
    </w:p>
    <w:p>
      <w:pPr>
        <w:spacing w:after="0" w:line="1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General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 Insider who is in possession of Inside Information may, either directly or indirectly, (i) purchase or sell Company Securities or, (ii) without the consent of the Company, provide Inside Information to any other person outside of the Company, including family and friends, provided that notwithstanding the foregoing (y) a director may provide Inside Information to their employer provided such employer otherwise complies with this paragraph or (z) an Insider may disclose Inside Information as required by law.</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Insiders may not disclose, convey or “tip” Inside Information to any person by providing them with Inside Information other than to disclose on a “need to know” basis to directors, officers and employees of the Company or outside advisors in the course of performing their duties for the Company (it being understood that directors may disclose Inside Information to their employers; provided that such employer complies with the requirements of the first paragraph of this Section</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IV). When sharing Inside Information with other directors, officers and employees of the Company or outside advisors, or other persons involved in the business and affairs of the Company, such information should be confined to as small a group as possible. Unlawful tipping includes passing on Inside Information to friends, family members or acquaintances under circumstances that suggest that persons subject to this Policy were trying to help the recipients of such information to make a profit or avoid a loss by trading in Company Securities based on such information.</w:t>
      </w:r>
    </w:p>
    <w:p>
      <w:pPr>
        <w:spacing w:after="0" w:line="173" w:lineRule="exact"/>
        <w:rPr>
          <w:sz w:val="20"/>
          <w:szCs w:val="20"/>
          <w:color w:val="auto"/>
        </w:rPr>
      </w:pPr>
    </w:p>
    <w:p>
      <w:pPr>
        <w:ind w:left="760" w:hanging="752"/>
        <w:spacing w:after="0"/>
        <w:tabs>
          <w:tab w:leader="none" w:pos="7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 of Inside Information</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u w:val="single" w:color="auto"/>
          <w:color w:val="auto"/>
        </w:rPr>
        <w:t>Material Information</w:t>
      </w:r>
      <w:r>
        <w:rPr>
          <w:rFonts w:ascii="Times New Roman" w:cs="Times New Roman" w:eastAsia="Times New Roman" w:hAnsi="Times New Roman"/>
          <w:sz w:val="22"/>
          <w:szCs w:val="22"/>
          <w:color w:val="auto"/>
        </w:rPr>
        <w:t>. Information is considered “material” if a reasonable investor would consider that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important in making a decision to buy, hold or sell Company Securities or the securities of another public company. Any information that could be expected to affect the Company’s stock price, whether it is positive or negative, should be considered material. Determining whether information is material is not always straightforward; rather, materiality is based on an assessment of all of the facts and circumstances, and is often evaluated by enforcement authorities with the benefit of hindsight. When doubt exists as to whether information would be considered “material,” the information should be presumed to be material. While it is not possible to identify in advance all information that will be deemed to be material, some examples of such information would include the following:</w:t>
      </w:r>
    </w:p>
    <w:p>
      <w:pPr>
        <w:spacing w:after="0" w:line="182" w:lineRule="exact"/>
        <w:rPr>
          <w:sz w:val="20"/>
          <w:szCs w:val="20"/>
          <w:color w:val="auto"/>
        </w:rPr>
      </w:pPr>
    </w:p>
    <w:p>
      <w:pPr>
        <w:ind w:left="1500" w:hanging="743"/>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 acquisition, joint venture, partnerships, strategic alliances, collaborations or investment proposals;</w:t>
      </w:r>
    </w:p>
    <w:p>
      <w:pPr>
        <w:spacing w:after="0" w:line="14"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or quarterly financial statements;</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estimates;</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operational or financial guidance;</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expansion or curtailment of operations;</w:t>
      </w:r>
    </w:p>
    <w:p>
      <w:pPr>
        <w:ind w:left="1500" w:hanging="743"/>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information regarding an existing or potential customer or supplier;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ind w:left="1500" w:hanging="743"/>
        <w:spacing w:after="0"/>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unusual borrowings;</w:t>
      </w:r>
    </w:p>
    <w:p>
      <w:pPr>
        <w:spacing w:after="0" w:line="14"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or private securities offerings;</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litigation (pending or threatened);</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or members of the Board of Directors;</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clinical trials and their results, intellectual property, regulatory approvals or other developments (positive or negative), product or technological plans, developments or agreements;</w:t>
      </w:r>
    </w:p>
    <w:p>
      <w:pPr>
        <w:spacing w:after="0" w:line="1"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communications to or from regulatory agencies;</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product launches or the introduction of new business strategies;</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status of the Company’s progress toward achieving significant Company goals;</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listing on or delisting from a stock exchange;</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major contracts, customers, distributors or suppliers, or the loss of any of the foregoing;</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changes in the Company’s pricing or cost structure for its products;</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restructuring;</w:t>
      </w:r>
    </w:p>
    <w:p>
      <w:pPr>
        <w:ind w:left="1500" w:hanging="743"/>
        <w:spacing w:after="0" w:line="230"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 or</w:t>
      </w:r>
    </w:p>
    <w:p>
      <w:pPr>
        <w:ind w:left="1500" w:hanging="743"/>
        <w:spacing w:after="0"/>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similar information concerning a significant subsidiary, business unit or investment.</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u w:val="single" w:color="auto"/>
          <w:color w:val="auto"/>
        </w:rPr>
        <w:t>Non-Public Information</w:t>
      </w:r>
      <w:r>
        <w:rPr>
          <w:rFonts w:ascii="Times New Roman" w:cs="Times New Roman" w:eastAsia="Times New Roman" w:hAnsi="Times New Roman"/>
          <w:sz w:val="22"/>
          <w:szCs w:val="22"/>
          <w:color w:val="auto"/>
        </w:rPr>
        <w:t>. Information that has not been widely disseminated to the public is generally considered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non-public information. Information generally becomes available to the public when it has been disclosed by the Company or third parties in a press release or other authorized public statement, including any filing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Once information is widely disseminated, it is still necessary to afford the investing public with sufficient time to absorb the information. </w:t>
      </w:r>
      <w:r>
        <w:rPr>
          <w:rFonts w:ascii="Times New Roman" w:cs="Times New Roman" w:eastAsia="Times New Roman" w:hAnsi="Times New Roman"/>
          <w:sz w:val="22"/>
          <w:szCs w:val="22"/>
          <w:b w:val="1"/>
          <w:bCs w:val="1"/>
          <w:color w:val="auto"/>
        </w:rPr>
        <w:t>As a general rule, information should not be considered fully absorbed by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marketplace until </w:t>
      </w:r>
      <w:r>
        <w:rPr>
          <w:rFonts w:ascii="Times New Roman" w:cs="Times New Roman" w:eastAsia="Times New Roman" w:hAnsi="Times New Roman"/>
          <w:sz w:val="22"/>
          <w:szCs w:val="22"/>
          <w:b w:val="1"/>
          <w:bCs w:val="1"/>
          <w:i w:val="1"/>
          <w:iCs w:val="1"/>
          <w:color w:val="auto"/>
        </w:rPr>
        <w:t>after the second full trading day after the information is released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for example, the Company were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an announcement prior to the start of trading on a Monday, a person covered by this Policy should not trade in Company Securities until the start of trading on Wednesday. Depending on the particular circumstances, the Company may determine that a longer or shorter period should apply to the release of specific material non-public information.</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you are unsure whether you are in possession of Inside Information, you should consult with the Chief Financial Officer prior to engaging in, or entering into an agreement, understanding or arrangement to engage in, a purchase or sale transaction of any Company Securities.</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Special and Prohibited Transactions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addition to the other restrictions set forth in this Policy, the following transactions are strictly prohibited at all times:</w:t>
      </w:r>
    </w:p>
    <w:p>
      <w:pPr>
        <w:spacing w:after="0" w:line="206" w:lineRule="exact"/>
        <w:rPr>
          <w:sz w:val="20"/>
          <w:szCs w:val="20"/>
          <w:color w:val="auto"/>
        </w:rPr>
      </w:pPr>
    </w:p>
    <w:p>
      <w:pPr>
        <w:ind w:left="1500" w:hanging="743"/>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in call or put options involving Company Securities and other derivative securities;</w:t>
      </w:r>
    </w:p>
    <w:p>
      <w:pPr>
        <w:spacing w:after="0" w:line="14"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short sales of Company Securities;</w:t>
      </w:r>
    </w:p>
    <w:p>
      <w:pPr>
        <w:ind w:left="1500" w:hanging="743"/>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 Company Securities in a margin account;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ind w:left="1500" w:hanging="743"/>
        <w:spacing w:after="0"/>
        <w:tabs>
          <w:tab w:leader="none" w:pos="15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forms of hedging or monetization transactions, such as zero-cost collars and forward sale contracts; and</w:t>
      </w:r>
    </w:p>
    <w:p>
      <w:pPr>
        <w:spacing w:after="0" w:line="1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pledging Company Securities to secure margin or other loans.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you are unsure whether a particular transaction is prohibited under this Policy, you should consult with the Chief Financial Officer prior to engaging in, or entering into, an agreement, understanding or arrangement to engage in, such transaction.</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u w:val="single" w:color="auto"/>
          <w:color w:val="auto"/>
        </w:rPr>
        <w:t>Transactions Not Subject to Trading Restrictions Under the Policy</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trading restriction prohibitions in this Policy do not apply to:</w:t>
      </w:r>
    </w:p>
    <w:p>
      <w:pPr>
        <w:spacing w:after="0" w:line="206" w:lineRule="exact"/>
        <w:rPr>
          <w:sz w:val="20"/>
          <w:szCs w:val="20"/>
          <w:color w:val="auto"/>
        </w:rPr>
      </w:pPr>
    </w:p>
    <w:p>
      <w:pPr>
        <w:ind w:left="1500" w:hanging="743"/>
        <w:spacing w:after="0" w:line="241" w:lineRule="auto"/>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options or other equity awards or the purchase or sale of Company Securities from or to the Company, as applicable;</w:t>
      </w:r>
    </w:p>
    <w:p>
      <w:pPr>
        <w:spacing w:after="0" w:line="1"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bona fide gifts of Company Securities;</w:t>
      </w:r>
    </w:p>
    <w:p>
      <w:pPr>
        <w:jc w:val="both"/>
        <w:ind w:left="1500" w:hanging="743"/>
        <w:spacing w:after="0" w:line="230" w:lineRule="auto"/>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purchases or sales of Company Securities made pursuant to any binding contract, specific instruction or written plan entered into </w:t>
      </w:r>
      <w:r>
        <w:rPr>
          <w:rFonts w:ascii="Times New Roman" w:cs="Times New Roman" w:eastAsia="Times New Roman" w:hAnsi="Times New Roman"/>
          <w:sz w:val="22"/>
          <w:szCs w:val="22"/>
          <w:b w:val="1"/>
          <w:bCs w:val="1"/>
          <w:u w:val="single" w:color="auto"/>
          <w:color w:val="auto"/>
        </w:rPr>
        <w:t>outside of a blackout period</w:t>
      </w:r>
      <w:r>
        <w:rPr>
          <w:rFonts w:ascii="Times New Roman" w:cs="Times New Roman" w:eastAsia="Times New Roman" w:hAnsi="Times New Roman"/>
          <w:sz w:val="22"/>
          <w:szCs w:val="22"/>
          <w:color w:val="auto"/>
        </w:rPr>
        <w:t xml:space="preserve"> and while the purchaser or seller, as applicable, was unaware of any material, non- public information and which contract, instruction or plan (i) meets all of the requirements of the affirmative defense provided by Rule 10b5-1 promulgated under the Securities Exchange Act of 1934, as amended (a “</w:t>
      </w:r>
      <w:r>
        <w:rPr>
          <w:rFonts w:ascii="Times New Roman" w:cs="Times New Roman" w:eastAsia="Times New Roman" w:hAnsi="Times New Roman"/>
          <w:sz w:val="22"/>
          <w:szCs w:val="22"/>
          <w:u w:val="single" w:color="auto"/>
          <w:color w:val="auto"/>
        </w:rPr>
        <w:t>10b5-1 trading plan</w:t>
      </w:r>
      <w:r>
        <w:rPr>
          <w:rFonts w:ascii="Times New Roman" w:cs="Times New Roman" w:eastAsia="Times New Roman" w:hAnsi="Times New Roman"/>
          <w:sz w:val="22"/>
          <w:szCs w:val="22"/>
          <w:color w:val="auto"/>
        </w:rPr>
        <w:t>”), (ii) was pre-cleared in advance pursuant to this Policy and (iii) has not been amended or modified in any respect after such initial pre-clearance without such amendment or modification being pre-cleared in advance pursuant to this Policy; or</w:t>
      </w:r>
    </w:p>
    <w:p>
      <w:pPr>
        <w:spacing w:after="0" w:line="3" w:lineRule="exact"/>
        <w:rPr>
          <w:rFonts w:ascii="Times New Roman" w:cs="Times New Roman" w:eastAsia="Times New Roman" w:hAnsi="Times New Roman"/>
          <w:sz w:val="22"/>
          <w:szCs w:val="22"/>
          <w:color w:val="auto"/>
        </w:rPr>
      </w:pPr>
    </w:p>
    <w:p>
      <w:pPr>
        <w:jc w:val="both"/>
        <w:ind w:left="1500" w:hanging="743"/>
        <w:spacing w:after="0" w:line="233" w:lineRule="auto"/>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Insiders and the Company with respect to grants under its equity incentive plan (or, to the extent applicable, granted outside such plan), including the exercise of stock options for cash; the vesting of restricted stock or restricted stock units (“RSUs”) or the exercise of a tax withholding right pursuant to which a person has elected to have the Company withhold shares subject to an option to satisfy tax withholding upon the exercise of stock options or the vesting of any restricted stock or RSUs.</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Consequently, restrictions contained in this Policy would apply to the sale of Company Securities in the open market to pay the exercise price of an option and to the “cashless exercise” effected through a broker or “same day sale” of an option, which generally entail the sale of a portion of the underlying stock on the market to cover the costs of exercise or the resulting taxes. In addition, any sale of the underlying securities acquired upon the exercise of an option or RSU is subject to the Policy.</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2"/>
          <w:szCs w:val="22"/>
          <w:b w:val="1"/>
          <w:bCs w:val="1"/>
          <w:u w:val="single" w:color="auto"/>
          <w:color w:val="auto"/>
        </w:rPr>
        <w:t>Additional Procedures</w:t>
      </w:r>
    </w:p>
    <w:p>
      <w:pPr>
        <w:spacing w:after="0" w:line="20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2"/>
          <w:szCs w:val="22"/>
          <w:i w:val="1"/>
          <w:iCs w:val="1"/>
          <w:u w:val="single" w:color="auto"/>
          <w:color w:val="auto"/>
        </w:rPr>
        <w:t>Blackout Periods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officers and directors of the Company, as well as certain key employees listed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hereto (as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amended from time to time by the Chief Financial Officer), as well as any family members or other persons that reside in the same household as those persons (all of the foregoing being “</w:t>
      </w:r>
      <w:r>
        <w:rPr>
          <w:rFonts w:ascii="Times New Roman" w:cs="Times New Roman" w:eastAsia="Times New Roman" w:hAnsi="Times New Roman"/>
          <w:sz w:val="22"/>
          <w:szCs w:val="22"/>
          <w:u w:val="single" w:color="auto"/>
          <w:color w:val="auto"/>
        </w:rPr>
        <w:t>Restricted Persons</w:t>
      </w:r>
      <w:r>
        <w:rPr>
          <w:rFonts w:ascii="Times New Roman" w:cs="Times New Roman" w:eastAsia="Times New Roman" w:hAnsi="Times New Roman"/>
          <w:sz w:val="22"/>
          <w:szCs w:val="22"/>
          <w:color w:val="auto"/>
        </w:rPr>
        <w:t>”) are subject to additional restrictions on their ability to engage in purchase or sale transactions involving Company Securities. Restricted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 xml:space="preserve">Persons are more likely to have access to Inside Information regarding the Company because of their positions or affiliations with the Company and, as a result, their trades in Company Securities are more likely to be subject to greater scrutiny. </w:t>
      </w:r>
      <w:r>
        <w:rPr>
          <w:rFonts w:ascii="Times New Roman" w:cs="Times New Roman" w:eastAsia="Times New Roman" w:hAnsi="Times New Roman"/>
          <w:sz w:val="21"/>
          <w:szCs w:val="21"/>
          <w:b w:val="1"/>
          <w:bCs w:val="1"/>
          <w:color w:val="auto"/>
        </w:rPr>
        <w:t>Accordingly,</w:t>
      </w:r>
    </w:p>
    <w:p>
      <w:pPr>
        <w:spacing w:after="0" w:line="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Restricted Persons are prohibited from trading in Company Securities during the period beginning on the last day of the last month of each fiscal quarter and ending on the beginning of the second trading day following public disclosure of the financial results for that quarter or the full year. </w:t>
      </w:r>
      <w:r>
        <w:rPr>
          <w:rFonts w:ascii="Times New Roman" w:cs="Times New Roman" w:eastAsia="Times New Roman" w:hAnsi="Times New Roman"/>
          <w:sz w:val="21"/>
          <w:szCs w:val="21"/>
          <w:color w:val="auto"/>
        </w:rPr>
        <w:t>Attached hereto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a list of the blackout periods for the current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next fiscal year, which shall be updated by the Chief Executive Officer or Chief Financial Officer from time to time. </w:t>
      </w:r>
      <w:r>
        <w:rPr>
          <w:rFonts w:ascii="Times New Roman" w:cs="Times New Roman" w:eastAsia="Times New Roman" w:hAnsi="Times New Roman"/>
          <w:sz w:val="21"/>
          <w:szCs w:val="21"/>
          <w:b w:val="1"/>
          <w:bCs w:val="1"/>
          <w:color w:val="auto"/>
        </w:rPr>
        <w:t>The</w:t>
      </w:r>
    </w:p>
    <w:p>
      <w:pPr>
        <w:spacing w:after="0" w:line="2" w:lineRule="exact"/>
        <w:rPr>
          <w:sz w:val="20"/>
          <w:szCs w:val="20"/>
          <w:color w:val="auto"/>
        </w:rPr>
      </w:pPr>
    </w:p>
    <w:p>
      <w:pPr>
        <w:jc w:val="both"/>
        <w:ind w:right="10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Quarterly Blackout Period Guidance included in </w:t>
      </w:r>
      <w:r>
        <w:rPr>
          <w:rFonts w:ascii="Times New Roman" w:cs="Times New Roman" w:eastAsia="Times New Roman" w:hAnsi="Times New Roman"/>
          <w:sz w:val="22"/>
          <w:szCs w:val="22"/>
          <w:b w:val="1"/>
          <w:bCs w:val="1"/>
          <w:u w:val="single" w:color="auto"/>
          <w:color w:val="auto"/>
        </w:rPr>
        <w:t>Annex B</w:t>
      </w:r>
      <w:r>
        <w:rPr>
          <w:rFonts w:ascii="Times New Roman" w:cs="Times New Roman" w:eastAsia="Times New Roman" w:hAnsi="Times New Roman"/>
          <w:sz w:val="22"/>
          <w:szCs w:val="22"/>
          <w:b w:val="1"/>
          <w:bCs w:val="1"/>
          <w:color w:val="auto"/>
        </w:rPr>
        <w:t xml:space="preserve"> provides a guide to the blackout periods. These blackout dates are subject to change. If you are considering buying our selling LRMR securities, complete the Request for Clearance to Trade as set forth in </w:t>
      </w:r>
      <w:r>
        <w:rPr>
          <w:rFonts w:ascii="Times New Roman" w:cs="Times New Roman" w:eastAsia="Times New Roman" w:hAnsi="Times New Roman"/>
          <w:sz w:val="22"/>
          <w:szCs w:val="22"/>
          <w:b w:val="1"/>
          <w:bCs w:val="1"/>
          <w:u w:val="single" w:color="auto"/>
          <w:color w:val="auto"/>
        </w:rPr>
        <w:t>Annex C</w:t>
      </w:r>
      <w:r>
        <w:rPr>
          <w:rFonts w:ascii="Times New Roman" w:cs="Times New Roman" w:eastAsia="Times New Roman" w:hAnsi="Times New Roman"/>
          <w:sz w:val="22"/>
          <w:szCs w:val="22"/>
          <w:b w:val="1"/>
          <w:bCs w:val="1"/>
          <w:color w:val="auto"/>
        </w:rPr>
        <w:t>.</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i w:val="1"/>
          <w:iCs w:val="1"/>
          <w:u w:val="single" w:color="auto"/>
          <w:color w:val="auto"/>
        </w:rPr>
        <w:t>Special Blackout Periods</w:t>
      </w:r>
      <w:r>
        <w:rPr>
          <w:rFonts w:ascii="Times New Roman" w:cs="Times New Roman" w:eastAsia="Times New Roman" w:hAnsi="Times New Roman"/>
          <w:sz w:val="21"/>
          <w:szCs w:val="21"/>
          <w:color w:val="auto"/>
        </w:rPr>
        <w:t>. In addition, from time to time, the Company may impose special blackout periods on one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more directors, officers or other employees if, in the judgment of the Chief Executive Officer or Chief Financial Officer and internal and external legal counsel, it is likely that such person or persons have become aware of significant corporate developments that have not yet been disclosed to the public, even when trading otherwise may be permitted. If a director, officer or employee becomes subject to a special blackout period, such persons are prohibited from (i) trading in Company Securities and (ii) without the consent of the Company, disclosing to others the fact that they are subject to such special blackout period. These special blackout periods may vary in length and may or may not be broadly communicated to Insiders. Unless otherwise specified, the Company will re-open trading at the pre-market the third day following the date of public disclosure of such significant corporate developments. If, for example, the Company imposed a special blackout period on a Monday, the persons subject to such special blackout period should not trade in Company Securities until the pre-market on Thursday.</w:t>
      </w:r>
    </w:p>
    <w:p>
      <w:pPr>
        <w:spacing w:after="0" w:line="17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i w:val="1"/>
          <w:iCs w:val="1"/>
          <w:u w:val="single" w:color="auto"/>
          <w:color w:val="auto"/>
        </w:rPr>
        <w:t>Pre-Clearance Procedures</w:t>
      </w:r>
      <w:r>
        <w:rPr>
          <w:rFonts w:ascii="Times New Roman" w:cs="Times New Roman" w:eastAsia="Times New Roman" w:hAnsi="Times New Roman"/>
          <w:sz w:val="22"/>
          <w:szCs w:val="22"/>
          <w:color w:val="auto"/>
        </w:rPr>
        <w:t>. All directors, officers and other employees must obtain prior clearance from the Chief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Financial Officer, or such person’s designee, by submitting (in writing or via email) the information contained in the Request for Clearance to Trade as set forth on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attached hereto, before such person makes any purchases, sales or gifts of Company Securities, regardless of whether a blackout period is then in effect. In evaluating each proposed transaction, the Chief Financial Officer, or such person’s designee, will consult as necessary with senior management and outside counsel before clearing any proposed trade. The Chief Financial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Clearance of a transaction is valid for no more than the 5-business day period (or such shorter period as may be prescribed in the pre-clearance form) immediately following receipt by such person of such clearance. Pre-clearance is not required for trades pursuant to an approved 10b5-1 trading plan, but directors, officers and other employees must receive prior approval before implementing, terminating or amending such a plan by the Chief Financial Officer, or such person’s designee.</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u w:val="single" w:color="auto"/>
          <w:color w:val="auto"/>
        </w:rPr>
        <w:t>Rule 10b5-1 Plans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permits all directors, officers and other employees to adopt a 10b5-1 trading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plan pursuant to the Company’s procedure for adopting such a trading plan. All directors, officers and other employees must obtain pre-clearance prior to entering into, modifying or terminating a 10b5-1 plan. The restrictions on trading set forth in this Policy shall not apply to trades made pursuant to a 10b5-1 trading plan. More information concerning trading plans is available from the Chief Financial Officer.</w:t>
      </w:r>
    </w:p>
    <w:p>
      <w:pPr>
        <w:spacing w:after="0" w:line="176" w:lineRule="exact"/>
        <w:rPr>
          <w:sz w:val="20"/>
          <w:szCs w:val="20"/>
          <w:color w:val="auto"/>
        </w:rPr>
      </w:pPr>
    </w:p>
    <w:p>
      <w:pPr>
        <w:ind w:left="760" w:hanging="752"/>
        <w:spacing w:after="0"/>
        <w:tabs>
          <w:tab w:leader="none" w:pos="7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Consequences of Violations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purchase or sale of Company Securities while aware of Inside Information, or the disclosure of Inside Information to others who then trade in Company Securities, is prohibited by federal and state securities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within the organization if they fail to take reasonable steps to prevent insider trading by company personnel.</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an individual’s failure to comply with this Policy may subject the individual to Company-imposed sanctions, including dismissal for cause, whether or not the employee’s failure to comply results in a violation of law. A violation of law, or even an SEC investigation that does not result in prosecution, can tarnish a person’s reputation and irreparably damage a career.</w:t>
      </w:r>
    </w:p>
    <w:p>
      <w:pPr>
        <w:spacing w:after="0" w:line="1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2"/>
          <w:szCs w:val="22"/>
          <w:b w:val="1"/>
          <w:bCs w:val="1"/>
          <w:u w:val="single" w:color="auto"/>
          <w:color w:val="auto"/>
        </w:rPr>
        <w:t>Administration of the Policy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Company’s Chief Financial Officer, and in such person’s absence, an employee designated by the Chief Financial Officer, in consultation with internal and external legal counsel, shall be responsible for administration of this Policy. All determinations and interpretations by the Chief Financial Officer (or his or her designees) shall be final and not subject to further review.</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Any person who has a question about this Policy or its application to any proposed transaction may obtain additional guidance from the Chief Financial Officer.</w:t>
      </w:r>
    </w:p>
    <w:p>
      <w:pPr>
        <w:spacing w:after="0" w:line="1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XII.</w:t>
      </w:r>
      <w:r>
        <w:rPr>
          <w:sz w:val="20"/>
          <w:szCs w:val="20"/>
          <w:color w:val="auto"/>
        </w:rPr>
        <w:tab/>
      </w:r>
      <w:r>
        <w:rPr>
          <w:rFonts w:ascii="Times New Roman" w:cs="Times New Roman" w:eastAsia="Times New Roman" w:hAnsi="Times New Roman"/>
          <w:sz w:val="22"/>
          <w:szCs w:val="22"/>
          <w:b w:val="1"/>
          <w:bCs w:val="1"/>
          <w:u w:val="single" w:color="auto"/>
          <w:color w:val="auto"/>
        </w:rPr>
        <w:t>Certification</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You must sign, date and return the Certification set forth on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attached hereto (or such other certification as the Chief Financial Officer may deem appropriate) stating that you have received, read, understand and agree to comply with this Policy. The Company may require you to sign such a Certification on an annual basis, which Certification may be in electronic format. Please note that you are bound by the Policy whether or not you sign the Certification.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Persons</w:t>
      </w:r>
    </w:p>
    <w:p>
      <w:pPr>
        <w:spacing w:after="0" w:line="210" w:lineRule="exact"/>
        <w:rPr>
          <w:sz w:val="20"/>
          <w:szCs w:val="20"/>
          <w:color w:val="auto"/>
        </w:rPr>
      </w:pPr>
    </w:p>
    <w:p>
      <w:pPr>
        <w:ind w:left="380" w:hanging="372"/>
        <w:spacing w:after="0"/>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Carole Ben-Maimon</w:t>
      </w:r>
    </w:p>
    <w:p>
      <w:pPr>
        <w:spacing w:after="0" w:line="14" w:lineRule="exact"/>
        <w:rPr>
          <w:rFonts w:ascii="Times New Roman" w:cs="Times New Roman" w:eastAsia="Times New Roman" w:hAnsi="Times New Roman"/>
          <w:sz w:val="22"/>
          <w:szCs w:val="22"/>
          <w:color w:val="auto"/>
        </w:rPr>
      </w:pP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Berman</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Celano</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Russell Clayton</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Adrienne Clements-Egan</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Frank Conway</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Jenna Gartland</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Hamilton</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Mohamed Hamdani</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Jennifer Johansson</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Jonathan Leff</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Keith Lynch</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Frank Nazzario</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Susan Ostrander</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 Payne</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Marion Petryk</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Rochelle Rivera</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Noreen Scherer</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Gopi Shankar</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Jeffrey Sherman</w:t>
      </w:r>
    </w:p>
    <w:p>
      <w:pPr>
        <w:ind w:left="380" w:hanging="372"/>
        <w:spacing w:after="0" w:line="230"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Frank Thomas</w:t>
      </w:r>
    </w:p>
    <w:p>
      <w:pPr>
        <w:ind w:left="380" w:hanging="372"/>
        <w:spacing w:after="0"/>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Joseph Truitt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B</w:t>
      </w:r>
    </w:p>
    <w:p>
      <w:pPr>
        <w:spacing w:after="0" w:line="21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C</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Request for Clearance to Trade</w:t>
            </w:r>
          </w:p>
        </w:tc>
      </w:tr>
      <w:tr>
        <w:trPr>
          <w:trHeight w:val="20"/>
        </w:trPr>
        <w:tc>
          <w:tcPr>
            <w:tcW w:w="3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79"/>
        </w:trPr>
        <w:tc>
          <w:tcPr>
            <w:tcW w:w="3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   Larimar Therapeutics, Inc.</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Attention: Chief Financial Officer</w:t>
            </w:r>
          </w:p>
        </w:tc>
      </w:tr>
      <w:tr>
        <w:trPr>
          <w:trHeight w:val="243"/>
        </w:trPr>
        <w:tc>
          <w:tcPr>
            <w:tcW w:w="3800" w:type="dxa"/>
            <w:vAlign w:val="bottom"/>
            <w:gridSpan w:val="2"/>
          </w:tcPr>
          <w:p>
            <w:pPr>
              <w:ind w:left="620"/>
              <w:spacing w:after="0" w:line="243" w:lineRule="exact"/>
              <w:rPr>
                <w:sz w:val="20"/>
                <w:szCs w:val="20"/>
                <w:color w:val="auto"/>
              </w:rPr>
            </w:pPr>
            <w:r>
              <w:rPr>
                <w:rFonts w:ascii="Times New Roman" w:cs="Times New Roman" w:eastAsia="Times New Roman" w:hAnsi="Times New Roman"/>
                <w:sz w:val="22"/>
                <w:szCs w:val="22"/>
                <w:color w:val="auto"/>
              </w:rPr>
              <w:t>Three Bala Plaza East, Suite 506</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40" w:type="dxa"/>
            <w:vAlign w:val="bottom"/>
            <w:gridSpan w:val="3"/>
          </w:tcPr>
          <w:p>
            <w:pPr>
              <w:ind w:left="660"/>
              <w:spacing w:after="0" w:line="243" w:lineRule="exact"/>
              <w:rPr>
                <w:sz w:val="20"/>
                <w:szCs w:val="20"/>
                <w:color w:val="auto"/>
              </w:rPr>
            </w:pPr>
            <w:r>
              <w:rPr>
                <w:rFonts w:ascii="Times New Roman" w:cs="Times New Roman" w:eastAsia="Times New Roman" w:hAnsi="Times New Roman"/>
                <w:sz w:val="22"/>
                <w:szCs w:val="22"/>
                <w:color w:val="auto"/>
              </w:rPr>
              <w:t>Phone Number:</w:t>
            </w:r>
          </w:p>
        </w:tc>
      </w:tr>
      <w:tr>
        <w:trPr>
          <w:trHeight w:val="282"/>
        </w:trPr>
        <w:tc>
          <w:tcPr>
            <w:tcW w:w="380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Bala Cynwyd, PA 19004</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E-mail:</w:t>
            </w:r>
          </w:p>
        </w:tc>
      </w:tr>
      <w:tr>
        <w:trPr>
          <w:trHeight w:val="47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4940" w:type="dxa"/>
            <w:vAlign w:val="bottom"/>
            <w:tcBorders>
              <w:bottom w:val="single" w:sz="8" w:color="auto"/>
            </w:tcBorders>
            <w:gridSpan w:val="2"/>
          </w:tcPr>
          <w:p>
            <w:pPr>
              <w:spacing w:after="0"/>
              <w:rPr>
                <w:sz w:val="24"/>
                <w:szCs w:val="24"/>
                <w:color w:val="auto"/>
              </w:rPr>
            </w:pPr>
          </w:p>
        </w:tc>
      </w:tr>
    </w:tbl>
    <w:p>
      <w:pPr>
        <w:spacing w:after="0" w:line="21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I hereby request clearance for myself (or a member of my immediate family or household) to execute the following transaction relating to the securities of Larimar Therapeutics,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Transaction:</w:t>
      </w:r>
    </w:p>
    <w:p>
      <w:pPr>
        <w:spacing w:after="0" w:line="233" w:lineRule="exact"/>
        <w:rPr>
          <w:sz w:val="20"/>
          <w:szCs w:val="20"/>
          <w:color w:val="auto"/>
        </w:rPr>
      </w:pPr>
    </w:p>
    <w:p>
      <w:pPr>
        <w:ind w:left="1700" w:hanging="943"/>
        <w:spacing w:after="0"/>
        <w:tabs>
          <w:tab w:leader="none" w:pos="1700" w:val="left"/>
        </w:tabs>
        <w:numPr>
          <w:ilvl w:val="0"/>
          <w:numId w:val="8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 wish to purchase shares of common stock. Number of shares of common stock to be purchased:</w:t>
      </w:r>
    </w:p>
    <w:p>
      <w:pPr>
        <w:spacing w:after="0" w:line="246" w:lineRule="exact"/>
        <w:rPr>
          <w:rFonts w:ascii="MS PGothic" w:cs="MS PGothic" w:eastAsia="MS PGothic" w:hAnsi="MS PGothic"/>
          <w:sz w:val="22"/>
          <w:szCs w:val="22"/>
          <w:color w:val="auto"/>
        </w:rPr>
      </w:pPr>
    </w:p>
    <w:p>
      <w:pPr>
        <w:ind w:left="1700" w:right="2600" w:hanging="943"/>
        <w:spacing w:after="0" w:line="258" w:lineRule="auto"/>
        <w:tabs>
          <w:tab w:leader="none" w:pos="1700" w:val="left"/>
        </w:tabs>
        <w:numPr>
          <w:ilvl w:val="0"/>
          <w:numId w:val="8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 wish to sell shares of common stock. Number of shares of common stock to be sold:</w:t>
      </w:r>
    </w:p>
    <w:p>
      <w:pPr>
        <w:spacing w:after="0" w:line="185" w:lineRule="exact"/>
        <w:rPr>
          <w:rFonts w:ascii="MS PGothic" w:cs="MS PGothic" w:eastAsia="MS PGothic" w:hAnsi="MS PGothic"/>
          <w:sz w:val="22"/>
          <w:szCs w:val="22"/>
          <w:color w:val="auto"/>
        </w:rPr>
      </w:pPr>
    </w:p>
    <w:p>
      <w:pPr>
        <w:ind w:left="1700" w:right="2600" w:hanging="943"/>
        <w:spacing w:after="0" w:line="258" w:lineRule="auto"/>
        <w:tabs>
          <w:tab w:leader="none" w:pos="1700" w:val="left"/>
        </w:tabs>
        <w:numPr>
          <w:ilvl w:val="0"/>
          <w:numId w:val="8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 wish to gift shares of common stock. Number of shares of common stock to be gifted:</w:t>
      </w:r>
    </w:p>
    <w:p>
      <w:pPr>
        <w:spacing w:after="0" w:line="185" w:lineRule="exact"/>
        <w:rPr>
          <w:rFonts w:ascii="MS PGothic" w:cs="MS PGothic" w:eastAsia="MS PGothic" w:hAnsi="MS PGothic"/>
          <w:sz w:val="22"/>
          <w:szCs w:val="22"/>
          <w:color w:val="auto"/>
        </w:rPr>
      </w:pPr>
    </w:p>
    <w:p>
      <w:pPr>
        <w:ind w:left="1700" w:hanging="943"/>
        <w:spacing w:after="0"/>
        <w:tabs>
          <w:tab w:leader="none" w:pos="1700" w:val="left"/>
        </w:tabs>
        <w:numPr>
          <w:ilvl w:val="0"/>
          <w:numId w:val="8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Other: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Expiration Date for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request is for a member of my immediate family or household:</w:t>
      </w:r>
    </w:p>
    <w:p>
      <w:pPr>
        <w:spacing w:after="0" w:line="23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22"/>
          <w:szCs w:val="22"/>
          <w:color w:val="auto"/>
        </w:rPr>
        <w:t>Name of Person:</w:t>
      </w:r>
      <w:r>
        <w:rPr>
          <w:sz w:val="20"/>
          <w:szCs w:val="20"/>
          <w:color w:val="auto"/>
        </w:rPr>
        <w:tab/>
      </w:r>
      <w:r>
        <w:rPr>
          <w:rFonts w:ascii="Times New Roman" w:cs="Times New Roman" w:eastAsia="Times New Roman" w:hAnsi="Times New Roman"/>
          <w:sz w:val="21"/>
          <w:szCs w:val="21"/>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10795</wp:posOffset>
            </wp:positionV>
            <wp:extent cx="584644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4">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hereby represent that I am not aware of any material, non-public information concerning Larimar Therapeutics, Inc. or its subsidiaries at the time of submitting this request and I agree that should I become aware of any material, non-public information concerning Larimar Therapeutics, Inc. or its subsidiaries prior to consummating the approved transaction, I will not consummate such transaction.</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understand that once approved, the authorization is valid on the date of approval and during the remaining term of the trading window in which it is approved. I further understand that the approval will lapse if, in the judgment of the Chief Financial Officer, I am likely to be aware of material, non-public information or at the expiration of the trading window in which approval is granted, whichever is the first to occur.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24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Signature</w:t>
            </w:r>
          </w:p>
        </w:tc>
      </w:tr>
      <w:tr>
        <w:trPr>
          <w:trHeight w:val="486"/>
        </w:trPr>
        <w:tc>
          <w:tcPr>
            <w:tcW w:w="3820" w:type="dxa"/>
            <w:vAlign w:val="bottom"/>
          </w:tcPr>
          <w:p>
            <w:pPr>
              <w:spacing w:after="0"/>
              <w:rPr>
                <w:sz w:val="20"/>
                <w:szCs w:val="20"/>
                <w:color w:val="auto"/>
              </w:rPr>
            </w:pPr>
            <w:r>
              <w:rPr>
                <w:rFonts w:ascii="Times New Roman" w:cs="Times New Roman" w:eastAsia="Times New Roman" w:hAnsi="Times New Roman"/>
                <w:sz w:val="22"/>
                <w:szCs w:val="22"/>
                <w:color w:val="auto"/>
              </w:rPr>
              <w:t>Approved by:</w:t>
            </w:r>
          </w:p>
        </w:tc>
        <w:tc>
          <w:tcPr>
            <w:tcW w:w="24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74"/>
        </w:trPr>
        <w:tc>
          <w:tcPr>
            <w:tcW w:w="382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289"/>
        </w:trPr>
        <w:tc>
          <w:tcPr>
            <w:tcW w:w="3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c>
          <w:tcPr>
            <w:tcW w:w="24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r>
      <w:tr>
        <w:trPr>
          <w:trHeight w:val="864"/>
        </w:trPr>
        <w:tc>
          <w:tcPr>
            <w:tcW w:w="3820" w:type="dxa"/>
            <w:vAlign w:val="bottom"/>
          </w:tcPr>
          <w:p>
            <w:pPr>
              <w:spacing w:after="0"/>
              <w:rPr>
                <w:sz w:val="24"/>
                <w:szCs w:val="24"/>
                <w:color w:val="auto"/>
              </w:rPr>
            </w:pPr>
          </w:p>
        </w:tc>
        <w:tc>
          <w:tcPr>
            <w:tcW w:w="24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-10-</w:t>
            </w:r>
          </w:p>
        </w:tc>
        <w:tc>
          <w:tcPr>
            <w:tcW w:w="4940" w:type="dxa"/>
            <w:vAlign w:val="bottom"/>
          </w:tcPr>
          <w:p>
            <w:pPr>
              <w:spacing w:after="0"/>
              <w:rPr>
                <w:sz w:val="24"/>
                <w:szCs w:val="24"/>
                <w:color w:val="auto"/>
              </w:rPr>
            </w:pPr>
          </w:p>
        </w:tc>
      </w:tr>
      <w:tr>
        <w:trPr>
          <w:trHeight w:val="751"/>
        </w:trPr>
        <w:tc>
          <w:tcPr>
            <w:tcW w:w="38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certify that:</w:t>
      </w:r>
    </w:p>
    <w:p>
      <w:pPr>
        <w:spacing w:after="0" w:line="206" w:lineRule="exact"/>
        <w:rPr>
          <w:sz w:val="20"/>
          <w:szCs w:val="20"/>
          <w:color w:val="auto"/>
        </w:rPr>
      </w:pPr>
    </w:p>
    <w:p>
      <w:pPr>
        <w:ind w:left="1500" w:right="40" w:hanging="743"/>
        <w:spacing w:after="0" w:line="282" w:lineRule="auto"/>
        <w:tabs>
          <w:tab w:leader="none" w:pos="150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read and understand Larimar Therapeutics, Inc.’s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Insider Trading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I understand that the Chief Financial Officer is available to answer any questions I have regarding the Policy.</w:t>
      </w:r>
    </w:p>
    <w:p>
      <w:pPr>
        <w:spacing w:after="0" w:line="134"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I have been affiliated with the Company, I have complied with the Policy.</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continue to comply with the Policy for as long as I am subject to the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376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LIST OF SUBSIDIARIES</w:t>
            </w:r>
          </w:p>
        </w:tc>
        <w:tc>
          <w:tcPr>
            <w:tcW w:w="3740" w:type="dxa"/>
            <w:vAlign w:val="bottom"/>
          </w:tcPr>
          <w:p>
            <w:pPr>
              <w:spacing w:after="0"/>
              <w:rPr>
                <w:sz w:val="24"/>
                <w:szCs w:val="24"/>
                <w:color w:val="auto"/>
              </w:rPr>
            </w:pPr>
          </w:p>
        </w:tc>
      </w:tr>
      <w:tr>
        <w:trPr>
          <w:trHeight w:val="511"/>
        </w:trPr>
        <w:tc>
          <w:tcPr>
            <w:tcW w:w="3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168"/>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9"/>
                <w:szCs w:val="19"/>
                <w:b w:val="1"/>
                <w:bCs w:val="1"/>
                <w:color w:val="auto"/>
              </w:rPr>
              <w:t>Jurisdiction of Incorporation or</w:t>
            </w:r>
          </w:p>
        </w:tc>
      </w:tr>
      <w:tr>
        <w:trPr>
          <w:trHeight w:val="2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Subsidiary</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Ownership Percentage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Organization</w:t>
            </w:r>
          </w:p>
        </w:tc>
      </w:tr>
      <w:tr>
        <w:trPr>
          <w:trHeight w:val="220"/>
        </w:trPr>
        <w:tc>
          <w:tcPr>
            <w:tcW w:w="3760" w:type="dxa"/>
            <w:vAlign w:val="bottom"/>
            <w:tcBorders>
              <w:top w:val="single" w:sz="8" w:color="auto"/>
              <w:left w:val="single" w:sz="8" w:color="auto"/>
              <w:bottom w:val="single" w:sz="8" w:color="auto"/>
              <w:right w:val="single" w:sz="8" w:color="auto"/>
            </w:tcBorders>
            <w:shd w:val="clear" w:color="auto" w:fill="BDD6EE"/>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Zafgen Australia Pty Ltd.</w:t>
            </w:r>
          </w:p>
        </w:tc>
        <w:tc>
          <w:tcPr>
            <w:tcW w:w="3740" w:type="dxa"/>
            <w:vAlign w:val="bottom"/>
            <w:tcBorders>
              <w:top w:val="single" w:sz="8" w:color="BDD6EE"/>
              <w:bottom w:val="single" w:sz="8" w:color="auto"/>
              <w:right w:val="single" w:sz="8" w:color="auto"/>
            </w:tcBorders>
            <w:shd w:val="clear" w:color="auto" w:fill="BDD6EE"/>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100%</w:t>
            </w:r>
          </w:p>
        </w:tc>
        <w:tc>
          <w:tcPr>
            <w:tcW w:w="3740" w:type="dxa"/>
            <w:vAlign w:val="bottom"/>
            <w:tcBorders>
              <w:top w:val="single" w:sz="8" w:color="BDD6EE"/>
              <w:bottom w:val="single" w:sz="8" w:color="auto"/>
              <w:right w:val="single" w:sz="8" w:color="auto"/>
            </w:tcBorders>
            <w:shd w:val="clear" w:color="auto" w:fill="BDD6EE"/>
          </w:tcPr>
          <w:p>
            <w:pPr>
              <w:jc w:val="center"/>
              <w:spacing w:after="0" w:line="220" w:lineRule="exact"/>
              <w:rPr>
                <w:sz w:val="20"/>
                <w:szCs w:val="20"/>
                <w:color w:val="auto"/>
              </w:rPr>
            </w:pPr>
            <w:r>
              <w:rPr>
                <w:rFonts w:ascii="Times New Roman" w:cs="Times New Roman" w:eastAsia="Times New Roman" w:hAnsi="Times New Roman"/>
                <w:sz w:val="22"/>
                <w:szCs w:val="22"/>
                <w:color w:val="auto"/>
                <w:w w:val="99"/>
              </w:rPr>
              <w:t>Australia</w:t>
            </w:r>
          </w:p>
        </w:tc>
      </w:tr>
      <w:tr>
        <w:trPr>
          <w:trHeight w:val="1621"/>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4" w:name="page155"/>
    <w:bookmarkEnd w:id="154"/>
    <w:p>
      <w:pPr>
        <w:spacing w:after="0" w:line="200" w:lineRule="exact"/>
        <w:rPr>
          <w:sz w:val="20"/>
          <w:szCs w:val="20"/>
          <w:color w:val="auto"/>
        </w:rPr>
      </w:pPr>
    </w:p>
    <w:p>
      <w:pPr>
        <w:spacing w:after="0" w:line="224" w:lineRule="exact"/>
        <w:rPr>
          <w:sz w:val="20"/>
          <w:szCs w:val="20"/>
          <w:color w:val="auto"/>
        </w:rPr>
      </w:pPr>
    </w:p>
    <w:p>
      <w:pPr>
        <w:ind w:left="254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333-239510, 333-268312, and 333-279275) and Form S-8 (Nos. 333-239509, 333-249287, 333-270535, 333-270536, 333-270945, and 333-277946) of Larimar Therapeutics, Inc. of our report dated March 24, 2025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Philadelphia, Pennsylvania</w:t>
      </w:r>
    </w:p>
    <w:p>
      <w:pPr>
        <w:spacing w:after="0"/>
        <w:rPr>
          <w:sz w:val="20"/>
          <w:szCs w:val="20"/>
          <w:color w:val="auto"/>
        </w:rPr>
      </w:pPr>
      <w:r>
        <w:rPr>
          <w:rFonts w:ascii="Georgia" w:cs="Georgia" w:eastAsia="Georgia" w:hAnsi="Georgia"/>
          <w:sz w:val="18"/>
          <w:szCs w:val="18"/>
          <w:color w:val="auto"/>
        </w:rPr>
        <w:t>March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90" w:lineRule="exact"/>
        <w:rPr>
          <w:sz w:val="20"/>
          <w:szCs w:val="20"/>
          <w:color w:val="auto"/>
        </w:rPr>
      </w:pPr>
    </w:p>
    <w:p>
      <w:pPr>
        <w:ind w:left="180" w:hanging="172"/>
        <w:spacing w:after="0"/>
        <w:tabs>
          <w:tab w:leader="none" w:pos="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Larimar Therapeutics, Inc.;</w:t>
      </w:r>
    </w:p>
    <w:p>
      <w:pPr>
        <w:spacing w:after="0" w:line="76"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140" w:right="380" w:hanging="383"/>
        <w:spacing w:after="0" w:line="306" w:lineRule="auto"/>
        <w:tabs>
          <w:tab w:leader="none" w:pos="11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90" w:lineRule="exact"/>
        <w:rPr>
          <w:sz w:val="20"/>
          <w:szCs w:val="20"/>
          <w:color w:val="auto"/>
        </w:rPr>
      </w:pPr>
    </w:p>
    <w:p>
      <w:pPr>
        <w:ind w:left="180" w:hanging="172"/>
        <w:spacing w:after="0"/>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Larimar Therapeutics, Inc.;</w:t>
      </w:r>
    </w:p>
    <w:p>
      <w:pPr>
        <w:spacing w:after="0" w:line="76"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140" w:right="380" w:hanging="383"/>
        <w:spacing w:after="0" w:line="306" w:lineRule="auto"/>
        <w:tabs>
          <w:tab w:leader="none" w:pos="114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Michael Celano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1" w:lineRule="exact"/>
        <w:rPr>
          <w:sz w:val="20"/>
          <w:szCs w:val="20"/>
          <w:color w:val="auto"/>
        </w:rPr>
      </w:pPr>
    </w:p>
    <w:p>
      <w:pPr>
        <w:ind w:left="1500" w:right="660" w:hanging="690"/>
        <w:spacing w:after="0" w:line="282" w:lineRule="auto"/>
        <w:tabs>
          <w:tab w:leader="none" w:pos="11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December 31, 2024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500" w:right="400" w:hanging="690"/>
        <w:spacing w:after="0" w:line="282" w:lineRule="auto"/>
        <w:tabs>
          <w:tab w:leader="none" w:pos="11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24, 2025</w:t>
            </w:r>
          </w:p>
        </w:tc>
        <w:tc>
          <w:tcPr>
            <w:tcW w:w="5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91"/>
        </w:trPr>
        <w:tc>
          <w:tcPr>
            <w:tcW w:w="6140" w:type="dxa"/>
            <w:vAlign w:val="bottom"/>
          </w:tcPr>
          <w:p>
            <w:pPr>
              <w:spacing w:after="0"/>
              <w:rPr>
                <w:sz w:val="16"/>
                <w:szCs w:val="16"/>
                <w:color w:val="auto"/>
              </w:rPr>
            </w:pPr>
          </w:p>
        </w:tc>
        <w:tc>
          <w:tcPr>
            <w:tcW w:w="5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614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4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24, 2025</w:t>
            </w:r>
          </w:p>
        </w:tc>
        <w:tc>
          <w:tcPr>
            <w:tcW w:w="5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91"/>
        </w:trPr>
        <w:tc>
          <w:tcPr>
            <w:tcW w:w="6140" w:type="dxa"/>
            <w:vAlign w:val="bottom"/>
          </w:tcPr>
          <w:p>
            <w:pPr>
              <w:spacing w:after="0"/>
              <w:rPr>
                <w:sz w:val="16"/>
                <w:szCs w:val="16"/>
                <w:color w:val="auto"/>
              </w:rPr>
            </w:pPr>
          </w:p>
        </w:tc>
        <w:tc>
          <w:tcPr>
            <w:tcW w:w="5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614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14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78"/>
        </w:trPr>
        <w:tc>
          <w:tcPr>
            <w:tcW w:w="6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8" w:name="page159"/>
    <w:bookmarkEnd w:id="1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lvl w:ilvl="1">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lowerLetter"/>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decimal"/>
      <w:start w:val="2"/>
    </w:lvl>
  </w:abstractNum>
  <w:abstractNum w:abstractNumId="59">
    <w:nsid w:val="51D9C564"/>
    <w:multiLevelType w:val="hybridMultilevel"/>
    <w:lvl w:ilvl="0">
      <w:lvlJc w:val="left"/>
      <w:lvlText w:val="%1."/>
      <w:numFmt w:val="decimal"/>
      <w:start w:val="3"/>
    </w:lvl>
  </w:abstractNum>
  <w:abstractNum w:abstractNumId="60">
    <w:nsid w:val="613EFDC5"/>
    <w:multiLevelType w:val="hybridMultilevel"/>
    <w:lvl w:ilvl="0">
      <w:lvlJc w:val="left"/>
      <w:lvlText w:val="%1."/>
      <w:numFmt w:val="decimal"/>
      <w:start w:val="4"/>
    </w:lvl>
  </w:abstractNum>
  <w:abstractNum w:abstractNumId="61">
    <w:nsid w:val="BF72B14"/>
    <w:multiLevelType w:val="hybridMultilevel"/>
    <w:lvl w:ilvl="0">
      <w:lvlJc w:val="left"/>
      <w:lvlText w:val="%1."/>
      <w:numFmt w:val="decimal"/>
      <w:start w:val="5"/>
    </w:lvl>
  </w:abstractNum>
  <w:abstractNum w:abstractNumId="62">
    <w:nsid w:val="11447B73"/>
    <w:multiLevelType w:val="hybridMultilevel"/>
    <w:lvl w:ilvl="0">
      <w:lvlJc w:val="left"/>
      <w:lvlText w:val="%1."/>
      <w:numFmt w:val="decimal"/>
      <w:start w:val="6"/>
    </w:lvl>
  </w:abstractNum>
  <w:abstractNum w:abstractNumId="63">
    <w:nsid w:val="42963E5A"/>
    <w:multiLevelType w:val="hybridMultilevel"/>
    <w:lvl w:ilvl="0">
      <w:lvlJc w:val="left"/>
      <w:lvlText w:val="%1."/>
      <w:numFmt w:val="decimal"/>
      <w:start w:val="7"/>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1."/>
      <w:numFmt w:val="decimal"/>
      <w:start w:val="8"/>
    </w:lvl>
  </w:abstractNum>
  <w:abstractNum w:abstractNumId="66">
    <w:nsid w:val="1A32234B"/>
    <w:multiLevelType w:val="hybridMultilevel"/>
    <w:lvl w:ilvl="0">
      <w:lvlJc w:val="left"/>
      <w:lvlText w:val="%1."/>
      <w:numFmt w:val="decimal"/>
      <w:start w:val="9"/>
    </w:lvl>
  </w:abstractNum>
  <w:abstractNum w:abstractNumId="67">
    <w:nsid w:val="3B0FD379"/>
    <w:multiLevelType w:val="hybridMultilevel"/>
    <w:lvl w:ilvl="0">
      <w:lvlJc w:val="left"/>
      <w:lvlText w:val="%1."/>
      <w:numFmt w:val="decimal"/>
      <w:start w:val="10"/>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3"/>
    </w:lvl>
  </w:abstractNum>
  <w:abstractNum w:abstractNumId="70">
    <w:nsid w:val="60B6DF70"/>
    <w:multiLevelType w:val="hybridMultilevel"/>
    <w:lvl w:ilvl="0">
      <w:lvlJc w:val="left"/>
      <w:lvlText w:val="%1."/>
      <w:numFmt w:val="decimal"/>
      <w:start w:val="4"/>
    </w:lvl>
  </w:abstractNum>
  <w:abstractNum w:abstractNumId="71">
    <w:nsid w:val="6A5EE64"/>
    <w:multiLevelType w:val="hybridMultilevel"/>
    <w:lvl w:ilvl="0">
      <w:lvlJc w:val="left"/>
      <w:lvlText w:val="%1."/>
      <w:numFmt w:val="decimal"/>
      <w:start w:val="1"/>
    </w:lvl>
    <w:lvl w:ilvl="1">
      <w:lvlJc w:val="left"/>
      <w:lvlText w:val="(%2)"/>
      <w:numFmt w:val="lowerLetter"/>
      <w:start w:val="1"/>
    </w:lvl>
  </w:abstractNum>
  <w:abstractNum w:abstractNumId="72">
    <w:nsid w:val="14330624"/>
    <w:multiLevelType w:val="hybridMultilevel"/>
    <w:lvl w:ilvl="0">
      <w:lvlJc w:val="left"/>
      <w:lvlText w:val="%1"/>
      <w:numFmt w:val="decimal"/>
      <w:start w:val="1"/>
    </w:lvl>
    <w:lvl w:ilvl="1">
      <w:lvlJc w:val="left"/>
      <w:lvlText w:val="(%2)"/>
      <w:numFmt w:val="lowerLetter"/>
      <w:start w:val="5"/>
    </w:lvl>
  </w:abstractNum>
  <w:abstractNum w:abstractNumId="73">
    <w:nsid w:val="7FFFCA11"/>
    <w:multiLevelType w:val="hybridMultilevel"/>
    <w:lvl w:ilvl="0">
      <w:lvlJc w:val="left"/>
      <w:lvlText w:val="%1."/>
      <w:numFmt w:val="decimal"/>
      <w:start w:val="5"/>
    </w:lvl>
    <w:lvl w:ilvl="1">
      <w:lvlJc w:val="left"/>
      <w:lvlText w:val="%2"/>
      <w:numFmt w:val="lowerLetter"/>
      <w:start w:val="1"/>
    </w:lvl>
  </w:abstractNum>
  <w:abstractNum w:abstractNumId="74">
    <w:nsid w:val="1A27709E"/>
    <w:multiLevelType w:val="hybridMultilevel"/>
    <w:lvl w:ilvl="0">
      <w:lvlJc w:val="left"/>
      <w:lvlText w:val="(%1)"/>
      <w:numFmt w:val="lowerLetter"/>
      <w:start w:val="4"/>
    </w:lvl>
  </w:abstractNum>
  <w:abstractNum w:abstractNumId="75">
    <w:nsid w:val="71EA1109"/>
    <w:multiLevelType w:val="hybridMultilevel"/>
    <w:lvl w:ilvl="0">
      <w:lvlJc w:val="left"/>
      <w:lvlText w:val="%1."/>
      <w:numFmt w:val="upperLetter"/>
      <w:start w:val="9"/>
    </w:lvl>
  </w:abstractNum>
  <w:abstractNum w:abstractNumId="76">
    <w:nsid w:val="100F59DC"/>
    <w:multiLevelType w:val="hybridMultilevel"/>
    <w:lvl w:ilvl="0">
      <w:lvlJc w:val="left"/>
      <w:lvlText w:val="%1."/>
      <w:numFmt w:val="upperLetter"/>
      <w:start w:val="35"/>
    </w:lvl>
  </w:abstractNum>
  <w:abstractNum w:abstractNumId="77">
    <w:nsid w:val="7FB7E0AA"/>
    <w:multiLevelType w:val="hybridMultilevel"/>
    <w:lvl w:ilvl="0">
      <w:lvlJc w:val="left"/>
      <w:lvlText w:val="%1."/>
      <w:numFmt w:val="upperLetter"/>
      <w:start w:val="61"/>
    </w:lvl>
  </w:abstractNum>
  <w:abstractNum w:abstractNumId="78">
    <w:nsid w:val="6EB5BD4"/>
    <w:multiLevelType w:val="hybridMultilevel"/>
    <w:lvl w:ilvl="0">
      <w:lvlJc w:val="left"/>
      <w:lvlText w:val="%1."/>
      <w:numFmt w:val="upperLetter"/>
      <w:start w:val="22"/>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1."/>
      <w:numFmt w:val="upperLetter"/>
      <w:start w:val="24"/>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4"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434" Type="http://schemas.openxmlformats.org/officeDocument/2006/relationships/image" Target="media/image390.png"/><Relationship Id="rId435" Type="http://schemas.openxmlformats.org/officeDocument/2006/relationships/image" Target="media/image391.png"/><Relationship Id="rId436" Type="http://schemas.openxmlformats.org/officeDocument/2006/relationships/image" Target="media/image392.png"/><Relationship Id="rId437"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png"/><Relationship Id="rId443" Type="http://schemas.openxmlformats.org/officeDocument/2006/relationships/image" Target="media/image399.png"/><Relationship Id="rId444" Type="http://schemas.openxmlformats.org/officeDocument/2006/relationships/image" Target="media/image400.png"/><Relationship Id="rId445" Type="http://schemas.openxmlformats.org/officeDocument/2006/relationships/image" Target="media/image401.png"/><Relationship Id="rId446" Type="http://schemas.openxmlformats.org/officeDocument/2006/relationships/image" Target="media/image402.png"/><Relationship Id="rId447" Type="http://schemas.openxmlformats.org/officeDocument/2006/relationships/image" Target="media/image403.png"/><Relationship Id="rId448" Type="http://schemas.openxmlformats.org/officeDocument/2006/relationships/image" Target="media/image404.png"/><Relationship Id="rId449" Type="http://schemas.openxmlformats.org/officeDocument/2006/relationships/image" Target="media/image405.png"/><Relationship Id="rId450" Type="http://schemas.openxmlformats.org/officeDocument/2006/relationships/image" Target="media/image406.png"/><Relationship Id="rId451" Type="http://schemas.openxmlformats.org/officeDocument/2006/relationships/image" Target="media/image407.png"/><Relationship Id="rId452" Type="http://schemas.openxmlformats.org/officeDocument/2006/relationships/image" Target="media/image408.png"/><Relationship Id="rId453" Type="http://schemas.openxmlformats.org/officeDocument/2006/relationships/image" Target="media/image409.png"/><Relationship Id="rId454" Type="http://schemas.openxmlformats.org/officeDocument/2006/relationships/image" Target="media/image410.png"/><Relationship Id="rId455" Type="http://schemas.openxmlformats.org/officeDocument/2006/relationships/image" Target="media/image411.png"/><Relationship Id="rId456" Type="http://schemas.openxmlformats.org/officeDocument/2006/relationships/image" Target="media/image412.png"/><Relationship Id="rId457" Type="http://schemas.openxmlformats.org/officeDocument/2006/relationships/image" Target="media/image413.png"/><Relationship Id="rId458" Type="http://schemas.openxmlformats.org/officeDocument/2006/relationships/image" Target="media/image414.png"/><Relationship Id="rId459" Type="http://schemas.openxmlformats.org/officeDocument/2006/relationships/image" Target="media/image415.png"/><Relationship Id="rId460" Type="http://schemas.openxmlformats.org/officeDocument/2006/relationships/image" Target="media/image416.png"/><Relationship Id="rId461" Type="http://schemas.openxmlformats.org/officeDocument/2006/relationships/image" Target="media/image417.png"/><Relationship Id="rId462" Type="http://schemas.openxmlformats.org/officeDocument/2006/relationships/image" Target="media/image418.png"/><Relationship Id="rId463" Type="http://schemas.openxmlformats.org/officeDocument/2006/relationships/image" Target="media/image419.png"/><Relationship Id="rId464" Type="http://schemas.openxmlformats.org/officeDocument/2006/relationships/image" Target="media/image420.png"/><Relationship Id="rId465" Type="http://schemas.openxmlformats.org/officeDocument/2006/relationships/image" Target="media/image421.png"/><Relationship Id="rId466" Type="http://schemas.openxmlformats.org/officeDocument/2006/relationships/image" Target="media/image422.png"/><Relationship Id="rId467" Type="http://schemas.openxmlformats.org/officeDocument/2006/relationships/image" Target="media/image423.png"/><Relationship Id="rId468" Type="http://schemas.openxmlformats.org/officeDocument/2006/relationships/image" Target="media/image424.png"/><Relationship Id="rId469" Type="http://schemas.openxmlformats.org/officeDocument/2006/relationships/image" Target="media/image425.png"/><Relationship Id="rId470" Type="http://schemas.openxmlformats.org/officeDocument/2006/relationships/image" Target="media/image426.png"/><Relationship Id="rId471" Type="http://schemas.openxmlformats.org/officeDocument/2006/relationships/image" Target="media/image427.png"/><Relationship Id="rId472" Type="http://schemas.openxmlformats.org/officeDocument/2006/relationships/image" Target="media/image428.png"/><Relationship Id="rId473" Type="http://schemas.openxmlformats.org/officeDocument/2006/relationships/image" Target="media/image429.png"/><Relationship Id="rId474" Type="http://schemas.openxmlformats.org/officeDocument/2006/relationships/image" Target="media/image430.png"/><Relationship Id="rId475" Type="http://schemas.openxmlformats.org/officeDocument/2006/relationships/image" Target="media/image431.png"/><Relationship Id="rId476" Type="http://schemas.openxmlformats.org/officeDocument/2006/relationships/image" Target="media/image432.png"/><Relationship Id="rId477" Type="http://schemas.openxmlformats.org/officeDocument/2006/relationships/image" Target="media/image433.png"/><Relationship Id="rId478" Type="http://schemas.openxmlformats.org/officeDocument/2006/relationships/image" Target="media/image434.png"/><Relationship Id="rId138" Type="http://schemas.openxmlformats.org/officeDocument/2006/relationships/hyperlink" Target="https://www.sec.gov/Archives/edgar/data/0001374690/000119312519316828/d845901dex21.htm" TargetMode="External"/><Relationship Id="rId142" Type="http://schemas.openxmlformats.org/officeDocument/2006/relationships/hyperlink" Target="https://www.sec.gov/Archives/edgar/data/0001374690/000119312520065288/d846972dex21.htm" TargetMode="External"/><Relationship Id="rId146" Type="http://schemas.openxmlformats.org/officeDocument/2006/relationships/hyperlink" Target="https://www.sec.gov/Archives/edgar/data/1374690/000119312514247362/d747935dex31.htm" TargetMode="External"/><Relationship Id="rId149" Type="http://schemas.openxmlformats.org/officeDocument/2006/relationships/hyperlink" Target="https://www.sec.gov/Archives/edgar/data/1374690/000119312520157924/d936040dex31.htm" TargetMode="External"/><Relationship Id="rId152" Type="http://schemas.openxmlformats.org/officeDocument/2006/relationships/hyperlink" Target="https://www.sec.gov/Archives/edgar/data/1374690/000119312520157924/d936040dex32.htm" TargetMode="External"/><Relationship Id="rId155" Type="http://schemas.openxmlformats.org/officeDocument/2006/relationships/hyperlink" Target="https://www.sec.gov/Archives/edgar/data/0001374690/000095017024093733/lrmr-ex3_1.htm" TargetMode="External"/><Relationship Id="rId158" Type="http://schemas.openxmlformats.org/officeDocument/2006/relationships/hyperlink" Target="https://www.sec.gov/Archives/edgar/data/1374690/000119312514247362/d747935dex32.htm" TargetMode="External"/><Relationship Id="rId161" Type="http://schemas.openxmlformats.org/officeDocument/2006/relationships/hyperlink" Target="https://www.sec.gov/Archives/edgar/data/1374690/000156459021011003/lrmr-ex42_407.htm" TargetMode="External"/><Relationship Id="rId164" Type="http://schemas.openxmlformats.org/officeDocument/2006/relationships/hyperlink" Target="https://www.sec.gov/Archives/edgar/data/1374690/000119312520257168/d887315dex101.htm" TargetMode="External"/><Relationship Id="rId167" Type="http://schemas.openxmlformats.org/officeDocument/2006/relationships/hyperlink" Target="https://www.sec.gov/Archives/edgar/data/1374690/000119312520257168/d887315dex102.htm" TargetMode="External"/><Relationship Id="rId170" Type="http://schemas.openxmlformats.org/officeDocument/2006/relationships/hyperlink" Target="https://www.sec.gov/Archives/edgar/data/0001374690/000095017024031529/lrmr-ex10_3.htm" TargetMode="External"/><Relationship Id="rId173" Type="http://schemas.openxmlformats.org/officeDocument/2006/relationships/hyperlink" Target="https://www.sec.gov/Archives/edgar/data/0001374690/000095017024031529/lrmr-ex10_4.htm" TargetMode="External"/><Relationship Id="rId176" Type="http://schemas.openxmlformats.org/officeDocument/2006/relationships/hyperlink" Target="https://www.sec.gov/Archives/edgar/data/0001374690/000095017025009196/lrmr-ex10_1.htm" TargetMode="External"/><Relationship Id="rId180" Type="http://schemas.openxmlformats.org/officeDocument/2006/relationships/hyperlink" Target="https://www.sec.gov/Archives/edgar/data/1374690/000119312520157924/d936040dex102.htm" TargetMode="External"/><Relationship Id="rId183" Type="http://schemas.openxmlformats.org/officeDocument/2006/relationships/hyperlink" Target="https://www.sec.gov/Archives/edgar/data/0001374690/000119312520181162/d926045dex103.htm" TargetMode="External"/><Relationship Id="rId185" Type="http://schemas.openxmlformats.org/officeDocument/2006/relationships/hyperlink" Target="https://www.sec.gov/Archives/edgar/data/0001374690/000119312520157924/d936040dex103.htm" TargetMode="External"/><Relationship Id="rId186" Type="http://schemas.openxmlformats.org/officeDocument/2006/relationships/hyperlink" Target="https://www.sec.gov/Archives/edgar/data/1374690/000119312520211426/d82303dex101.htm" TargetMode="External"/><Relationship Id="rId189" Type="http://schemas.openxmlformats.org/officeDocument/2006/relationships/hyperlink" Target="https://www.sec.gov/Archives/edgar/data/0001374690/000119312520157924/d936040dex104.htm" TargetMode="External"/><Relationship Id="rId190" Type="http://schemas.openxmlformats.org/officeDocument/2006/relationships/hyperlink" Target="https://www.sec.gov/ix?doc=/Archives/edgar/data/1374690/000119312523026958/d399840d8k.htm" TargetMode="External"/><Relationship Id="rId193" Type="http://schemas.openxmlformats.org/officeDocument/2006/relationships/hyperlink" Target="https://www.sec.gov/Archives/edgar/data/1374690/000095017023041293/lrmr-ex10_1.htm" TargetMode="External"/><Relationship Id="rId196" Type="http://schemas.openxmlformats.org/officeDocument/2006/relationships/hyperlink" Target="https://www.sec.gov/Archives/edgar/data/1374690/000156459020040314/lrmr-ex106_306.htm" TargetMode="External"/><Relationship Id="rId199" Type="http://schemas.openxmlformats.org/officeDocument/2006/relationships/hyperlink" Target="https://www.sec.gov/Archives/edgar/data/1374690/000156459020040314/lrmr-ex107_305.htm" TargetMode="External"/><Relationship Id="rId203" Type="http://schemas.openxmlformats.org/officeDocument/2006/relationships/hyperlink" Target="https://www.sec.gov/Archives/edgar/data/1374690/000156459020040314/lrmr-ex108_304.htm" TargetMode="External"/><Relationship Id="rId206" Type="http://schemas.openxmlformats.org/officeDocument/2006/relationships/hyperlink" Target="https://www.sec.gov/Archives/edgar/data/1374690/000156459020040314/lrmr-ex109_303.htm" TargetMode="External"/><Relationship Id="rId210" Type="http://schemas.openxmlformats.org/officeDocument/2006/relationships/hyperlink" Target="https://www.sec.gov/Archives/edgar/data/1374690/000156459020040314/lrmr-ex1010_302.htm" TargetMode="External"/><Relationship Id="rId214" Type="http://schemas.openxmlformats.org/officeDocument/2006/relationships/hyperlink" Target="https://www.sec.gov/Archives/edgar/data/1374690/000095017022016917/lrmr-ex10_1.htm" TargetMode="External"/><Relationship Id="rId217" Type="http://schemas.openxmlformats.org/officeDocument/2006/relationships/hyperlink" Target="https://www.sec.gov/Archives/edgar/data/1374690/000095017022016917/lrmr-ex10_2.htm" TargetMode="External"/><Relationship Id="rId220" Type="http://schemas.openxmlformats.org/officeDocument/2006/relationships/hyperlink" Target="https://www.sec.gov/Archives/edgar/data/0001374690/000119312520181158/d913803dex45.htm" TargetMode="External"/><Relationship Id="rId221" Type="http://schemas.openxmlformats.org/officeDocument/2006/relationships/hyperlink" Target="https://www.sec.gov/Archives/edgar/data/0001374690/000095017024031529/lrmr-ex10_20.htm" TargetMode="External"/><Relationship Id="rId224" Type="http://schemas.openxmlformats.org/officeDocument/2006/relationships/hyperlink" Target="https://www.sec.gov/Archives/edgar/data/0001374690/000095017024031529/lrmr-ex10_21.htm" TargetMode="External"/><Relationship Id="rId227" Type="http://schemas.openxmlformats.org/officeDocument/2006/relationships/hyperlink" Target="https://www.sec.gov/Archives/edgar/data/1374690/000156459019018086/zfgn-ex104_74.htm" TargetMode="External"/><Relationship Id="rId230" Type="http://schemas.openxmlformats.org/officeDocument/2006/relationships/hyperlink" Target="https://www.sec.gov/Archives/edgar/data/1374690/000119312520282731/d37391dex101.htm" TargetMode="External"/><Relationship Id="rId233" Type="http://schemas.openxmlformats.org/officeDocument/2006/relationships/hyperlink" Target="https://www.sec.gov/Archives/edgar/data/0001374690/000156459021026084/lrmr-ex101_148.htm" TargetMode="External"/><Relationship Id="rId236" Type="http://schemas.openxmlformats.org/officeDocument/2006/relationships/hyperlink" Target="https://www.sec.gov/Archives/edgar/data/0001374690/000156459021026084/lrmr-ex102_147.htm" TargetMode="External"/><Relationship Id="rId239" Type="http://schemas.openxmlformats.org/officeDocument/2006/relationships/hyperlink" Target="https://www.sec.gov/Archives/edgar/data/1374690/000095017023007855/lrmr-ex10_23.htm" TargetMode="External"/><Relationship Id="rId243" Type="http://schemas.openxmlformats.org/officeDocument/2006/relationships/hyperlink" Target="https://www.sec.gov/Archives/edgar/data/0001374690/000095017024056965/lrmr-ex10_1.htm" TargetMode="External"/><Relationship Id="rId253" Type="http://schemas.openxmlformats.org/officeDocument/2006/relationships/hyperlink" Target="https://www.sec.gov/Archives/edgar/data/0001374690/000095017024031529/lrmr-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2025-03-24T16:16:05Z</dcterms:created>
  <dcterms:modified xsi:type="dcterms:W3CDTF">2025-03-24T16:16:05Z</dcterms:modified>
</cp:coreProperties>
</file>