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001-36510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Three Bala Plaza East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LRMR</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1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On May 29, 2024, Larimar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2024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virtually. As of April 1, 2024, the record date for the Annual Meeting, there were 63,800,017 outstanding shares of the Company’s common stock, par value $0.001 per share, entitled to vote at the Annual Meeting. The following is a brief description of the final voting results for each of the proposals submitted to a vote of the stockholders at the Annual Meeting, which are described in detail in the Company’s definitive proxy statement for the Annual Meeting, filed with the U.S. Securities and Exchange Commission on April 29, 2024.</w:t>
      </w:r>
    </w:p>
    <w:p>
      <w:pPr>
        <w:spacing w:after="0" w:line="181"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1 – Election of Class I Directors. </w:t>
      </w:r>
      <w:r>
        <w:rPr>
          <w:rFonts w:ascii="Times New Roman" w:cs="Times New Roman" w:eastAsia="Times New Roman" w:hAnsi="Times New Roman"/>
          <w:sz w:val="18"/>
          <w:szCs w:val="18"/>
          <w:color w:val="auto"/>
        </w:rPr>
        <w:t>Jonathan Leff and Jeffrey W. Sherman, M.D., FACP were elected to the Board of Directors of the Company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I directors to serve until the Company’s 2027 Annual Meeting of Stockholders and until their successors, if any, are duly elected and qualified or appointed, or their earlier death, resignation, or removal, as follows:</w:t>
      </w:r>
    </w:p>
    <w:p>
      <w:pPr>
        <w:spacing w:after="0" w:line="182" w:lineRule="exact"/>
        <w:rPr>
          <w:sz w:val="20"/>
          <w:szCs w:val="20"/>
          <w:color w:val="auto"/>
        </w:rPr>
      </w:pPr>
    </w:p>
    <w:tbl>
      <w:tblPr>
        <w:tblLayout w:type="fixed"/>
        <w:tblInd w:w="960" w:type="dxa"/>
        <w:tblCellMar>
          <w:top w:w="0" w:type="dxa"/>
          <w:left w:w="0" w:type="dxa"/>
          <w:bottom w:w="0" w:type="dxa"/>
          <w:right w:w="0" w:type="dxa"/>
        </w:tblCellMar>
      </w:tblPr>
      <w:tr>
        <w:trPr>
          <w:trHeight w:val="187"/>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60" w:type="dxa"/>
            <w:vAlign w:val="bottom"/>
          </w:tcPr>
          <w:p>
            <w:pPr>
              <w:spacing w:after="0"/>
              <w:rPr>
                <w:sz w:val="16"/>
                <w:szCs w:val="16"/>
                <w:color w:val="auto"/>
              </w:rPr>
            </w:pPr>
          </w:p>
        </w:tc>
        <w:tc>
          <w:tcPr>
            <w:tcW w:w="18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54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7"/>
        </w:trPr>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Jonathan Leff</w:t>
            </w:r>
          </w:p>
        </w:tc>
        <w:tc>
          <w:tcPr>
            <w:tcW w:w="19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40,728,411</w:t>
            </w:r>
          </w:p>
        </w:tc>
        <w:tc>
          <w:tcPr>
            <w:tcW w:w="21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10,501,069</w:t>
            </w:r>
          </w:p>
        </w:tc>
        <w:tc>
          <w:tcPr>
            <w:tcW w:w="244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8,332,013</w:t>
            </w:r>
          </w:p>
        </w:tc>
      </w:tr>
      <w:tr>
        <w:trPr>
          <w:trHeight w:val="234"/>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Jeffrey W. Sherman, M.D., FACP</w:t>
            </w:r>
          </w:p>
        </w:tc>
        <w:tc>
          <w:tcPr>
            <w:tcW w:w="1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51,056,220</w:t>
            </w:r>
          </w:p>
        </w:tc>
        <w:tc>
          <w:tcPr>
            <w:tcW w:w="218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173,260</w:t>
            </w:r>
          </w:p>
        </w:tc>
        <w:tc>
          <w:tcPr>
            <w:tcW w:w="24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8,332,013</w:t>
            </w:r>
          </w:p>
        </w:tc>
      </w:tr>
    </w:tbl>
    <w:p>
      <w:pPr>
        <w:spacing w:after="0" w:line="204"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2 – Approval, on an advisory basis, of the compensation of the Company’s named executive officers in 2023. </w:t>
      </w:r>
      <w:r>
        <w:rPr>
          <w:rFonts w:ascii="Times New Roman" w:cs="Times New Roman" w:eastAsia="Times New Roman" w:hAnsi="Times New Roman"/>
          <w:sz w:val="18"/>
          <w:szCs w:val="18"/>
          <w:color w:val="auto"/>
        </w:rPr>
        <w:t>The stockholders approved,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basis, the compensation of the Company’s named executive officers in 2023,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2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20" w:type="dxa"/>
            <w:vAlign w:val="bottom"/>
          </w:tcPr>
          <w:p>
            <w:pPr>
              <w:spacing w:after="0"/>
              <w:rPr>
                <w:sz w:val="19"/>
                <w:szCs w:val="19"/>
                <w:color w:val="auto"/>
              </w:rPr>
            </w:pPr>
          </w:p>
        </w:tc>
        <w:tc>
          <w:tcPr>
            <w:tcW w:w="16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80" w:type="dxa"/>
            <w:vAlign w:val="bottom"/>
          </w:tcPr>
          <w:p>
            <w:pPr>
              <w:spacing w:after="0"/>
              <w:rPr>
                <w:sz w:val="19"/>
                <w:szCs w:val="19"/>
                <w:color w:val="auto"/>
              </w:rPr>
            </w:pPr>
          </w:p>
        </w:tc>
        <w:tc>
          <w:tcPr>
            <w:tcW w:w="25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80" w:type="dxa"/>
            <w:vAlign w:val="bottom"/>
          </w:tcPr>
          <w:p>
            <w:pPr>
              <w:spacing w:after="0"/>
              <w:rPr>
                <w:sz w:val="19"/>
                <w:szCs w:val="19"/>
                <w:color w:val="auto"/>
              </w:rPr>
            </w:pPr>
          </w:p>
        </w:tc>
      </w:tr>
      <w:tr>
        <w:trPr>
          <w:trHeight w:val="216"/>
        </w:trPr>
        <w:tc>
          <w:tcPr>
            <w:tcW w:w="2260" w:type="dxa"/>
            <w:vAlign w:val="bottom"/>
            <w:tcBorders>
              <w:top w:val="single" w:sz="8" w:color="CCECFF"/>
            </w:tcBorders>
            <w:shd w:val="clear" w:color="auto" w:fill="CCECFF"/>
          </w:tcPr>
          <w:p>
            <w:pPr>
              <w:jc w:val="right"/>
              <w:ind w:right="599"/>
              <w:spacing w:after="0"/>
              <w:rPr>
                <w:sz w:val="20"/>
                <w:szCs w:val="20"/>
                <w:color w:val="auto"/>
              </w:rPr>
            </w:pPr>
            <w:r>
              <w:rPr>
                <w:rFonts w:ascii="Times New Roman" w:cs="Times New Roman" w:eastAsia="Times New Roman" w:hAnsi="Times New Roman"/>
                <w:sz w:val="18"/>
                <w:szCs w:val="18"/>
                <w:color w:val="auto"/>
              </w:rPr>
              <w:t>48,754,088</w:t>
            </w:r>
          </w:p>
        </w:tc>
        <w:tc>
          <w:tcPr>
            <w:tcW w:w="100" w:type="dxa"/>
            <w:vAlign w:val="bottom"/>
            <w:tcBorders>
              <w:top w:val="single" w:sz="8" w:color="CCECFF"/>
            </w:tcBorders>
            <w:shd w:val="clear" w:color="auto" w:fill="CCECFF"/>
          </w:tcPr>
          <w:p>
            <w:pPr>
              <w:spacing w:after="0"/>
              <w:rPr>
                <w:sz w:val="18"/>
                <w:szCs w:val="18"/>
                <w:color w:val="auto"/>
              </w:rPr>
            </w:pPr>
          </w:p>
        </w:tc>
        <w:tc>
          <w:tcPr>
            <w:tcW w:w="200" w:type="dxa"/>
            <w:vAlign w:val="bottom"/>
            <w:tcBorders>
              <w:top w:val="single" w:sz="8" w:color="auto"/>
            </w:tcBorders>
            <w:shd w:val="clear" w:color="auto" w:fill="CCECFF"/>
          </w:tcPr>
          <w:p>
            <w:pPr>
              <w:spacing w:after="0"/>
              <w:rPr>
                <w:sz w:val="18"/>
                <w:szCs w:val="18"/>
                <w:color w:val="auto"/>
              </w:rPr>
            </w:pPr>
          </w:p>
        </w:tc>
        <w:tc>
          <w:tcPr>
            <w:tcW w:w="1620" w:type="dxa"/>
            <w:vAlign w:val="bottom"/>
            <w:tcBorders>
              <w:top w:val="single" w:sz="8" w:color="CCECFF"/>
            </w:tcBorders>
            <w:shd w:val="clear" w:color="auto" w:fill="CCECFF"/>
          </w:tcPr>
          <w:p>
            <w:pPr>
              <w:jc w:val="right"/>
              <w:ind w:right="319"/>
              <w:spacing w:after="0"/>
              <w:rPr>
                <w:sz w:val="20"/>
                <w:szCs w:val="20"/>
                <w:color w:val="auto"/>
              </w:rPr>
            </w:pPr>
            <w:r>
              <w:rPr>
                <w:rFonts w:ascii="Times New Roman" w:cs="Times New Roman" w:eastAsia="Times New Roman" w:hAnsi="Times New Roman"/>
                <w:sz w:val="18"/>
                <w:szCs w:val="18"/>
                <w:color w:val="auto"/>
              </w:rPr>
              <w:t>2,352,496</w:t>
            </w:r>
          </w:p>
        </w:tc>
        <w:tc>
          <w:tcPr>
            <w:tcW w:w="1920" w:type="dxa"/>
            <w:vAlign w:val="bottom"/>
            <w:tcBorders>
              <w:top w:val="single" w:sz="8" w:color="CCECFF"/>
            </w:tcBorders>
            <w:gridSpan w:val="2"/>
            <w:shd w:val="clear" w:color="auto" w:fill="CCECFF"/>
          </w:tcPr>
          <w:p>
            <w:pPr>
              <w:jc w:val="right"/>
              <w:ind w:right="408"/>
              <w:spacing w:after="0"/>
              <w:rPr>
                <w:sz w:val="20"/>
                <w:szCs w:val="20"/>
                <w:color w:val="auto"/>
              </w:rPr>
            </w:pPr>
            <w:r>
              <w:rPr>
                <w:rFonts w:ascii="Times New Roman" w:cs="Times New Roman" w:eastAsia="Times New Roman" w:hAnsi="Times New Roman"/>
                <w:sz w:val="18"/>
                <w:szCs w:val="18"/>
                <w:color w:val="auto"/>
              </w:rPr>
              <w:t>122,896</w:t>
            </w:r>
          </w:p>
        </w:tc>
        <w:tc>
          <w:tcPr>
            <w:tcW w:w="2800" w:type="dxa"/>
            <w:vAlign w:val="bottom"/>
            <w:tcBorders>
              <w:top w:val="single" w:sz="8" w:color="CCECFF"/>
            </w:tcBorders>
            <w:gridSpan w:val="2"/>
            <w:shd w:val="clear" w:color="auto" w:fill="CCECFF"/>
          </w:tcPr>
          <w:p>
            <w:pPr>
              <w:jc w:val="right"/>
              <w:ind w:right="788"/>
              <w:spacing w:after="0"/>
              <w:rPr>
                <w:sz w:val="20"/>
                <w:szCs w:val="20"/>
                <w:color w:val="auto"/>
              </w:rPr>
            </w:pPr>
            <w:r>
              <w:rPr>
                <w:rFonts w:ascii="Times New Roman" w:cs="Times New Roman" w:eastAsia="Times New Roman" w:hAnsi="Times New Roman"/>
                <w:sz w:val="18"/>
                <w:szCs w:val="18"/>
                <w:color w:val="auto"/>
              </w:rPr>
              <w:t>8,332,013</w:t>
            </w:r>
          </w:p>
        </w:tc>
        <w:tc>
          <w:tcPr>
            <w:tcW w:w="80" w:type="dxa"/>
            <w:vAlign w:val="bottom"/>
            <w:tcBorders>
              <w:top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-153670</wp:posOffset>
            </wp:positionV>
            <wp:extent cx="137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6"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3 – Ratification of Independent Registered Public Accountant. </w:t>
      </w:r>
      <w:r>
        <w:rPr>
          <w:rFonts w:ascii="Times New Roman" w:cs="Times New Roman" w:eastAsia="Times New Roman" w:hAnsi="Times New Roman"/>
          <w:sz w:val="18"/>
          <w:szCs w:val="18"/>
          <w:color w:val="auto"/>
        </w:rPr>
        <w:t>The appointment of PricewaterhouseCoopers LLP as the Company’s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for the 2024 fiscal year was ratified,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2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20" w:type="dxa"/>
            <w:vAlign w:val="bottom"/>
          </w:tcPr>
          <w:p>
            <w:pPr>
              <w:spacing w:after="0"/>
              <w:rPr>
                <w:sz w:val="19"/>
                <w:szCs w:val="19"/>
                <w:color w:val="auto"/>
              </w:rPr>
            </w:pPr>
          </w:p>
        </w:tc>
        <w:tc>
          <w:tcPr>
            <w:tcW w:w="16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80" w:type="dxa"/>
            <w:vAlign w:val="bottom"/>
          </w:tcPr>
          <w:p>
            <w:pPr>
              <w:spacing w:after="0"/>
              <w:rPr>
                <w:sz w:val="19"/>
                <w:szCs w:val="19"/>
                <w:color w:val="auto"/>
              </w:rPr>
            </w:pPr>
          </w:p>
        </w:tc>
        <w:tc>
          <w:tcPr>
            <w:tcW w:w="25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80" w:type="dxa"/>
            <w:vAlign w:val="bottom"/>
          </w:tcPr>
          <w:p>
            <w:pPr>
              <w:spacing w:after="0"/>
              <w:rPr>
                <w:sz w:val="19"/>
                <w:szCs w:val="19"/>
                <w:color w:val="auto"/>
              </w:rPr>
            </w:pPr>
          </w:p>
        </w:tc>
      </w:tr>
      <w:tr>
        <w:trPr>
          <w:trHeight w:val="217"/>
        </w:trPr>
        <w:tc>
          <w:tcPr>
            <w:tcW w:w="2260" w:type="dxa"/>
            <w:vAlign w:val="bottom"/>
            <w:tcBorders>
              <w:top w:val="single" w:sz="8" w:color="CCECFF"/>
            </w:tcBorders>
            <w:shd w:val="clear" w:color="auto" w:fill="CCECFF"/>
          </w:tcPr>
          <w:p>
            <w:pPr>
              <w:jc w:val="right"/>
              <w:ind w:right="599"/>
              <w:spacing w:after="0"/>
              <w:rPr>
                <w:sz w:val="20"/>
                <w:szCs w:val="20"/>
                <w:color w:val="auto"/>
              </w:rPr>
            </w:pPr>
            <w:r>
              <w:rPr>
                <w:rFonts w:ascii="Times New Roman" w:cs="Times New Roman" w:eastAsia="Times New Roman" w:hAnsi="Times New Roman"/>
                <w:sz w:val="18"/>
                <w:szCs w:val="18"/>
                <w:color w:val="auto"/>
              </w:rPr>
              <w:t>59,557,743</w:t>
            </w:r>
          </w:p>
        </w:tc>
        <w:tc>
          <w:tcPr>
            <w:tcW w:w="100" w:type="dxa"/>
            <w:vAlign w:val="bottom"/>
            <w:tcBorders>
              <w:top w:val="single" w:sz="8" w:color="CCECFF"/>
            </w:tcBorders>
            <w:shd w:val="clear" w:color="auto" w:fill="CCECFF"/>
          </w:tcPr>
          <w:p>
            <w:pPr>
              <w:spacing w:after="0"/>
              <w:rPr>
                <w:sz w:val="18"/>
                <w:szCs w:val="18"/>
                <w:color w:val="auto"/>
              </w:rPr>
            </w:pPr>
          </w:p>
        </w:tc>
        <w:tc>
          <w:tcPr>
            <w:tcW w:w="200" w:type="dxa"/>
            <w:vAlign w:val="bottom"/>
            <w:tcBorders>
              <w:top w:val="single" w:sz="8" w:color="auto"/>
            </w:tcBorders>
            <w:shd w:val="clear" w:color="auto" w:fill="CCECFF"/>
          </w:tcPr>
          <w:p>
            <w:pPr>
              <w:spacing w:after="0"/>
              <w:rPr>
                <w:sz w:val="18"/>
                <w:szCs w:val="18"/>
                <w:color w:val="auto"/>
              </w:rPr>
            </w:pPr>
          </w:p>
        </w:tc>
        <w:tc>
          <w:tcPr>
            <w:tcW w:w="1620" w:type="dxa"/>
            <w:vAlign w:val="bottom"/>
            <w:tcBorders>
              <w:top w:val="single" w:sz="8" w:color="CCECFF"/>
            </w:tcBorders>
            <w:shd w:val="clear" w:color="auto" w:fill="CCECFF"/>
          </w:tcPr>
          <w:p>
            <w:pPr>
              <w:jc w:val="right"/>
              <w:ind w:right="479"/>
              <w:spacing w:after="0"/>
              <w:rPr>
                <w:sz w:val="20"/>
                <w:szCs w:val="20"/>
                <w:color w:val="auto"/>
              </w:rPr>
            </w:pPr>
            <w:r>
              <w:rPr>
                <w:rFonts w:ascii="Times New Roman" w:cs="Times New Roman" w:eastAsia="Times New Roman" w:hAnsi="Times New Roman"/>
                <w:sz w:val="18"/>
                <w:szCs w:val="18"/>
                <w:color w:val="auto"/>
              </w:rPr>
              <w:t>2,735</w:t>
            </w:r>
          </w:p>
        </w:tc>
        <w:tc>
          <w:tcPr>
            <w:tcW w:w="1920" w:type="dxa"/>
            <w:vAlign w:val="bottom"/>
            <w:tcBorders>
              <w:top w:val="single" w:sz="8" w:color="CCECFF"/>
            </w:tcBorders>
            <w:gridSpan w:val="2"/>
            <w:shd w:val="clear" w:color="auto" w:fill="CCECFF"/>
          </w:tcPr>
          <w:p>
            <w:pPr>
              <w:jc w:val="right"/>
              <w:ind w:right="488"/>
              <w:spacing w:after="0"/>
              <w:rPr>
                <w:sz w:val="20"/>
                <w:szCs w:val="20"/>
                <w:color w:val="auto"/>
              </w:rPr>
            </w:pPr>
            <w:r>
              <w:rPr>
                <w:rFonts w:ascii="Times New Roman" w:cs="Times New Roman" w:eastAsia="Times New Roman" w:hAnsi="Times New Roman"/>
                <w:sz w:val="18"/>
                <w:szCs w:val="18"/>
                <w:color w:val="auto"/>
              </w:rPr>
              <w:t>1,015</w:t>
            </w:r>
          </w:p>
        </w:tc>
        <w:tc>
          <w:tcPr>
            <w:tcW w:w="2800" w:type="dxa"/>
            <w:vAlign w:val="bottom"/>
            <w:tcBorders>
              <w:top w:val="single" w:sz="8" w:color="CCECFF"/>
            </w:tcBorders>
            <w:gridSpan w:val="2"/>
            <w:shd w:val="clear" w:color="auto" w:fill="CCECFF"/>
          </w:tcPr>
          <w:p>
            <w:pPr>
              <w:jc w:val="right"/>
              <w:ind w:right="1108"/>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top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-153670</wp:posOffset>
            </wp:positionV>
            <wp:extent cx="137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6"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4 – Approval of an amendment to the Ninth Amended and Restated Certificate of Incorporation, as amended. </w:t>
      </w:r>
      <w:r>
        <w:rPr>
          <w:rFonts w:ascii="Times New Roman" w:cs="Times New Roman" w:eastAsia="Times New Roman" w:hAnsi="Times New Roman"/>
          <w:sz w:val="18"/>
          <w:szCs w:val="18"/>
          <w:color w:val="auto"/>
        </w:rPr>
        <w:t>The stockholders approved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to the Company’s Ninth Amended and Restated Certificate of Incorporation, as amended, to reflect new Delaware law provisions regarding officer exculpation,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2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20" w:type="dxa"/>
            <w:vAlign w:val="bottom"/>
          </w:tcPr>
          <w:p>
            <w:pPr>
              <w:spacing w:after="0"/>
              <w:rPr>
                <w:sz w:val="19"/>
                <w:szCs w:val="19"/>
                <w:color w:val="auto"/>
              </w:rPr>
            </w:pPr>
          </w:p>
        </w:tc>
        <w:tc>
          <w:tcPr>
            <w:tcW w:w="16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80" w:type="dxa"/>
            <w:vAlign w:val="bottom"/>
          </w:tcPr>
          <w:p>
            <w:pPr>
              <w:spacing w:after="0"/>
              <w:rPr>
                <w:sz w:val="19"/>
                <w:szCs w:val="19"/>
                <w:color w:val="auto"/>
              </w:rPr>
            </w:pPr>
          </w:p>
        </w:tc>
        <w:tc>
          <w:tcPr>
            <w:tcW w:w="25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80" w:type="dxa"/>
            <w:vAlign w:val="bottom"/>
          </w:tcPr>
          <w:p>
            <w:pPr>
              <w:spacing w:after="0"/>
              <w:rPr>
                <w:sz w:val="19"/>
                <w:szCs w:val="19"/>
                <w:color w:val="auto"/>
              </w:rPr>
            </w:pPr>
          </w:p>
        </w:tc>
      </w:tr>
      <w:tr>
        <w:trPr>
          <w:trHeight w:val="216"/>
        </w:trPr>
        <w:tc>
          <w:tcPr>
            <w:tcW w:w="2260" w:type="dxa"/>
            <w:vAlign w:val="bottom"/>
            <w:tcBorders>
              <w:top w:val="single" w:sz="8" w:color="CCECFF"/>
            </w:tcBorders>
            <w:shd w:val="clear" w:color="auto" w:fill="CCECFF"/>
          </w:tcPr>
          <w:p>
            <w:pPr>
              <w:jc w:val="right"/>
              <w:ind w:right="599"/>
              <w:spacing w:after="0"/>
              <w:rPr>
                <w:sz w:val="20"/>
                <w:szCs w:val="20"/>
                <w:color w:val="auto"/>
              </w:rPr>
            </w:pPr>
            <w:r>
              <w:rPr>
                <w:rFonts w:ascii="Times New Roman" w:cs="Times New Roman" w:eastAsia="Times New Roman" w:hAnsi="Times New Roman"/>
                <w:sz w:val="18"/>
                <w:szCs w:val="18"/>
                <w:color w:val="auto"/>
              </w:rPr>
              <w:t>50,900,686</w:t>
            </w:r>
          </w:p>
        </w:tc>
        <w:tc>
          <w:tcPr>
            <w:tcW w:w="100" w:type="dxa"/>
            <w:vAlign w:val="bottom"/>
            <w:tcBorders>
              <w:top w:val="single" w:sz="8" w:color="CCECFF"/>
            </w:tcBorders>
            <w:shd w:val="clear" w:color="auto" w:fill="CCECFF"/>
          </w:tcPr>
          <w:p>
            <w:pPr>
              <w:spacing w:after="0"/>
              <w:rPr>
                <w:sz w:val="18"/>
                <w:szCs w:val="18"/>
                <w:color w:val="auto"/>
              </w:rPr>
            </w:pPr>
          </w:p>
        </w:tc>
        <w:tc>
          <w:tcPr>
            <w:tcW w:w="200" w:type="dxa"/>
            <w:vAlign w:val="bottom"/>
            <w:tcBorders>
              <w:top w:val="single" w:sz="8" w:color="auto"/>
            </w:tcBorders>
            <w:shd w:val="clear" w:color="auto" w:fill="CCECFF"/>
          </w:tcPr>
          <w:p>
            <w:pPr>
              <w:spacing w:after="0"/>
              <w:rPr>
                <w:sz w:val="18"/>
                <w:szCs w:val="18"/>
                <w:color w:val="auto"/>
              </w:rPr>
            </w:pPr>
          </w:p>
        </w:tc>
        <w:tc>
          <w:tcPr>
            <w:tcW w:w="1620" w:type="dxa"/>
            <w:vAlign w:val="bottom"/>
            <w:tcBorders>
              <w:top w:val="single" w:sz="8" w:color="CCECFF"/>
            </w:tcBorders>
            <w:shd w:val="clear" w:color="auto" w:fill="CCECFF"/>
          </w:tcPr>
          <w:p>
            <w:pPr>
              <w:jc w:val="right"/>
              <w:ind w:right="379"/>
              <w:spacing w:after="0"/>
              <w:rPr>
                <w:sz w:val="20"/>
                <w:szCs w:val="20"/>
                <w:color w:val="auto"/>
              </w:rPr>
            </w:pPr>
            <w:r>
              <w:rPr>
                <w:rFonts w:ascii="Times New Roman" w:cs="Times New Roman" w:eastAsia="Times New Roman" w:hAnsi="Times New Roman"/>
                <w:sz w:val="18"/>
                <w:szCs w:val="18"/>
                <w:color w:val="auto"/>
              </w:rPr>
              <w:t>279,976</w:t>
            </w:r>
          </w:p>
        </w:tc>
        <w:tc>
          <w:tcPr>
            <w:tcW w:w="1920" w:type="dxa"/>
            <w:vAlign w:val="bottom"/>
            <w:tcBorders>
              <w:top w:val="single" w:sz="8" w:color="CCECFF"/>
            </w:tcBorders>
            <w:gridSpan w:val="2"/>
            <w:shd w:val="clear" w:color="auto" w:fill="CCECFF"/>
          </w:tcPr>
          <w:p>
            <w:pPr>
              <w:jc w:val="right"/>
              <w:ind w:right="448"/>
              <w:spacing w:after="0"/>
              <w:rPr>
                <w:sz w:val="20"/>
                <w:szCs w:val="20"/>
                <w:color w:val="auto"/>
              </w:rPr>
            </w:pPr>
            <w:r>
              <w:rPr>
                <w:rFonts w:ascii="Times New Roman" w:cs="Times New Roman" w:eastAsia="Times New Roman" w:hAnsi="Times New Roman"/>
                <w:sz w:val="18"/>
                <w:szCs w:val="18"/>
                <w:color w:val="auto"/>
              </w:rPr>
              <w:t>48,818</w:t>
            </w:r>
          </w:p>
        </w:tc>
        <w:tc>
          <w:tcPr>
            <w:tcW w:w="2800" w:type="dxa"/>
            <w:vAlign w:val="bottom"/>
            <w:tcBorders>
              <w:top w:val="single" w:sz="8" w:color="CCECFF"/>
            </w:tcBorders>
            <w:gridSpan w:val="2"/>
            <w:shd w:val="clear" w:color="auto" w:fill="CCECFF"/>
          </w:tcPr>
          <w:p>
            <w:pPr>
              <w:jc w:val="right"/>
              <w:ind w:right="788"/>
              <w:spacing w:after="0"/>
              <w:rPr>
                <w:sz w:val="20"/>
                <w:szCs w:val="20"/>
                <w:color w:val="auto"/>
              </w:rPr>
            </w:pPr>
            <w:r>
              <w:rPr>
                <w:rFonts w:ascii="Times New Roman" w:cs="Times New Roman" w:eastAsia="Times New Roman" w:hAnsi="Times New Roman"/>
                <w:sz w:val="18"/>
                <w:szCs w:val="18"/>
                <w:color w:val="auto"/>
              </w:rPr>
              <w:t>8,332,013</w:t>
            </w:r>
          </w:p>
        </w:tc>
        <w:tc>
          <w:tcPr>
            <w:tcW w:w="80" w:type="dxa"/>
            <w:vAlign w:val="bottom"/>
            <w:tcBorders>
              <w:top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-153670</wp:posOffset>
            </wp:positionV>
            <wp:extent cx="137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5 – Approval of an adjournment of the Annual Meeting. </w:t>
      </w:r>
      <w:r>
        <w:rPr>
          <w:rFonts w:ascii="Times New Roman" w:cs="Times New Roman" w:eastAsia="Times New Roman" w:hAnsi="Times New Roman"/>
          <w:sz w:val="18"/>
          <w:szCs w:val="18"/>
          <w:color w:val="auto"/>
        </w:rPr>
        <w:t>The stockholders approved an adjournment of the Annual Meeting to the extent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insufficient votes to approve Proposal 4, but such an adjournment was not necessary in light of the approval of Proposal 4 at the Annual Meeting. The voting results for the adjournment proposal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22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20" w:type="dxa"/>
            <w:vAlign w:val="bottom"/>
          </w:tcPr>
          <w:p>
            <w:pPr>
              <w:spacing w:after="0"/>
              <w:rPr>
                <w:sz w:val="19"/>
                <w:szCs w:val="19"/>
                <w:color w:val="auto"/>
              </w:rPr>
            </w:pPr>
          </w:p>
        </w:tc>
        <w:tc>
          <w:tcPr>
            <w:tcW w:w="16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80" w:type="dxa"/>
            <w:vAlign w:val="bottom"/>
          </w:tcPr>
          <w:p>
            <w:pPr>
              <w:spacing w:after="0"/>
              <w:rPr>
                <w:sz w:val="19"/>
                <w:szCs w:val="19"/>
                <w:color w:val="auto"/>
              </w:rPr>
            </w:pPr>
          </w:p>
        </w:tc>
        <w:tc>
          <w:tcPr>
            <w:tcW w:w="25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7"/>
        </w:trPr>
        <w:tc>
          <w:tcPr>
            <w:tcW w:w="1140" w:type="dxa"/>
            <w:vAlign w:val="bottom"/>
          </w:tcPr>
          <w:p>
            <w:pPr>
              <w:spacing w:after="0"/>
              <w:rPr>
                <w:sz w:val="18"/>
                <w:szCs w:val="18"/>
                <w:color w:val="auto"/>
              </w:rPr>
            </w:pPr>
          </w:p>
        </w:tc>
        <w:tc>
          <w:tcPr>
            <w:tcW w:w="2260" w:type="dxa"/>
            <w:vAlign w:val="bottom"/>
            <w:tcBorders>
              <w:top w:val="single" w:sz="8" w:color="CCECFF"/>
            </w:tcBorders>
            <w:shd w:val="clear" w:color="auto" w:fill="CCECFF"/>
          </w:tcPr>
          <w:p>
            <w:pPr>
              <w:jc w:val="right"/>
              <w:ind w:right="599"/>
              <w:spacing w:after="0"/>
              <w:rPr>
                <w:sz w:val="20"/>
                <w:szCs w:val="20"/>
                <w:color w:val="auto"/>
              </w:rPr>
            </w:pPr>
            <w:r>
              <w:rPr>
                <w:rFonts w:ascii="Times New Roman" w:cs="Times New Roman" w:eastAsia="Times New Roman" w:hAnsi="Times New Roman"/>
                <w:sz w:val="18"/>
                <w:szCs w:val="18"/>
                <w:color w:val="auto"/>
              </w:rPr>
              <w:t>49,740,706</w:t>
            </w:r>
          </w:p>
        </w:tc>
        <w:tc>
          <w:tcPr>
            <w:tcW w:w="100" w:type="dxa"/>
            <w:vAlign w:val="bottom"/>
            <w:tcBorders>
              <w:top w:val="single" w:sz="8" w:color="CCECFF"/>
            </w:tcBorders>
            <w:shd w:val="clear" w:color="auto" w:fill="CCECFF"/>
          </w:tcPr>
          <w:p>
            <w:pPr>
              <w:spacing w:after="0"/>
              <w:rPr>
                <w:sz w:val="18"/>
                <w:szCs w:val="18"/>
                <w:color w:val="auto"/>
              </w:rPr>
            </w:pPr>
          </w:p>
        </w:tc>
        <w:tc>
          <w:tcPr>
            <w:tcW w:w="200" w:type="dxa"/>
            <w:vAlign w:val="bottom"/>
            <w:tcBorders>
              <w:top w:val="single" w:sz="8" w:color="auto"/>
            </w:tcBorders>
            <w:shd w:val="clear" w:color="auto" w:fill="CCECFF"/>
          </w:tcPr>
          <w:p>
            <w:pPr>
              <w:spacing w:after="0"/>
              <w:rPr>
                <w:sz w:val="18"/>
                <w:szCs w:val="18"/>
                <w:color w:val="auto"/>
              </w:rPr>
            </w:pPr>
          </w:p>
        </w:tc>
        <w:tc>
          <w:tcPr>
            <w:tcW w:w="1620" w:type="dxa"/>
            <w:vAlign w:val="bottom"/>
            <w:tcBorders>
              <w:top w:val="single" w:sz="8" w:color="CCECFF"/>
            </w:tcBorders>
            <w:shd w:val="clear" w:color="auto" w:fill="CCECFF"/>
          </w:tcPr>
          <w:p>
            <w:pPr>
              <w:jc w:val="right"/>
              <w:ind w:right="319"/>
              <w:spacing w:after="0"/>
              <w:rPr>
                <w:sz w:val="20"/>
                <w:szCs w:val="20"/>
                <w:color w:val="auto"/>
              </w:rPr>
            </w:pPr>
            <w:r>
              <w:rPr>
                <w:rFonts w:ascii="Times New Roman" w:cs="Times New Roman" w:eastAsia="Times New Roman" w:hAnsi="Times New Roman"/>
                <w:sz w:val="18"/>
                <w:szCs w:val="18"/>
                <w:color w:val="auto"/>
              </w:rPr>
              <w:t>1,484,543</w:t>
            </w:r>
          </w:p>
        </w:tc>
        <w:tc>
          <w:tcPr>
            <w:tcW w:w="1920" w:type="dxa"/>
            <w:vAlign w:val="bottom"/>
            <w:tcBorders>
              <w:top w:val="single" w:sz="8" w:color="CCECFF"/>
            </w:tcBorders>
            <w:gridSpan w:val="2"/>
            <w:shd w:val="clear" w:color="auto" w:fill="CCECFF"/>
          </w:tcPr>
          <w:p>
            <w:pPr>
              <w:jc w:val="right"/>
              <w:ind w:right="488"/>
              <w:spacing w:after="0"/>
              <w:rPr>
                <w:sz w:val="20"/>
                <w:szCs w:val="20"/>
                <w:color w:val="auto"/>
              </w:rPr>
            </w:pPr>
            <w:r>
              <w:rPr>
                <w:rFonts w:ascii="Times New Roman" w:cs="Times New Roman" w:eastAsia="Times New Roman" w:hAnsi="Times New Roman"/>
                <w:sz w:val="18"/>
                <w:szCs w:val="18"/>
                <w:color w:val="auto"/>
              </w:rPr>
              <w:t>4,231</w:t>
            </w:r>
          </w:p>
        </w:tc>
        <w:tc>
          <w:tcPr>
            <w:tcW w:w="2800" w:type="dxa"/>
            <w:vAlign w:val="bottom"/>
            <w:tcBorders>
              <w:top w:val="single" w:sz="8" w:color="CCECFF"/>
            </w:tcBorders>
            <w:gridSpan w:val="2"/>
            <w:shd w:val="clear" w:color="auto" w:fill="CCECFF"/>
          </w:tcPr>
          <w:p>
            <w:pPr>
              <w:jc w:val="right"/>
              <w:ind w:right="788"/>
              <w:spacing w:after="0"/>
              <w:rPr>
                <w:sz w:val="20"/>
                <w:szCs w:val="20"/>
                <w:color w:val="auto"/>
              </w:rPr>
            </w:pPr>
            <w:r>
              <w:rPr>
                <w:rFonts w:ascii="Times New Roman" w:cs="Times New Roman" w:eastAsia="Times New Roman" w:hAnsi="Times New Roman"/>
                <w:sz w:val="18"/>
                <w:szCs w:val="18"/>
                <w:color w:val="auto"/>
              </w:rPr>
              <w:t>8,332,013</w:t>
            </w:r>
          </w:p>
        </w:tc>
        <w:tc>
          <w:tcPr>
            <w:tcW w:w="80" w:type="dxa"/>
            <w:vAlign w:val="bottom"/>
            <w:tcBorders>
              <w:top w:val="single" w:sz="8" w:color="CCECFF"/>
            </w:tcBorders>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979"/>
        </w:trPr>
        <w:tc>
          <w:tcPr>
            <w:tcW w:w="11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-788035</wp:posOffset>
            </wp:positionV>
            <wp:extent cx="137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Name: Carole S. Ben-Maimon, M.D.</w:t>
      </w:r>
    </w:p>
    <w:p>
      <w:pPr>
        <w:spacing w:after="0" w:line="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2024-05-31T15:24:33Z</dcterms:created>
  <dcterms:modified xsi:type="dcterms:W3CDTF">2024-05-31T15:24:33Z</dcterms:modified>
</cp:coreProperties>
</file>