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64135</wp:posOffset>
            </wp:positionV>
            <wp:extent cx="17056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6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83820</wp:posOffset>
            </wp:positionV>
            <wp:extent cx="17056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3820" w:right="1500" w:hanging="3812"/>
        <w:spacing w:after="0" w:line="305" w:lineRule="auto"/>
        <w:tabs>
          <w:tab w:leader="none" w:pos="51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2020</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tbl>
      <w:tblPr>
        <w:tblLayout w:type="fixed"/>
        <w:tblInd w:w="3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344"/>
        </w:trPr>
        <w:tc>
          <w:tcPr>
            <w:tcW w:w="4400" w:type="dxa"/>
            <w:vAlign w:val="bottom"/>
            <w:gridSpan w:val="4"/>
          </w:tcPr>
          <w:p>
            <w:pPr>
              <w:ind w:left="840"/>
              <w:spacing w:after="0"/>
              <w:rPr>
                <w:sz w:val="20"/>
                <w:szCs w:val="20"/>
                <w:color w:val="auto"/>
              </w:rPr>
            </w:pPr>
            <w:r>
              <w:rPr>
                <w:rFonts w:ascii="Arial" w:cs="Arial" w:eastAsia="Arial" w:hAnsi="Arial"/>
                <w:sz w:val="18"/>
                <w:szCs w:val="18"/>
                <w:b w:val="1"/>
                <w:bCs w:val="1"/>
                <w:color w:val="auto"/>
              </w:rPr>
              <w:t>Commission File Number 001-36510</w:t>
            </w:r>
          </w:p>
        </w:tc>
        <w:tc>
          <w:tcPr>
            <w:tcW w:w="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68580</wp:posOffset>
            </wp:positionV>
            <wp:extent cx="17056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16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ZAFGEN, INC.</w:t>
      </w:r>
    </w:p>
    <w:p>
      <w:pPr>
        <w:spacing w:after="0" w:line="3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64770</wp:posOffset>
            </wp:positionV>
            <wp:extent cx="1705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99" w:lineRule="exact"/>
        <w:rPr>
          <w:sz w:val="24"/>
          <w:szCs w:val="24"/>
          <w:color w:val="auto"/>
        </w:rPr>
      </w:pPr>
    </w:p>
    <w:tbl>
      <w:tblPr>
        <w:tblLayout w:type="fixed"/>
        <w:tblInd w:w="2790" w:type="dxa"/>
        <w:tblCellMar>
          <w:top w:w="0" w:type="dxa"/>
          <w:left w:w="0" w:type="dxa"/>
          <w:bottom w:w="0" w:type="dxa"/>
          <w:right w:w="0" w:type="dxa"/>
        </w:tblCellMar>
      </w:tblPr>
      <w:tr>
        <w:trPr>
          <w:trHeight w:val="212"/>
        </w:trPr>
        <w:tc>
          <w:tcPr>
            <w:tcW w:w="2800" w:type="dxa"/>
            <w:vAlign w:val="bottom"/>
            <w:gridSpan w:val="3"/>
          </w:tcPr>
          <w:p>
            <w:pPr>
              <w:jc w:val="center"/>
              <w:ind w:right="681"/>
              <w:spacing w:after="0"/>
              <w:rPr>
                <w:sz w:val="20"/>
                <w:szCs w:val="20"/>
                <w:color w:val="auto"/>
              </w:rPr>
            </w:pPr>
            <w:r>
              <w:rPr>
                <w:rFonts w:ascii="Arial" w:cs="Arial" w:eastAsia="Arial" w:hAnsi="Arial"/>
                <w:sz w:val="18"/>
                <w:szCs w:val="18"/>
                <w:b w:val="1"/>
                <w:bCs w:val="1"/>
                <w:color w:val="auto"/>
                <w:w w:val="91"/>
              </w:rPr>
              <w:t>Delaware</w:t>
            </w:r>
          </w:p>
        </w:tc>
        <w:tc>
          <w:tcPr>
            <w:tcW w:w="3640" w:type="dxa"/>
            <w:vAlign w:val="bottom"/>
            <w:gridSpan w:val="2"/>
          </w:tcPr>
          <w:p>
            <w:pPr>
              <w:jc w:val="center"/>
              <w:ind w:left="2428"/>
              <w:spacing w:after="0"/>
              <w:rPr>
                <w:sz w:val="20"/>
                <w:szCs w:val="20"/>
                <w:color w:val="auto"/>
              </w:rPr>
            </w:pPr>
            <w:r>
              <w:rPr>
                <w:rFonts w:ascii="Arial" w:cs="Arial" w:eastAsia="Arial" w:hAnsi="Arial"/>
                <w:sz w:val="18"/>
                <w:szCs w:val="18"/>
                <w:b w:val="1"/>
                <w:bCs w:val="1"/>
                <w:color w:val="auto"/>
                <w:w w:val="89"/>
              </w:rPr>
              <w:t>20-3857670</w:t>
            </w:r>
          </w:p>
        </w:tc>
      </w:tr>
      <w:tr>
        <w:trPr>
          <w:trHeight w:val="148"/>
        </w:trPr>
        <w:tc>
          <w:tcPr>
            <w:tcW w:w="2800" w:type="dxa"/>
            <w:vAlign w:val="bottom"/>
            <w:gridSpan w:val="3"/>
          </w:tcPr>
          <w:p>
            <w:pPr>
              <w:jc w:val="center"/>
              <w:ind w:right="68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640" w:type="dxa"/>
            <w:vAlign w:val="bottom"/>
            <w:gridSpan w:val="2"/>
          </w:tcPr>
          <w:p>
            <w:pPr>
              <w:jc w:val="center"/>
              <w:ind w:left="2428"/>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800" w:type="dxa"/>
            <w:vAlign w:val="bottom"/>
            <w:gridSpan w:val="3"/>
          </w:tcPr>
          <w:p>
            <w:pPr>
              <w:jc w:val="center"/>
              <w:ind w:right="681"/>
              <w:spacing w:after="0"/>
              <w:rPr>
                <w:sz w:val="20"/>
                <w:szCs w:val="20"/>
                <w:color w:val="auto"/>
              </w:rPr>
            </w:pPr>
            <w:r>
              <w:rPr>
                <w:rFonts w:ascii="Arial" w:cs="Arial" w:eastAsia="Arial" w:hAnsi="Arial"/>
                <w:sz w:val="14"/>
                <w:szCs w:val="14"/>
                <w:b w:val="1"/>
                <w:bCs w:val="1"/>
                <w:color w:val="auto"/>
                <w:w w:val="94"/>
              </w:rPr>
              <w:t>incorporation or organization)</w:t>
            </w:r>
          </w:p>
        </w:tc>
        <w:tc>
          <w:tcPr>
            <w:tcW w:w="3640" w:type="dxa"/>
            <w:vAlign w:val="bottom"/>
            <w:gridSpan w:val="2"/>
          </w:tcPr>
          <w:p>
            <w:pPr>
              <w:jc w:val="center"/>
              <w:ind w:left="2448"/>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20" w:type="dxa"/>
            <w:vAlign w:val="bottom"/>
            <w:gridSpan w:val="3"/>
          </w:tcPr>
          <w:p>
            <w:pPr>
              <w:jc w:val="center"/>
              <w:ind w:right="2080"/>
              <w:spacing w:after="0"/>
              <w:rPr>
                <w:sz w:val="20"/>
                <w:szCs w:val="20"/>
                <w:color w:val="auto"/>
              </w:rPr>
            </w:pPr>
            <w:r>
              <w:rPr>
                <w:rFonts w:ascii="Arial" w:cs="Arial" w:eastAsia="Arial" w:hAnsi="Arial"/>
                <w:sz w:val="18"/>
                <w:szCs w:val="18"/>
                <w:b w:val="1"/>
                <w:bCs w:val="1"/>
                <w:color w:val="auto"/>
                <w:w w:val="91"/>
              </w:rPr>
              <w:t>Zafgen, Inc.</w:t>
            </w:r>
          </w:p>
        </w:tc>
      </w:tr>
      <w:tr>
        <w:trPr>
          <w:trHeight w:val="216"/>
        </w:trPr>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20" w:type="dxa"/>
            <w:vAlign w:val="bottom"/>
            <w:gridSpan w:val="3"/>
          </w:tcPr>
          <w:p>
            <w:pPr>
              <w:jc w:val="center"/>
              <w:ind w:right="2080"/>
              <w:spacing w:after="0"/>
              <w:rPr>
                <w:sz w:val="20"/>
                <w:szCs w:val="20"/>
                <w:color w:val="auto"/>
              </w:rPr>
            </w:pPr>
            <w:r>
              <w:rPr>
                <w:rFonts w:ascii="Arial" w:cs="Arial" w:eastAsia="Arial" w:hAnsi="Arial"/>
                <w:sz w:val="18"/>
                <w:szCs w:val="18"/>
                <w:b w:val="1"/>
                <w:bCs w:val="1"/>
                <w:color w:val="auto"/>
                <w:w w:val="90"/>
              </w:rPr>
              <w:t>3 Center Plaza, Suite 610</w:t>
            </w:r>
          </w:p>
        </w:tc>
      </w:tr>
      <w:tr>
        <w:trPr>
          <w:trHeight w:val="212"/>
        </w:trPr>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2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86"/>
              </w:rPr>
              <w:t>Boston, Massachusetts 02108</w:t>
            </w:r>
          </w:p>
        </w:tc>
      </w:tr>
      <w:tr>
        <w:trPr>
          <w:trHeight w:val="186"/>
        </w:trPr>
        <w:tc>
          <w:tcPr>
            <w:tcW w:w="644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r>
      <w:tr>
        <w:trPr>
          <w:trHeight w:val="309"/>
        </w:trPr>
        <w:tc>
          <w:tcPr>
            <w:tcW w:w="6440" w:type="dxa"/>
            <w:vAlign w:val="bottom"/>
            <w:gridSpan w:val="5"/>
          </w:tcPr>
          <w:p>
            <w:pPr>
              <w:jc w:val="center"/>
              <w:ind w:right="760"/>
              <w:spacing w:after="0"/>
              <w:rPr>
                <w:sz w:val="20"/>
                <w:szCs w:val="20"/>
                <w:color w:val="auto"/>
              </w:rPr>
            </w:pPr>
            <w:r>
              <w:rPr>
                <w:rFonts w:ascii="Arial" w:cs="Arial" w:eastAsia="Arial" w:hAnsi="Arial"/>
                <w:sz w:val="18"/>
                <w:szCs w:val="18"/>
                <w:b w:val="1"/>
                <w:bCs w:val="1"/>
                <w:color w:val="auto"/>
                <w:w w:val="90"/>
              </w:rPr>
              <w:t>Registrant’s Telephone Number, Including Area Code: (617) 622-4003</w:t>
            </w:r>
          </w:p>
        </w:tc>
      </w:tr>
      <w:tr>
        <w:trPr>
          <w:trHeight w:val="189"/>
        </w:trPr>
        <w:tc>
          <w:tcPr>
            <w:tcW w:w="1200" w:type="dxa"/>
            <w:vAlign w:val="bottom"/>
          </w:tcPr>
          <w:p>
            <w:pPr>
              <w:spacing w:after="0"/>
              <w:rPr>
                <w:sz w:val="16"/>
                <w:szCs w:val="16"/>
                <w:color w:val="auto"/>
              </w:rPr>
            </w:pPr>
          </w:p>
        </w:tc>
        <w:tc>
          <w:tcPr>
            <w:tcW w:w="5240" w:type="dxa"/>
            <w:vAlign w:val="bottom"/>
            <w:gridSpan w:val="4"/>
          </w:tcPr>
          <w:p>
            <w:pPr>
              <w:jc w:val="center"/>
              <w:ind w:right="1960"/>
              <w:spacing w:after="0"/>
              <w:rPr>
                <w:sz w:val="20"/>
                <w:szCs w:val="20"/>
                <w:color w:val="auto"/>
              </w:rPr>
            </w:pPr>
            <w:r>
              <w:rPr>
                <w:rFonts w:ascii="Arial" w:cs="Arial" w:eastAsia="Arial" w:hAnsi="Arial"/>
                <w:sz w:val="13"/>
                <w:szCs w:val="13"/>
                <w:b w:val="1"/>
                <w:bCs w:val="1"/>
                <w:color w:val="auto"/>
                <w:w w:val="86"/>
              </w:rPr>
              <w:t>Securities registered pursuant to Section 12(b) of the Act:</w:t>
            </w:r>
          </w:p>
        </w:tc>
      </w:tr>
      <w:tr>
        <w:trPr>
          <w:trHeight w:val="230"/>
        </w:trPr>
        <w:tc>
          <w:tcPr>
            <w:tcW w:w="1200" w:type="dxa"/>
            <w:vAlign w:val="bottom"/>
            <w:tcBorders>
              <w:top w:val="single" w:sz="8" w:color="auto"/>
              <w:left w:val="single" w:sz="8" w:color="auto"/>
              <w:bottom w:val="single" w:sz="8" w:color="auto"/>
            </w:tcBorders>
          </w:tcPr>
          <w:p>
            <w:pPr>
              <w:jc w:val="center"/>
              <w:ind w:left="45"/>
              <w:spacing w:after="0"/>
              <w:rPr>
                <w:sz w:val="20"/>
                <w:szCs w:val="20"/>
                <w:color w:val="auto"/>
              </w:rPr>
            </w:pPr>
            <w:r>
              <w:rPr>
                <w:rFonts w:ascii="Arial" w:cs="Arial" w:eastAsia="Arial" w:hAnsi="Arial"/>
                <w:sz w:val="13"/>
                <w:szCs w:val="13"/>
                <w:color w:val="auto"/>
                <w:w w:val="88"/>
              </w:rPr>
              <w:t>Title of each class</w:t>
            </w:r>
          </w:p>
        </w:tc>
        <w:tc>
          <w:tcPr>
            <w:tcW w:w="120" w:type="dxa"/>
            <w:vAlign w:val="bottom"/>
            <w:tcBorders>
              <w:top w:val="single" w:sz="8" w:color="auto"/>
              <w:bottom w:val="single" w:sz="8" w:color="auto"/>
              <w:right w:val="single" w:sz="8" w:color="auto"/>
            </w:tcBorders>
          </w:tcPr>
          <w:p>
            <w:pPr>
              <w:spacing w:after="0"/>
              <w:rPr>
                <w:sz w:val="20"/>
                <w:szCs w:val="20"/>
                <w:color w:val="auto"/>
              </w:rPr>
            </w:pPr>
          </w:p>
        </w:tc>
        <w:tc>
          <w:tcPr>
            <w:tcW w:w="1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Trading Symbol(s)</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Name of each exchange on which registered</w:t>
            </w:r>
          </w:p>
        </w:tc>
        <w:tc>
          <w:tcPr>
            <w:tcW w:w="720" w:type="dxa"/>
            <w:vAlign w:val="bottom"/>
          </w:tcPr>
          <w:p>
            <w:pPr>
              <w:spacing w:after="0"/>
              <w:rPr>
                <w:sz w:val="20"/>
                <w:szCs w:val="20"/>
                <w:color w:val="auto"/>
              </w:rPr>
            </w:pPr>
          </w:p>
        </w:tc>
      </w:tr>
      <w:tr>
        <w:trPr>
          <w:trHeight w:val="243"/>
        </w:trPr>
        <w:tc>
          <w:tcPr>
            <w:tcW w:w="1200" w:type="dxa"/>
            <w:vAlign w:val="bottom"/>
            <w:tcBorders>
              <w:left w:val="single" w:sz="8" w:color="auto"/>
              <w:bottom w:val="single" w:sz="8" w:color="auto"/>
            </w:tcBorders>
          </w:tcPr>
          <w:p>
            <w:pPr>
              <w:jc w:val="center"/>
              <w:ind w:left="45"/>
              <w:spacing w:after="0"/>
              <w:rPr>
                <w:sz w:val="20"/>
                <w:szCs w:val="20"/>
                <w:color w:val="auto"/>
              </w:rPr>
            </w:pPr>
            <w:r>
              <w:rPr>
                <w:rFonts w:ascii="Arial" w:cs="Arial" w:eastAsia="Arial" w:hAnsi="Arial"/>
                <w:sz w:val="13"/>
                <w:szCs w:val="13"/>
                <w:color w:val="auto"/>
                <w:w w:val="89"/>
              </w:rPr>
              <w:t>Common Stock</w:t>
            </w:r>
          </w:p>
        </w:tc>
        <w:tc>
          <w:tcPr>
            <w:tcW w:w="12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ZFGN</w:t>
            </w:r>
          </w:p>
        </w:tc>
        <w:tc>
          <w:tcPr>
            <w:tcW w:w="2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NASDAQ Global Market</w:t>
            </w:r>
          </w:p>
        </w:tc>
        <w:tc>
          <w:tcPr>
            <w:tcW w:w="720" w:type="dxa"/>
            <w:vAlign w:val="bottom"/>
          </w:tcPr>
          <w:p>
            <w:pPr>
              <w:spacing w:after="0"/>
              <w:rPr>
                <w:sz w:val="21"/>
                <w:szCs w:val="21"/>
                <w:color w:val="auto"/>
              </w:rPr>
            </w:pPr>
          </w:p>
        </w:tc>
      </w:tr>
    </w:tbl>
    <w:p>
      <w:pPr>
        <w:spacing w:after="0" w:line="98" w:lineRule="exact"/>
        <w:rPr>
          <w:sz w:val="24"/>
          <w:szCs w:val="24"/>
          <w:color w:val="auto"/>
        </w:rPr>
      </w:pPr>
    </w:p>
    <w:p>
      <w:pPr>
        <w:ind w:right="100"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860" w:firstLine="510"/>
        <w:spacing w:after="0" w:line="284"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184" w:lineRule="exact"/>
        <w:tabs>
          <w:tab w:leader="none" w:pos="520" w:val="left"/>
          <w:tab w:leader="none" w:pos="11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16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40"/>
              <w:spacing w:after="0"/>
              <w:rPr>
                <w:sz w:val="20"/>
                <w:szCs w:val="20"/>
                <w:color w:val="auto"/>
              </w:rPr>
            </w:pPr>
            <w:r>
              <w:rPr>
                <w:rFonts w:ascii="Arial" w:cs="Arial" w:eastAsia="Arial" w:hAnsi="Arial"/>
                <w:sz w:val="16"/>
                <w:szCs w:val="16"/>
                <w:color w:val="auto"/>
              </w:rPr>
              <w:t>Accelerated filer</w:t>
            </w:r>
          </w:p>
        </w:tc>
        <w:tc>
          <w:tcPr>
            <w:tcW w:w="6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40"/>
              <w:spacing w:after="0"/>
              <w:rPr>
                <w:sz w:val="20"/>
                <w:szCs w:val="20"/>
                <w:color w:val="auto"/>
              </w:rPr>
            </w:pPr>
            <w:r>
              <w:rPr>
                <w:rFonts w:ascii="Arial" w:cs="Arial" w:eastAsia="Arial" w:hAnsi="Arial"/>
                <w:sz w:val="16"/>
                <w:szCs w:val="16"/>
                <w:color w:val="auto"/>
              </w:rPr>
              <w:t>Emerging growth company</w:t>
            </w:r>
          </w:p>
        </w:tc>
        <w:tc>
          <w:tcPr>
            <w:tcW w:w="68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Smaller reporting company</w:t>
            </w:r>
          </w:p>
        </w:tc>
        <w:tc>
          <w:tcPr>
            <w:tcW w:w="312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spacing w:after="0"/>
              <w:rPr>
                <w:sz w:val="22"/>
                <w:szCs w:val="22"/>
                <w:color w:val="auto"/>
              </w:rPr>
            </w:pPr>
          </w:p>
        </w:tc>
        <w:tc>
          <w:tcPr>
            <w:tcW w:w="680" w:type="dxa"/>
            <w:vAlign w:val="bottom"/>
          </w:tcPr>
          <w:p>
            <w:pPr>
              <w:spacing w:after="0"/>
              <w:rPr>
                <w:sz w:val="22"/>
                <w:szCs w:val="22"/>
                <w:color w:val="auto"/>
              </w:rPr>
            </w:pPr>
          </w:p>
        </w:tc>
      </w:tr>
    </w:tbl>
    <w:p>
      <w:pPr>
        <w:spacing w:after="0" w:line="181" w:lineRule="exact"/>
        <w:rPr>
          <w:sz w:val="24"/>
          <w:szCs w:val="24"/>
          <w:color w:val="auto"/>
        </w:rPr>
      </w:pPr>
    </w:p>
    <w:p>
      <w:pPr>
        <w:ind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right="208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April 30, 2020, there were 37,469,596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458470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09" w:right="4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100" w:firstLine="510"/>
        <w:spacing w:after="0" w:line="252" w:lineRule="auto"/>
        <w:rPr>
          <w:sz w:val="20"/>
          <w:szCs w:val="20"/>
          <w:color w:val="auto"/>
        </w:rPr>
      </w:pPr>
      <w:r>
        <w:rPr>
          <w:rFonts w:ascii="Arial" w:cs="Arial" w:eastAsia="Arial" w:hAnsi="Arial"/>
          <w:sz w:val="18"/>
          <w:szCs w:val="18"/>
          <w:color w:val="auto"/>
        </w:rPr>
        <w:t>This Quarterly Report on Form 10-Q Report, or Quarterly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194" w:lineRule="exact"/>
        <w:rPr>
          <w:sz w:val="20"/>
          <w:szCs w:val="20"/>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cash forecasts and capital requirements;</w:t>
      </w:r>
    </w:p>
    <w:p>
      <w:pPr>
        <w:spacing w:after="0" w:line="23"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expectations regarding the merger with Chondrial Therapeutics, Inc., including the expected completion of the merger;</w:t>
      </w:r>
    </w:p>
    <w:p>
      <w:pPr>
        <w:spacing w:after="0" w:line="20" w:lineRule="exact"/>
        <w:rPr>
          <w:rFonts w:ascii="Arial" w:cs="Arial" w:eastAsia="Arial" w:hAnsi="Arial"/>
          <w:sz w:val="17"/>
          <w:szCs w:val="17"/>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strategies, goals, prospects, plans, expectations, forecasts or objectives of with Chondrial Therapeutics, Inc. or the combined company;</w:t>
      </w:r>
    </w:p>
    <w:p>
      <w:pPr>
        <w:spacing w:after="0" w:line="32" w:lineRule="exact"/>
        <w:rPr>
          <w:rFonts w:ascii="Arial" w:cs="Arial" w:eastAsia="Arial" w:hAnsi="Arial"/>
          <w:sz w:val="16"/>
          <w:szCs w:val="16"/>
          <w:color w:val="auto"/>
        </w:rPr>
      </w:pPr>
    </w:p>
    <w:p>
      <w:pPr>
        <w:ind w:left="1120" w:right="360" w:hanging="370"/>
        <w:spacing w:after="0" w:line="250"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the current COVID-19 pandemic on our continuing business and operations, the completion of the proposed merger with Chondrial Therapeutics, Inc., and the business and operations of the combined company;</w:t>
      </w: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and political developments in the United States and foreign countries;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financing when needed;</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our executive, financial and strategic alternatives teams;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de-listing from the NASDAQ Global Market; and</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Risk Factors.</w:t>
      </w:r>
    </w:p>
    <w:p>
      <w:pPr>
        <w:spacing w:after="0" w:line="211"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5"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601980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Page</w:t>
            </w:r>
          </w:p>
        </w:tc>
      </w:tr>
      <w:tr>
        <w:trPr>
          <w:trHeight w:val="331"/>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20" w:type="dxa"/>
            <w:vAlign w:val="bottom"/>
            <w:gridSpan w:val="3"/>
          </w:tcPr>
          <w:p>
            <w:pPr>
              <w:ind w:left="158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 FINANCIAL INFORMATION</w:t>
              </w:r>
            </w:hyperlink>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8980" w:type="dxa"/>
            <w:vAlign w:val="bottom"/>
            <w:gridSpan w:val="5"/>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338"/>
        </w:trPr>
        <w:tc>
          <w:tcPr>
            <w:tcW w:w="1260" w:type="dxa"/>
            <w:vAlign w:val="bottom"/>
          </w:tcPr>
          <w:p>
            <w:pPr>
              <w:spacing w:after="0"/>
              <w:rPr>
                <w:sz w:val="24"/>
                <w:szCs w:val="24"/>
                <w:color w:val="auto"/>
              </w:rPr>
            </w:pPr>
          </w:p>
        </w:tc>
        <w:tc>
          <w:tcPr>
            <w:tcW w:w="8980" w:type="dxa"/>
            <w:vAlign w:val="bottom"/>
            <w:gridSpan w:val="5"/>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of March 31, 2020 and December 31, 2019</w:t>
              </w:r>
            </w:hyperlink>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97"/>
        </w:trPr>
        <w:tc>
          <w:tcPr>
            <w:tcW w:w="1260" w:type="dxa"/>
            <w:vAlign w:val="bottom"/>
          </w:tcPr>
          <w:p>
            <w:pPr>
              <w:spacing w:after="0"/>
              <w:rPr>
                <w:sz w:val="24"/>
                <w:szCs w:val="24"/>
                <w:color w:val="auto"/>
              </w:rPr>
            </w:pPr>
          </w:p>
        </w:tc>
        <w:tc>
          <w:tcPr>
            <w:tcW w:w="88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and Comprehensive Loss for the Three Months Ended March 31, 2020</w:t>
              </w:r>
            </w:hyperlink>
          </w:p>
        </w:tc>
        <w:tc>
          <w:tcPr>
            <w:tcW w:w="18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196"/>
        </w:trPr>
        <w:tc>
          <w:tcPr>
            <w:tcW w:w="1260" w:type="dxa"/>
            <w:vAlign w:val="bottom"/>
          </w:tcPr>
          <w:p>
            <w:pPr>
              <w:spacing w:after="0"/>
              <w:rPr>
                <w:sz w:val="17"/>
                <w:szCs w:val="17"/>
                <w:color w:val="auto"/>
              </w:rPr>
            </w:pPr>
          </w:p>
        </w:tc>
        <w:tc>
          <w:tcPr>
            <w:tcW w:w="8980" w:type="dxa"/>
            <w:vAlign w:val="bottom"/>
            <w:gridSpan w:val="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2019</w:t>
              </w:r>
            </w:hyperlink>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318"/>
        </w:trPr>
        <w:tc>
          <w:tcPr>
            <w:tcW w:w="1260" w:type="dxa"/>
            <w:vAlign w:val="bottom"/>
          </w:tcPr>
          <w:p>
            <w:pPr>
              <w:spacing w:after="0"/>
              <w:rPr>
                <w:sz w:val="24"/>
                <w:szCs w:val="24"/>
                <w:color w:val="auto"/>
              </w:rPr>
            </w:pPr>
          </w:p>
        </w:tc>
        <w:tc>
          <w:tcPr>
            <w:tcW w:w="8980" w:type="dxa"/>
            <w:vAlign w:val="bottom"/>
            <w:gridSpan w:val="5"/>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Changes in Stockholders Equity for the Three Months Ended March 31, 2020 and</w:t>
              </w:r>
            </w:hyperlink>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196"/>
        </w:trPr>
        <w:tc>
          <w:tcPr>
            <w:tcW w:w="12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2019</w:t>
              </w:r>
            </w:hyperlink>
          </w:p>
        </w:tc>
        <w:tc>
          <w:tcPr>
            <w:tcW w:w="300" w:type="dxa"/>
            <w:vAlign w:val="bottom"/>
            <w:tcBorders>
              <w:top w:val="single" w:sz="8" w:color="0000EE"/>
            </w:tcBorders>
          </w:tcPr>
          <w:p>
            <w:pPr>
              <w:spacing w:after="0"/>
              <w:rPr>
                <w:sz w:val="17"/>
                <w:szCs w:val="17"/>
                <w:color w:val="auto"/>
              </w:rPr>
            </w:pPr>
          </w:p>
        </w:tc>
        <w:tc>
          <w:tcPr>
            <w:tcW w:w="8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58"/>
        </w:trPr>
        <w:tc>
          <w:tcPr>
            <w:tcW w:w="1260" w:type="dxa"/>
            <w:vAlign w:val="bottom"/>
          </w:tcPr>
          <w:p>
            <w:pPr>
              <w:spacing w:after="0"/>
              <w:rPr>
                <w:sz w:val="24"/>
                <w:szCs w:val="24"/>
                <w:color w:val="auto"/>
              </w:rPr>
            </w:pPr>
          </w:p>
        </w:tc>
        <w:tc>
          <w:tcPr>
            <w:tcW w:w="8980" w:type="dxa"/>
            <w:vAlign w:val="bottom"/>
            <w:gridSpan w:val="5"/>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for the Three Months Ended March 31, 2020 and 2019</w:t>
              </w:r>
            </w:hyperlink>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338"/>
        </w:trPr>
        <w:tc>
          <w:tcPr>
            <w:tcW w:w="1260" w:type="dxa"/>
            <w:vAlign w:val="bottom"/>
          </w:tcPr>
          <w:p>
            <w:pPr>
              <w:spacing w:after="0"/>
              <w:rPr>
                <w:sz w:val="24"/>
                <w:szCs w:val="24"/>
                <w:color w:val="auto"/>
              </w:rPr>
            </w:pPr>
          </w:p>
        </w:tc>
        <w:tc>
          <w:tcPr>
            <w:tcW w:w="8980" w:type="dxa"/>
            <w:vAlign w:val="bottom"/>
            <w:gridSpan w:val="5"/>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w:t>
              </w:r>
            </w:hyperlink>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Item 2.</w:t>
            </w:r>
          </w:p>
        </w:tc>
        <w:tc>
          <w:tcPr>
            <w:tcW w:w="8980" w:type="dxa"/>
            <w:vAlign w:val="bottom"/>
            <w:gridSpan w:val="5"/>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Management’s Discussion and Analysis of Financial Condition and Results of Operations</w:t>
              </w:r>
            </w:hyperlink>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Item 3.</w:t>
            </w:r>
          </w:p>
        </w:tc>
        <w:tc>
          <w:tcPr>
            <w:tcW w:w="8980" w:type="dxa"/>
            <w:vAlign w:val="bottom"/>
            <w:gridSpan w:val="5"/>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Quantitative and Qualitative Disclosures About Market Risk</w:t>
              </w:r>
            </w:hyperlink>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Item 4.</w:t>
            </w:r>
          </w:p>
        </w:tc>
        <w:tc>
          <w:tcPr>
            <w:tcW w:w="8980" w:type="dxa"/>
            <w:vAlign w:val="bottom"/>
            <w:gridSpan w:val="5"/>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Management’s Evaluation of our Disclosure Controls and Procedures</w:t>
              </w:r>
            </w:hyperlink>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338"/>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20" w:type="dxa"/>
            <w:vAlign w:val="bottom"/>
            <w:gridSpan w:val="3"/>
          </w:tcPr>
          <w:p>
            <w:pPr>
              <w:ind w:left="2280"/>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PART II – OTHER INFORMATION</w:t>
              </w:r>
            </w:hyperlink>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8980" w:type="dxa"/>
            <w:vAlign w:val="bottom"/>
            <w:gridSpan w:val="5"/>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Legal Proceedings</w:t>
              </w:r>
            </w:hyperlink>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Item 1A.</w:t>
            </w:r>
          </w:p>
        </w:tc>
        <w:tc>
          <w:tcPr>
            <w:tcW w:w="8980" w:type="dxa"/>
            <w:vAlign w:val="bottom"/>
            <w:gridSpan w:val="5"/>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Risk Factors</w:t>
              </w:r>
            </w:hyperlink>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338"/>
        </w:trPr>
        <w:tc>
          <w:tcPr>
            <w:tcW w:w="1260" w:type="dxa"/>
            <w:vAlign w:val="bottom"/>
          </w:tcPr>
          <w:p>
            <w:pPr>
              <w:spacing w:after="0"/>
              <w:rPr>
                <w:sz w:val="20"/>
                <w:szCs w:val="20"/>
                <w:color w:val="auto"/>
              </w:rPr>
            </w:pPr>
            <w:r>
              <w:rPr>
                <w:rFonts w:ascii="Arial" w:cs="Arial" w:eastAsia="Arial" w:hAnsi="Arial"/>
                <w:sz w:val="18"/>
                <w:szCs w:val="18"/>
                <w:color w:val="auto"/>
              </w:rPr>
              <w:t>Item 6.</w:t>
            </w:r>
          </w:p>
        </w:tc>
        <w:tc>
          <w:tcPr>
            <w:tcW w:w="8980" w:type="dxa"/>
            <w:vAlign w:val="bottom"/>
            <w:gridSpan w:val="5"/>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Exhibits</w:t>
              </w:r>
            </w:hyperlink>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338"/>
        </w:trPr>
        <w:tc>
          <w:tcPr>
            <w:tcW w:w="1260" w:type="dxa"/>
            <w:vAlign w:val="bottom"/>
          </w:tcPr>
          <w:p>
            <w:pPr>
              <w:spacing w:after="0"/>
              <w:rPr>
                <w:rFonts w:ascii="Arial" w:cs="Arial" w:eastAsia="Arial" w:hAnsi="Arial"/>
                <w:sz w:val="18"/>
                <w:szCs w:val="18"/>
                <w:b w:val="1"/>
                <w:bCs w:val="1"/>
                <w:u w:val="single" w:color="auto"/>
                <w:color w:val="0000EE"/>
              </w:rPr>
            </w:pPr>
            <w:hyperlink w:anchor="page59">
              <w:r>
                <w:rPr>
                  <w:rFonts w:ascii="Arial" w:cs="Arial" w:eastAsia="Arial" w:hAnsi="Arial"/>
                  <w:sz w:val="18"/>
                  <w:szCs w:val="18"/>
                  <w:b w:val="1"/>
                  <w:bCs w:val="1"/>
                  <w:u w:val="single" w:color="auto"/>
                  <w:color w:val="0000EE"/>
                </w:rPr>
                <w:t>Signatures</w:t>
              </w:r>
            </w:hyperlink>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878"/>
        </w:trPr>
        <w:tc>
          <w:tcPr>
            <w:tcW w:w="1260" w:type="dxa"/>
            <w:vAlign w:val="bottom"/>
          </w:tcPr>
          <w:p>
            <w:pPr>
              <w:spacing w:after="0"/>
              <w:rPr>
                <w:sz w:val="24"/>
                <w:szCs w:val="24"/>
                <w:color w:val="auto"/>
              </w:rPr>
            </w:pPr>
          </w:p>
        </w:tc>
        <w:tc>
          <w:tcPr>
            <w:tcW w:w="8760" w:type="dxa"/>
            <w:vAlign w:val="bottom"/>
            <w:gridSpan w:val="3"/>
          </w:tcPr>
          <w:p>
            <w:pPr>
              <w:ind w:left="43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77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38,980</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27,211</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380"/>
              <w:spacing w:after="0"/>
              <w:rPr>
                <w:sz w:val="20"/>
                <w:szCs w:val="20"/>
                <w:color w:val="auto"/>
              </w:rPr>
            </w:pPr>
            <w:r>
              <w:rPr>
                <w:rFonts w:ascii="Arial" w:cs="Arial" w:eastAsia="Arial" w:hAnsi="Arial"/>
                <w:sz w:val="18"/>
                <w:szCs w:val="18"/>
                <w:color w:val="auto"/>
              </w:rPr>
              <w:t>Marketable debt securities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43,050</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Tax incentive receivable</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64,680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71,503</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7,051</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r>
      <w:tr>
        <w:trPr>
          <w:trHeight w:val="263"/>
        </w:trPr>
        <w:tc>
          <w:tcPr>
            <w:tcW w:w="77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73,702</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80,734</w:t>
            </w:r>
          </w:p>
        </w:tc>
        <w:tc>
          <w:tcPr>
            <w:tcW w:w="100" w:type="dxa"/>
            <w:vAlign w:val="bottom"/>
            <w:tcBorders>
              <w:bottom w:val="single" w:sz="8" w:color="CFF0FC"/>
            </w:tcBorders>
          </w:tcPr>
          <w:p>
            <w:pPr>
              <w:spacing w:after="0"/>
              <w:rPr>
                <w:sz w:val="22"/>
                <w:szCs w:val="22"/>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6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9"/>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restructuring costs</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2,709</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380"/>
              <w:spacing w:after="0"/>
              <w:rPr>
                <w:sz w:val="20"/>
                <w:szCs w:val="20"/>
                <w:color w:val="auto"/>
              </w:rPr>
            </w:pPr>
            <w:r>
              <w:rPr>
                <w:rFonts w:ascii="Arial" w:cs="Arial" w:eastAsia="Arial" w:hAnsi="Arial"/>
                <w:sz w:val="18"/>
                <w:szCs w:val="18"/>
                <w:color w:val="auto"/>
              </w:rPr>
              <w:t>Operating lease liabilities, current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Notes payable, current</w:t>
            </w: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7,273</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ind w:left="7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12,190</w:t>
            </w: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Notes payable, long-term</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8,464</w:t>
            </w:r>
          </w:p>
        </w:tc>
        <w:tc>
          <w:tcPr>
            <w:tcW w:w="100" w:type="dxa"/>
            <w:vAlign w:val="bottom"/>
            <w:shd w:val="clear" w:color="auto" w:fill="CFF0FC"/>
          </w:tcPr>
          <w:p>
            <w:pPr>
              <w:spacing w:after="0"/>
              <w:rPr>
                <w:sz w:val="19"/>
                <w:szCs w:val="19"/>
                <w:color w:val="auto"/>
              </w:rPr>
            </w:pPr>
          </w:p>
        </w:tc>
      </w:tr>
      <w:tr>
        <w:trPr>
          <w:trHeight w:val="229"/>
        </w:trPr>
        <w:tc>
          <w:tcPr>
            <w:tcW w:w="77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Operating lease liabilities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6,456</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27,110</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760" w:type="dxa"/>
            <w:vAlign w:val="bottom"/>
          </w:tcPr>
          <w:p>
            <w:pPr>
              <w:ind w:left="380"/>
              <w:spacing w:after="0"/>
              <w:rPr>
                <w:sz w:val="20"/>
                <w:szCs w:val="20"/>
                <w:color w:val="auto"/>
              </w:rPr>
            </w:pPr>
            <w:r>
              <w:rPr>
                <w:rFonts w:ascii="Arial" w:cs="Arial" w:eastAsia="Arial" w:hAnsi="Arial"/>
                <w:sz w:val="18"/>
                <w:szCs w:val="18"/>
                <w:color w:val="auto"/>
              </w:rPr>
              <w:t>Preferred stock; $0.001 par value per share; 5,000,000 shares authorized as of</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60" w:type="dxa"/>
            <w:vAlign w:val="bottom"/>
          </w:tcPr>
          <w:p>
            <w:pPr>
              <w:ind w:left="520"/>
              <w:spacing w:after="0"/>
              <w:rPr>
                <w:sz w:val="20"/>
                <w:szCs w:val="20"/>
                <w:color w:val="auto"/>
              </w:rPr>
            </w:pPr>
            <w:r>
              <w:rPr>
                <w:rFonts w:ascii="Arial" w:cs="Arial" w:eastAsia="Arial" w:hAnsi="Arial"/>
                <w:sz w:val="18"/>
                <w:szCs w:val="18"/>
                <w:color w:val="auto"/>
              </w:rPr>
              <w:t>March 31, 2020 and December 31, 2019; no shares issued and outstanding as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60" w:type="dxa"/>
            <w:vAlign w:val="bottom"/>
          </w:tcPr>
          <w:p>
            <w:pPr>
              <w:ind w:left="520"/>
              <w:spacing w:after="0"/>
              <w:rPr>
                <w:sz w:val="20"/>
                <w:szCs w:val="20"/>
                <w:color w:val="auto"/>
              </w:rPr>
            </w:pPr>
            <w:r>
              <w:rPr>
                <w:rFonts w:ascii="Arial" w:cs="Arial" w:eastAsia="Arial" w:hAnsi="Arial"/>
                <w:sz w:val="18"/>
                <w:szCs w:val="18"/>
                <w:color w:val="auto"/>
              </w:rPr>
              <w:t>of March 31, 2020 and December 31, 2019</w:t>
            </w:r>
          </w:p>
        </w:tc>
        <w:tc>
          <w:tcPr>
            <w:tcW w:w="260" w:type="dxa"/>
            <w:vAlign w:val="bottom"/>
          </w:tcPr>
          <w:p>
            <w:pPr>
              <w:spacing w:after="0"/>
              <w:rPr>
                <w:sz w:val="20"/>
                <w:szCs w:val="20"/>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$0.001 par value per share; 115,000,000 shares authorized as of</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March 31, 2020 and December 31, 2019; 37,469,596 and 37,446,498 shares</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issued and outstanding as of March 31, 2020 and December 31, 2019,</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20"/>
                <w:szCs w:val="20"/>
                <w:color w:val="auto"/>
              </w:rPr>
            </w:pPr>
          </w:p>
        </w:tc>
      </w:tr>
      <w:tr>
        <w:trPr>
          <w:trHeight w:val="230"/>
        </w:trPr>
        <w:tc>
          <w:tcPr>
            <w:tcW w:w="77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450,623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449,903</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(399,949)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(396,351)</w:t>
            </w:r>
          </w:p>
        </w:tc>
      </w:tr>
      <w:tr>
        <w:trPr>
          <w:trHeight w:val="230"/>
        </w:trPr>
        <w:tc>
          <w:tcPr>
            <w:tcW w:w="77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FF0FC"/>
            </w:tcBorders>
          </w:tcPr>
          <w:p>
            <w:pPr>
              <w:spacing w:after="0"/>
              <w:rPr>
                <w:sz w:val="19"/>
                <w:szCs w:val="19"/>
                <w:color w:val="auto"/>
              </w:rPr>
            </w:pPr>
          </w:p>
        </w:tc>
      </w:tr>
      <w:tr>
        <w:trPr>
          <w:trHeight w:val="223"/>
        </w:trPr>
        <w:tc>
          <w:tcPr>
            <w:tcW w:w="7760" w:type="dxa"/>
            <w:vAlign w:val="bottom"/>
            <w:shd w:val="clear" w:color="auto" w:fill="CFF0FC"/>
          </w:tcPr>
          <w:p>
            <w:pPr>
              <w:ind w:left="124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53,624</w:t>
            </w:r>
          </w:p>
        </w:tc>
        <w:tc>
          <w:tcPr>
            <w:tcW w:w="100" w:type="dxa"/>
            <w:vAlign w:val="bottom"/>
            <w:shd w:val="clear" w:color="auto" w:fill="CFF0FC"/>
          </w:tcPr>
          <w:p>
            <w:pPr>
              <w:spacing w:after="0"/>
              <w:rPr>
                <w:sz w:val="19"/>
                <w:szCs w:val="19"/>
                <w:color w:val="auto"/>
              </w:rPr>
            </w:pPr>
          </w:p>
        </w:tc>
      </w:tr>
      <w:tr>
        <w:trPr>
          <w:trHeight w:val="223"/>
        </w:trPr>
        <w:tc>
          <w:tcPr>
            <w:tcW w:w="7760" w:type="dxa"/>
            <w:vAlign w:val="bottom"/>
          </w:tcPr>
          <w:p>
            <w:pPr>
              <w:ind w:left="7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73,702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80,734</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76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right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spacing w:after="0"/>
              <w:rPr>
                <w:sz w:val="19"/>
                <w:szCs w:val="19"/>
                <w:color w:val="auto"/>
              </w:rPr>
            </w:pPr>
          </w:p>
        </w:tc>
        <w:tc>
          <w:tcPr>
            <w:tcW w:w="14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(94)</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3,647</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Restructuring charges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8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3,563</w:t>
            </w:r>
          </w:p>
        </w:tc>
        <w:tc>
          <w:tcPr>
            <w:tcW w:w="30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(3,563)</w:t>
            </w:r>
          </w:p>
        </w:tc>
        <w:tc>
          <w:tcPr>
            <w:tcW w:w="300" w:type="dxa"/>
            <w:vAlign w:val="bottom"/>
            <w:tcBorders>
              <w:right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30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(301)</w:t>
            </w:r>
          </w:p>
        </w:tc>
        <w:tc>
          <w:tcPr>
            <w:tcW w:w="3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30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Foreign currency transaction (losses) gains, net</w:t>
            </w: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(210)</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Total other (expense) income, net</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00" w:type="dxa"/>
            <w:vAlign w:val="bottom"/>
            <w:tcBorders>
              <w:top w:val="single" w:sz="8" w:color="CFF0FC"/>
              <w:right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(3,598)</w:t>
            </w:r>
          </w:p>
        </w:tc>
        <w:tc>
          <w:tcPr>
            <w:tcW w:w="3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300" w:type="dxa"/>
            <w:vAlign w:val="bottom"/>
            <w:tcBorders>
              <w:bottom w:val="single" w:sz="8" w:color="CFF0FC"/>
              <w:right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37,467,411</w:t>
            </w:r>
          </w:p>
        </w:tc>
        <w:tc>
          <w:tcPr>
            <w:tcW w:w="30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37,313,947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(3,598)</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(13,112)</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income: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Unrealized (loss) gain on marketable debt securities</w:t>
            </w: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shd w:val="clear" w:color="auto" w:fill="CFF0FC"/>
          </w:tcPr>
          <w:p>
            <w:pPr>
              <w:ind w:left="500"/>
              <w:spacing w:after="0"/>
              <w:rPr>
                <w:sz w:val="20"/>
                <w:szCs w:val="20"/>
                <w:color w:val="auto"/>
              </w:rPr>
            </w:pPr>
            <w:r>
              <w:rPr>
                <w:rFonts w:ascii="Arial" w:cs="Arial" w:eastAsia="Arial" w:hAnsi="Arial"/>
                <w:sz w:val="18"/>
                <w:szCs w:val="18"/>
                <w:color w:val="auto"/>
              </w:rPr>
              <w:t>Total other comprehensive (loss) income</w:t>
            </w: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6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(3,602)</w:t>
            </w:r>
          </w:p>
        </w:tc>
        <w:tc>
          <w:tcPr>
            <w:tcW w:w="3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Additional</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34"/>
        </w:trPr>
        <w:tc>
          <w:tcPr>
            <w:tcW w:w="3820" w:type="dxa"/>
            <w:vAlign w:val="bottom"/>
          </w:tcPr>
          <w:p>
            <w:pPr>
              <w:spacing w:after="0"/>
              <w:rPr>
                <w:sz w:val="20"/>
                <w:szCs w:val="20"/>
                <w:color w:val="auto"/>
              </w:rPr>
            </w:pPr>
          </w:p>
        </w:tc>
        <w:tc>
          <w:tcPr>
            <w:tcW w:w="2400" w:type="dxa"/>
            <w:vAlign w:val="bottom"/>
            <w:gridSpan w:val="5"/>
          </w:tcPr>
          <w:p>
            <w:pPr>
              <w:ind w:left="50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Paid-in</w:t>
            </w:r>
          </w:p>
        </w:tc>
        <w:tc>
          <w:tcPr>
            <w:tcW w:w="1380" w:type="dxa"/>
            <w:vAlign w:val="bottom"/>
            <w:gridSpan w:val="4"/>
          </w:tcPr>
          <w:p>
            <w:pPr>
              <w:ind w:left="220"/>
              <w:spacing w:after="0"/>
              <w:rPr>
                <w:sz w:val="20"/>
                <w:szCs w:val="20"/>
                <w:color w:val="auto"/>
              </w:rPr>
            </w:pPr>
            <w:r>
              <w:rPr>
                <w:rFonts w:ascii="Arial" w:cs="Arial" w:eastAsia="Arial" w:hAnsi="Arial"/>
                <w:sz w:val="18"/>
                <w:szCs w:val="18"/>
                <w:b w:val="1"/>
                <w:bCs w:val="1"/>
                <w:color w:val="auto"/>
              </w:rPr>
              <w:t>Accumulated</w:t>
            </w:r>
          </w:p>
        </w:tc>
        <w:tc>
          <w:tcPr>
            <w:tcW w:w="1500" w:type="dxa"/>
            <w:vAlign w:val="bottom"/>
            <w:gridSpan w:val="4"/>
          </w:tcPr>
          <w:p>
            <w:pPr>
              <w:ind w:left="80"/>
              <w:spacing w:after="0"/>
              <w:rPr>
                <w:sz w:val="20"/>
                <w:szCs w:val="20"/>
                <w:color w:val="auto"/>
              </w:rPr>
            </w:pPr>
            <w:r>
              <w:rPr>
                <w:rFonts w:ascii="Arial" w:cs="Arial" w:eastAsia="Arial" w:hAnsi="Arial"/>
                <w:sz w:val="18"/>
                <w:szCs w:val="18"/>
                <w:b w:val="1"/>
                <w:bCs w:val="1"/>
                <w:color w:val="auto"/>
              </w:rPr>
              <w:t>Comprehensive</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6"/>
              </w:rPr>
              <w:t>Stockholders'</w:t>
            </w:r>
          </w:p>
        </w:tc>
      </w:tr>
      <w:tr>
        <w:trPr>
          <w:trHeight w:val="223"/>
        </w:trPr>
        <w:tc>
          <w:tcPr>
            <w:tcW w:w="3820" w:type="dxa"/>
            <w:vAlign w:val="bottom"/>
          </w:tcPr>
          <w:p>
            <w:pPr>
              <w:spacing w:after="0"/>
              <w:rPr>
                <w:sz w:val="19"/>
                <w:szCs w:val="19"/>
                <w:color w:val="auto"/>
              </w:rPr>
            </w:pPr>
          </w:p>
        </w:tc>
        <w:tc>
          <w:tcPr>
            <w:tcW w:w="120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Par Value</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Capital</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321"/>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Loss</w:t>
            </w:r>
          </w:p>
        </w:tc>
        <w:tc>
          <w:tcPr>
            <w:tcW w:w="18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as of December 31,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37,446,498</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449,903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(396,351)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53,624</w:t>
            </w: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3820" w:type="dxa"/>
            <w:vAlign w:val="bottom"/>
          </w:tcPr>
          <w:p>
            <w:pPr>
              <w:spacing w:after="0"/>
              <w:rPr>
                <w:sz w:val="20"/>
                <w:szCs w:val="20"/>
                <w:color w:val="auto"/>
              </w:rPr>
            </w:pPr>
            <w:r>
              <w:rPr>
                <w:rFonts w:ascii="Arial" w:cs="Arial" w:eastAsia="Arial" w:hAnsi="Arial"/>
                <w:sz w:val="18"/>
                <w:szCs w:val="18"/>
                <w:color w:val="auto"/>
              </w:rPr>
              <w:t>Issuance of common stock upon exercise of</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stock</w:t>
            </w:r>
          </w:p>
        </w:tc>
        <w:tc>
          <w:tcPr>
            <w:tcW w:w="1000" w:type="dxa"/>
            <w:vAlign w:val="bottom"/>
          </w:tcPr>
          <w:p>
            <w:pPr>
              <w:jc w:val="right"/>
              <w:spacing w:after="0"/>
              <w:rPr>
                <w:sz w:val="20"/>
                <w:szCs w:val="20"/>
                <w:color w:val="auto"/>
              </w:rPr>
            </w:pPr>
            <w:r>
              <w:rPr>
                <w:rFonts w:ascii="Arial" w:cs="Arial" w:eastAsia="Arial" w:hAnsi="Arial"/>
                <w:sz w:val="18"/>
                <w:szCs w:val="18"/>
                <w:color w:val="auto"/>
              </w:rPr>
              <w:t>10,911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rPr>
              <w:t>options and employee stock purchase plan</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Issuance of restricted stock units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Unrealized loss on marketable debt securities</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Net loss</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(3,598)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(3,598)</w:t>
            </w:r>
          </w:p>
        </w:tc>
      </w:tr>
      <w:tr>
        <w:trPr>
          <w:trHeight w:val="223"/>
        </w:trPr>
        <w:tc>
          <w:tcPr>
            <w:tcW w:w="3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as of March 31,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37,469,596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450,623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(399,949</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50,742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Balances as of December 31, 2018</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37,287,221</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444,212</w:t>
            </w:r>
          </w:p>
        </w:tc>
        <w:tc>
          <w:tcPr>
            <w:tcW w:w="4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(350,945)</w:t>
            </w:r>
          </w:p>
        </w:tc>
        <w:tc>
          <w:tcPr>
            <w:tcW w:w="30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93,271</w:t>
            </w:r>
          </w:p>
        </w:tc>
        <w:tc>
          <w:tcPr>
            <w:tcW w:w="100" w:type="dxa"/>
            <w:vAlign w:val="bottom"/>
            <w:shd w:val="clear" w:color="auto" w:fill="CFF0FC"/>
          </w:tcPr>
          <w:p>
            <w:pPr>
              <w:spacing w:after="0"/>
              <w:rPr>
                <w:sz w:val="19"/>
                <w:szCs w:val="19"/>
                <w:color w:val="auto"/>
              </w:rPr>
            </w:pPr>
          </w:p>
        </w:tc>
      </w:tr>
      <w:tr>
        <w:trPr>
          <w:trHeight w:val="215"/>
        </w:trPr>
        <w:tc>
          <w:tcPr>
            <w:tcW w:w="3820" w:type="dxa"/>
            <w:vAlign w:val="bottom"/>
          </w:tcPr>
          <w:p>
            <w:pPr>
              <w:spacing w:after="0"/>
              <w:rPr>
                <w:sz w:val="20"/>
                <w:szCs w:val="20"/>
                <w:color w:val="auto"/>
              </w:rPr>
            </w:pPr>
            <w:r>
              <w:rPr>
                <w:rFonts w:ascii="Arial" w:cs="Arial" w:eastAsia="Arial" w:hAnsi="Arial"/>
                <w:sz w:val="18"/>
                <w:szCs w:val="18"/>
                <w:color w:val="auto"/>
              </w:rPr>
              <w:t>Issuance of common stock upon exercise of</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stock</w:t>
            </w:r>
          </w:p>
        </w:tc>
        <w:tc>
          <w:tcPr>
            <w:tcW w:w="1000" w:type="dxa"/>
            <w:vAlign w:val="bottom"/>
          </w:tcPr>
          <w:p>
            <w:pPr>
              <w:jc w:val="right"/>
              <w:spacing w:after="0"/>
              <w:rPr>
                <w:sz w:val="20"/>
                <w:szCs w:val="20"/>
                <w:color w:val="auto"/>
              </w:rPr>
            </w:pPr>
            <w:r>
              <w:rPr>
                <w:rFonts w:ascii="Arial" w:cs="Arial" w:eastAsia="Arial" w:hAnsi="Arial"/>
                <w:sz w:val="18"/>
                <w:szCs w:val="18"/>
                <w:color w:val="auto"/>
              </w:rPr>
              <w:t>31,391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rPr>
              <w:t>options and employee stock purchase plan</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Issuance of restricted stock units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19"/>
                <w:szCs w:val="19"/>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on marketable debt securities</w:t>
            </w:r>
          </w:p>
        </w:tc>
        <w:tc>
          <w:tcPr>
            <w:tcW w:w="12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Net loss</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
              <w:spacing w:after="0"/>
              <w:rPr>
                <w:sz w:val="20"/>
                <w:szCs w:val="20"/>
                <w:color w:val="auto"/>
              </w:rPr>
            </w:pPr>
            <w:r>
              <w:rPr>
                <w:rFonts w:ascii="Arial" w:cs="Arial" w:eastAsia="Arial" w:hAnsi="Arial"/>
                <w:sz w:val="18"/>
                <w:szCs w:val="18"/>
                <w:color w:val="auto"/>
              </w:rPr>
              <w:t>(13,112)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(13,112)</w:t>
            </w:r>
          </w:p>
        </w:tc>
      </w:tr>
      <w:tr>
        <w:trPr>
          <w:trHeight w:val="223"/>
        </w:trPr>
        <w:tc>
          <w:tcPr>
            <w:tcW w:w="3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as of March 31, 2019</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37,323,079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446,383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(364,057</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82,364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(3,598)</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(13,112)</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710</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expense</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Loss on disposal of fixed assets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Unrealized foreign currency transaction losses (gains)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Amortization of discount on marketable debt securities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00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418</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Tax incentive receivable</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7720" w:type="dxa"/>
            <w:vAlign w:val="bottom"/>
          </w:tcPr>
          <w:p>
            <w:pPr>
              <w:ind w:left="100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(310)</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Accrued restructuring costs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(1,728)</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1000"/>
              <w:spacing w:after="0"/>
              <w:rPr>
                <w:sz w:val="20"/>
                <w:szCs w:val="20"/>
                <w:color w:val="auto"/>
              </w:rPr>
            </w:pPr>
            <w:r>
              <w:rPr>
                <w:rFonts w:ascii="Arial" w:cs="Arial" w:eastAsia="Arial" w:hAnsi="Arial"/>
                <w:sz w:val="18"/>
                <w:szCs w:val="18"/>
                <w:color w:val="auto"/>
              </w:rPr>
              <w:t>Accrued expenses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(4,616)</w:t>
            </w:r>
          </w:p>
        </w:tc>
        <w:tc>
          <w:tcPr>
            <w:tcW w:w="28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(12,471)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sales and maturities of marketable debt securities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20,532</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Purchases of marketable debt securities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(2,339)</w:t>
            </w: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(33,466)</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provided by investing activities</w:t>
            </w: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18,193</w:t>
            </w:r>
          </w:p>
        </w:tc>
        <w:tc>
          <w:tcPr>
            <w:tcW w:w="28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Repayment of notes payable</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(1,818)</w:t>
            </w: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common stock options and employee stock purchase plan</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cash (used in) provided by financing activities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(1,808)</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11,769</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(11,569)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cash equivalents and restricted cash at beginning of period</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28,550</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Cash, cash equivalents and restricted cash at end of period</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40,319</w:t>
            </w:r>
          </w:p>
        </w:tc>
        <w:tc>
          <w:tcPr>
            <w:tcW w:w="2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37,762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included in accounts payable</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48"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Zafgen, Inc., or the Company, was incorporated on November 22, 2005 under the laws of the State of Delaware. The Company is a biopharmaceutical company that has leveraged its proprietary knowledge of the methionine aminopeptidase 2 (“MetAP2”) pathway to pioneer the study of MetAP2 inhibitors in both common and rare metabolic disorders.</w:t>
      </w:r>
    </w:p>
    <w:p>
      <w:pPr>
        <w:spacing w:after="0" w:line="76"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Following an extensive process of evaluating strategic alternatives for the Company and identifying and reviewing potential candidates for a strategic acquisition or other transaction, on December 17, 2019, the Company entered into an Agreement and Plan of Merger, or the Merger Agreement, with Chondrial Therapeutics, Inc., or Chondrial, pursuant to which a wholly owned subsidiary of the Company will merge with and into Chondrial, with Chondrial continuing as the surviving corporation of the merger and a wholly owned subsidiary of the Company, or the merger. Under the exchange ratio formula in the Merger Agreement, as of immediately after the merger, the former Chondrial securityholders are expected to own approximately 60% of the outstanding shares of the Company’s common stock on a fully-diluted basis and the Company’s stockholders as of immediately prior to the merger are expected to own approximately 40% of the outstanding shares of the Company’s common stock on a fully-diluted basis. The relative percentage ownership of the combined company was derived using a stipulated value of Chondrial of approximately $67.5 million and of the Company of approximately $45.0 million. The Company’s valuation was determined based on a projected net cash, cash equivalents and marketable securities balance minus outstanding liabilities, as defined in the Merger Agreement, of $40.0 million as of a determination date prior to the closing of the merger, but subject to adjustment as described below, plus an additional $5.0 million of enterprise value. If the Company’s actual net cash is between $39.5 million and $40.5 million, no adjustment will be made to the ownership percentages based on the Company’s net cash. The Company’s target net cash, lower target net cash and upper target net cash amounts will be reduced by $21,311 per day beginning on March 31, 2020 through the closing date of the merger, and the Chondrial valuation will be increased by $111,656 per day beginning on March 31, 2020 through the closing date of the merger, resulting in a corresponding adjustment to the exchange ratio and an increase to the ownership percentage of Chondrial’s stockholder in the combined company.</w:t>
      </w:r>
    </w:p>
    <w:p>
      <w:pPr>
        <w:spacing w:after="0" w:line="59"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The Merger Agreement provides the Company and Chondrial with specified termination rights, and further provides that, upon termination of the Merger Agreement under specified circumstances, either party may be required to pay the other party a termination fee of $3,375,000. In addition, in connection with certain terminations of the Merger Agreement, either party may be required to pay the other party’s third party expenses up to $350,000. In connection with the merger, the Company will seek to amend its certificate of incorporation to: (i) effect a reverse split of the Company’s common stock at a ratio to be determined by the Company and Chondrial, which is intended to ensure that the listing requirements of the Nasdaq Global Market are satisfied and (ii) change the name of Zafgen, Inc. to “Larimar Therapeutics, Inc.”</w:t>
      </w:r>
    </w:p>
    <w:p>
      <w:pPr>
        <w:spacing w:after="0" w:line="70"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Company’s and Chondrial’s obligations to consummate the merger are subject to the satisfaction or waiver of customary closing conditions, including, among others, obtaining the requisite approvals of the Company’s stockholders and satisfaction of minimum net cash thresholds of $30,000,000 by the Company and not less than zero by Chondrial. The sole stockholder of Chondrial has approved the Merger Agreement. In connection with the execution of the Merger Agreement, the Company entered into stockholder support agreements with its current directors and certain officers and the Company’s largest stockholder, which collectively beneficially own or control an aggregate of approximately 9.7% of its outstanding shares of common stock. Each of the stockholders party to such stockholder support agreements has agreed to vote or cause to be voted, all of the shares of the Company’s common stock beneficially owned by such stockholder in favor of the stockholder proposals submitted at the Company’s stockholders meeting to be held in connection with the merger.</w:t>
      </w:r>
    </w:p>
    <w:p>
      <w:pPr>
        <w:spacing w:after="0" w:line="84"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The Company expects to devote significant time and resources to the completion of the merger with Chondrial. However, there can be no assurance that such activities will result in the completion of the merger. Further, the completion of the merger ultimately may not deliver the anticipated benefits or enhance shareholder value.</w:t>
      </w:r>
    </w:p>
    <w:p>
      <w:pPr>
        <w:spacing w:after="0" w:line="76"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The Company has incurred losses and negative cash flows from operations since its inception. As of March 31, 2020, the Company had an accumulated deficit of $399.9 million. From its inception through March 31, 2020, the Company received net proceeds of $397.9 million from the sales of redeemable convertible preferred stock, the issuance of convertible promissory notes, the proceeds from its initial public offering (“IPO”) in June 2014 and its follow-on offerings in January 2015 and July 2018. On July 2, 2018, the Company completed a public offering of its common stock, which resulted in the sale of 9,200,000 shares at a price of $7.50 per share, resulting in net proceeds of approximately $64.6 million after deducting underwriting discounts and commissions, as well as offering costs. As disclosed in Note 5 to the condensed consolidated financial statements, the Company has a term loan with an aggregate principal balance of $12.7 million as of March 31, 2020 The loan agreement requires that the Company maintain certain minimum liquidity at all times, which as of March 31, 2020 was approximately $13.4 million. If the minimum liquidity covenant is not met, the Company may be required to repay the loan prior to scheduled maturity dates. The Term Loan also includes events of default, the occurrence and continuation of any of which provides the lenders the right to exercise remedies against the Company and the collateral securing the amounts due under the Term Loan. These events of default include, among other things, failure to pay any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line="293" w:lineRule="auto"/>
        <w:rPr>
          <w:sz w:val="20"/>
          <w:szCs w:val="20"/>
          <w:color w:val="auto"/>
        </w:rPr>
      </w:pPr>
      <w:r>
        <w:rPr>
          <w:rFonts w:ascii="Arial" w:cs="Arial" w:eastAsia="Arial" w:hAnsi="Arial"/>
          <w:sz w:val="16"/>
          <w:szCs w:val="16"/>
          <w:color w:val="auto"/>
        </w:rPr>
        <w:t>amounts due under the Term Loan, insolvency, the occurrence of a material adverse event, the occurrence of any default under certain other indebtedness and a final judgment against the Company in an amount greater than $0.3 million. During the quarter ended March 31, 2020 the Company was in compliance with all covenants under the term loan. The Company has estimated that the risk of subjective acceleration under the Term Loan’s material adverse events clause is reasonably possible, however not probable and therefore has classified the outstanding principal balance in current and long-term liabilities based on contractually scheduled principal payments. However, the assessment of such probability of the debt holder calling the debt is subjective and their actions and/or the Company’s related assessment could change in the future, which in turn would impact the classification of the debt balances.</w:t>
      </w:r>
    </w:p>
    <w:p>
      <w:pPr>
        <w:spacing w:after="0" w:line="56"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Based on its current operating plans, the Company believes its cash, cash equivalents and marketable debt securities of $63.9 million as of March 31, 2020, will be sufficient to fund its anticipated level of operations, capital expenditures and satisfy debt repayments for a period of at least 12 months from the date of this Quarterly Report. Until such time, if ever, as the Company can generate substantial product revenue, the Company expects to finance its cash needs through a combination of equity offerings, debt financings, collaborations, strategic alliances, licensing arrangements and other sources of funding. The Company expects to generate operating losses for the foreseeable future. If the Company is unable to raise additional funds through equity or debt financings, the Company may be required to delay, limit, reduce or terminate future product development or future commercialization efforts or grant rights to develop and market products or product candidates that the Company would otherwise prefer to develop and market ourselves.</w:t>
      </w:r>
    </w:p>
    <w:p>
      <w:pPr>
        <w:spacing w:after="0" w:line="58" w:lineRule="exact"/>
        <w:rPr>
          <w:sz w:val="20"/>
          <w:szCs w:val="20"/>
          <w:color w:val="auto"/>
        </w:rPr>
      </w:pPr>
    </w:p>
    <w:p>
      <w:pPr>
        <w:ind w:right="120" w:firstLine="510"/>
        <w:spacing w:after="0" w:line="253" w:lineRule="auto"/>
        <w:rPr>
          <w:sz w:val="20"/>
          <w:szCs w:val="20"/>
          <w:color w:val="auto"/>
        </w:rPr>
      </w:pPr>
      <w:r>
        <w:rPr>
          <w:rFonts w:ascii="Arial" w:cs="Arial" w:eastAsia="Arial" w:hAnsi="Arial"/>
          <w:sz w:val="18"/>
          <w:szCs w:val="18"/>
          <w:color w:val="auto"/>
        </w:rPr>
        <w:t>On April 21, 2020, the Company received a deficiency letter from the Listing Qualifications Department of the Nasdaq Stock Market notifying it that, for the last 30 consecutive business days, the bid price for the Company’s common stock had closed below the minimum $1.00 per share requirement for continued inclusion on the Nasdaq Global Market, referred to as the minimum bid price rule. In accordance with Nasdaq Listing Rules, the Company has an initial period of 180 calendar days. On April 16, 2020, Nasdaq announced it was providing temporary relief from continued listing bid price requirements through June 30, 2020. Under the relief the Company will have additional time to regain compliance with the listing bid price requirements with the compliance period beginning July 1, 2020. As such, the compliance period for the Company will expire on December 28, 2020. The Company is actively monitoring its stock price and will consider any and all options available to the Company to maintain compliance. The alternatives to trading on the Nasdaq Capital Market or another national securities exchange are generally considered to be less efficient and less broad-based than the national securities exchanges and the liquidity of the Company’s common stock will likely be reduced if we fail to regain compliance with the minimum bid price rule.</w:t>
      </w:r>
    </w:p>
    <w:p>
      <w:pPr>
        <w:spacing w:after="0" w:line="86"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Zafgen Securities Corporation, Zafgen Australia Pty Limited, Zafgen Animal Health, LLC, and Zordich Merger Sub, Inc. All intercompany balances and transactions have been eliminated.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ind w:right="100" w:firstLine="510"/>
        <w:spacing w:after="0" w:line="287" w:lineRule="auto"/>
        <w:rPr>
          <w:sz w:val="20"/>
          <w:szCs w:val="20"/>
          <w:color w:val="auto"/>
        </w:rPr>
      </w:pPr>
      <w:r>
        <w:rPr>
          <w:rFonts w:ascii="Arial" w:cs="Arial" w:eastAsia="Arial" w:hAnsi="Arial"/>
          <w:sz w:val="16"/>
          <w:szCs w:val="16"/>
          <w:color w:val="auto"/>
        </w:rPr>
        <w:t>The condensed consolidated balance sheet as of December 31, 2019 was derived from the Company’s audited financial statements, but does not include all disclosures required by accounting principles generally accepted in the United States of America (“GAAP”). The accompanying unaudited condensed consolidated financial statements as of March 31, 2020 and for the three months ended March 31, 2020 and 2019,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 notes thereto for the year ended December 31, 2019, included in the Company’s Annual Report on Form 10-K, for the year ended December 31, 2019, on file with the SEC. In the opinion of management, all adjustments, consisting only of normal recurring adjustments necessary for a fair statement of the Company’s condensed consolidated financial position as of March 31, 2020 and condensed consolidated results of operations and cash flows for the three months ended March 31, 2020 and 2019 have been made. The results of operations for the three months ended March 31, 2020 are not necessarily indicative of the results of operations that may be expected for the year ending December 31, 2020.</w:t>
      </w:r>
    </w:p>
    <w:p>
      <w:pPr>
        <w:spacing w:after="0" w:line="272" w:lineRule="exact"/>
        <w:rPr>
          <w:sz w:val="20"/>
          <w:szCs w:val="20"/>
          <w:color w:val="auto"/>
        </w:rPr>
      </w:pPr>
    </w:p>
    <w:p>
      <w:pPr>
        <w:ind w:right="768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ind w:right="60" w:firstLine="510"/>
        <w:spacing w:after="0" w:line="29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as of the date of the condensed consolidated financial statements, and the reported amounts of expenses during the reporting periods. Significant estimates and assumptions reflected in these condensed consolidated financial statements include, but are not limited to, the accrual of research and development expenses and the valuation of stock-based awards. Estimates are periodically reviewed in light of changes in circumstances, facts and experience. Actual results could differ from the Company’s estimates.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Marketable debt securities</w:t>
      </w:r>
    </w:p>
    <w:p>
      <w:pPr>
        <w:spacing w:after="0" w:line="121"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Marketable debt securities consist of debt investments with original maturities greater than ninety days. The Company has classified its debt investments with maturities beyond one year as short term, based on their highly liquid nature and because such marketable debt securities represent the investment of cash that is available for current operations. The Company classifies its marketable debt securities as available-for-sale. Accordingly, these investments are recorded at fair value, which is based on quoted market prices. When the fair value is below the amortized cost the amount of the expected credit loss is estimated. The credit-related impairment amount is recognized in net income; the remaining impairment amount and unrealized gains are reported as a component of accumulated other comprehensive income in stockholders’ equity. Credit losses are recognized through the use of an allowance for credit losses account and subsequent improvements in expected credit losses are recognized as a reversal of the allowance account. If the Company has the intent to sell the security or it is more likely than not that the Company will be required to sell the security prior to recovery of its amortized cost basis, the allowance for credit loss is written off and the excess of the amortized cost basis of the asset over its fair value is recorded in net income.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Basic net loss per share is computed by dividing the net loss attributable to common stockholders by the weighted average number of common shares outstanding for the period. Diluted net loss per share attributable to common stockholders is computed by dividing the diluted net loss attributable to common stockholders by the weighted average number of common shares, including potential dilutive common shares assuming the dilutive effect of outstanding stock options and unvested restricted common shares, as determined using the treasury stock method. For periods in which the Company has reported net losses, diluted net loss per common share attributable to common stockholders is the same as basic net loss per common share attributable to common stockholders, since dilutive common shares are not assumed to have been issued if their effect is antidilutive.</w:t>
      </w:r>
    </w:p>
    <w:p>
      <w:pPr>
        <w:spacing w:after="0" w:line="56" w:lineRule="exact"/>
        <w:rPr>
          <w:sz w:val="20"/>
          <w:szCs w:val="20"/>
          <w:color w:val="auto"/>
        </w:rPr>
      </w:pPr>
    </w:p>
    <w:p>
      <w:pPr>
        <w:ind w:right="160" w:firstLine="510"/>
        <w:spacing w:after="0" w:line="342" w:lineRule="auto"/>
        <w:rPr>
          <w:sz w:val="20"/>
          <w:szCs w:val="20"/>
          <w:color w:val="auto"/>
        </w:rPr>
      </w:pPr>
      <w:r>
        <w:rPr>
          <w:rFonts w:ascii="Arial" w:cs="Arial" w:eastAsia="Arial" w:hAnsi="Arial"/>
          <w:sz w:val="16"/>
          <w:szCs w:val="16"/>
          <w:color w:val="auto"/>
        </w:rPr>
        <w:t>The Company excluded the following common stock equivalents, outstanding as of March 31, 2020 and 2019, from the computation of diluted net loss per share for the three months ended March 31, 2020 and 2019 because they had an anti-dilutive impact due to the net loss incurred for the periods:</w:t>
      </w:r>
    </w:p>
    <w:p>
      <w:pPr>
        <w:spacing w:after="0" w:line="22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440" w:type="dxa"/>
            <w:vAlign w:val="bottom"/>
            <w:gridSpan w:val="4"/>
          </w:tcPr>
          <w:p>
            <w:pPr>
              <w:ind w:left="680"/>
              <w:spacing w:after="0"/>
              <w:rPr>
                <w:sz w:val="20"/>
                <w:szCs w:val="20"/>
                <w:color w:val="auto"/>
              </w:rPr>
            </w:pPr>
            <w:r>
              <w:rPr>
                <w:rFonts w:ascii="Arial" w:cs="Arial" w:eastAsia="Arial" w:hAnsi="Arial"/>
                <w:sz w:val="14"/>
                <w:szCs w:val="14"/>
                <w:b w:val="1"/>
                <w:bCs w:val="1"/>
                <w:color w:val="auto"/>
              </w:rPr>
              <w:t>As of March 31,</w:t>
            </w:r>
          </w:p>
        </w:tc>
      </w:tr>
      <w:tr>
        <w:trPr>
          <w:trHeight w:val="156"/>
        </w:trPr>
        <w:tc>
          <w:tcPr>
            <w:tcW w:w="54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3,945,647</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6,663,162</w:t>
            </w:r>
          </w:p>
        </w:tc>
        <w:tc>
          <w:tcPr>
            <w:tcW w:w="80" w:type="dxa"/>
            <w:vAlign w:val="bottom"/>
            <w:shd w:val="clear" w:color="auto" w:fill="CFF0FC"/>
          </w:tcPr>
          <w:p>
            <w:pPr>
              <w:spacing w:after="0"/>
              <w:rPr>
                <w:sz w:val="19"/>
                <w:szCs w:val="19"/>
                <w:color w:val="auto"/>
              </w:rPr>
            </w:pPr>
          </w:p>
        </w:tc>
      </w:tr>
      <w:tr>
        <w:trPr>
          <w:trHeight w:val="230"/>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restricted common stock</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40,766</w:t>
            </w:r>
          </w:p>
        </w:tc>
        <w:tc>
          <w:tcPr>
            <w:tcW w:w="20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351,371</w:t>
            </w:r>
          </w:p>
        </w:tc>
        <w:tc>
          <w:tcPr>
            <w:tcW w:w="80" w:type="dxa"/>
            <w:vAlign w:val="bottom"/>
            <w:tcBorders>
              <w:bottom w:val="single" w:sz="8" w:color="CFF0FC"/>
            </w:tcBorders>
          </w:tcPr>
          <w:p>
            <w:pPr>
              <w:spacing w:after="0"/>
              <w:rPr>
                <w:sz w:val="19"/>
                <w:szCs w:val="19"/>
                <w:color w:val="auto"/>
              </w:rPr>
            </w:pPr>
          </w:p>
        </w:tc>
      </w:tr>
      <w:tr>
        <w:trPr>
          <w:trHeight w:val="223"/>
        </w:trPr>
        <w:tc>
          <w:tcPr>
            <w:tcW w:w="54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3,986,413</w:t>
            </w:r>
          </w:p>
        </w:tc>
        <w:tc>
          <w:tcPr>
            <w:tcW w:w="2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7,014,533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8"/>
          <w:szCs w:val="18"/>
          <w:color w:val="auto"/>
        </w:rPr>
        <w:t>The Company is subject to risks and uncertainties as a result of the COVID-19 pandemic. The extent of the impact of the COVID-19 pandemic on the Company's business is highly uncertain and difficult to predict, as the response to the pandemic is in its incipient stages and information is rapidly evolving. Capital markets and economies worldwide have also been negatively impacted by the COVID-19 pandemic, and it is possible that it could cause a local and/or global economic recession. Such economic disruption could have a material adverse effect on the Company’s business. Policymakers around the globe have responded with fiscal policy actions to support the healthcare industry and economy as a whole. The magnitude and overall effectiveness of these actions remains uncertain.</w:t>
      </w:r>
    </w:p>
    <w:p>
      <w:pPr>
        <w:spacing w:after="0" w:line="84" w:lineRule="exact"/>
        <w:rPr>
          <w:sz w:val="20"/>
          <w:szCs w:val="20"/>
          <w:color w:val="auto"/>
        </w:rPr>
      </w:pPr>
    </w:p>
    <w:p>
      <w:pPr>
        <w:jc w:val="both"/>
        <w:ind w:firstLine="374"/>
        <w:spacing w:after="0" w:line="287" w:lineRule="auto"/>
        <w:rPr>
          <w:sz w:val="20"/>
          <w:szCs w:val="20"/>
          <w:color w:val="auto"/>
        </w:rPr>
      </w:pPr>
      <w:r>
        <w:rPr>
          <w:rFonts w:ascii="Arial" w:cs="Arial" w:eastAsia="Arial" w:hAnsi="Arial"/>
          <w:sz w:val="16"/>
          <w:szCs w:val="16"/>
          <w:color w:val="auto"/>
        </w:rPr>
        <w:t>The severity of the impact of the COVID-19 pandemic on the Company's business will depend on a number of factors, including, but not limited to, the duration and severity of the pandemic, all of which are uncertain and cannot be predicted. The Company is required to have a net cash balance of at least $30,000,000 at the closing of the merger as a condition to Chondrial’s obligation to consummate the merger. For purposes of the merger agreement, net cash is subject to certain reductions, including, without limitation, accounts payable, accrued expenses (except those related to the merger), current liabilities payable in cash, unpaid expenses related to the merger and certain other unpaid obligations, including outstanding lease obligations. The liability with regards to the Company’s outstanding lease obligations is a large component of the Company’s net cash and COVID-19 has created uncertainties surrounding our ability to take the steps necessary to sublease or negotiate a buy-out of our existing leases. In the event that the Company’s net cash falls below this threshold, a condition to the Chondrial’s obligation to consummate the merger will fail to be satisfied and Chondrial will have the right to terminate the merger agreement at an outside date of September 17, 2020 (subject to extension as provided in the merger agreement) if the Company’s net cash continues to be lower than the $30,000,000 threshold. As of the date of issuance of these condensed consolidated financial statements, the extent to which the COVID-19 pandemic may materially impact the Company's financial condition, liquidity, or results of operations is uncertain.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No.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 Credit Losses (Topic 326): Measurement of Credit Losses on Financial Instruments</w:t>
      </w:r>
      <w:r>
        <w:rPr>
          <w:rFonts w:ascii="Arial" w:cs="Arial" w:eastAsia="Arial" w:hAnsi="Arial"/>
          <w:sz w:val="18"/>
          <w:szCs w:val="18"/>
          <w:color w:val="auto"/>
        </w:rPr>
        <w:t>. The FASB subsequently issued amendments to ASU</w:t>
      </w:r>
      <w:r>
        <w:rPr>
          <w:rFonts w:ascii="Arial" w:cs="Arial" w:eastAsia="Arial" w:hAnsi="Arial"/>
          <w:sz w:val="18"/>
          <w:szCs w:val="18"/>
          <w:i w:val="1"/>
          <w:iCs w:val="1"/>
          <w:color w:val="auto"/>
        </w:rPr>
        <w:t xml:space="preserve"> </w:t>
      </w:r>
      <w:r>
        <w:rPr>
          <w:rFonts w:ascii="Arial" w:cs="Arial" w:eastAsia="Arial" w:hAnsi="Arial"/>
          <w:sz w:val="18"/>
          <w:szCs w:val="18"/>
          <w:color w:val="auto"/>
        </w:rPr>
        <w:t>2016-13, which have the same effective date and transition date of January 1, 2020. This standard requires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 w:name="page11"/>
    <w:bookmarkEnd w:id="10"/>
    <w:p>
      <w:pPr>
        <w:ind w:right="40"/>
        <w:spacing w:after="0" w:line="296" w:lineRule="auto"/>
        <w:rPr>
          <w:sz w:val="20"/>
          <w:szCs w:val="20"/>
          <w:color w:val="auto"/>
        </w:rPr>
      </w:pPr>
      <w:r>
        <w:rPr>
          <w:rFonts w:ascii="Arial" w:cs="Arial" w:eastAsia="Arial" w:hAnsi="Arial"/>
          <w:sz w:val="16"/>
          <w:szCs w:val="16"/>
          <w:color w:val="auto"/>
        </w:rPr>
        <w:t>entities to estimate an expected lifetime credit loss on financial assets ranging from short-term trade accounts receivable to long-term financings and report credit losses using an expected losses model rather than the incurred losses model that was previously used, and establishes additional disclosures related to credit risks. For available-for-sale debt securities with unrealized losses, the standard now requires allowances to be recorded instead of reducing the amortized cost of the investment. This standard limits the amount of credit losses to be recognized for available-for-sale debt securities to the amount by which carrying value exceeds fair value and requires the reversal of previously recognized credit losses if fair value increases.</w:t>
      </w:r>
    </w:p>
    <w:p>
      <w:pPr>
        <w:spacing w:after="0" w:line="53" w:lineRule="exact"/>
        <w:rPr>
          <w:sz w:val="20"/>
          <w:szCs w:val="20"/>
          <w:color w:val="auto"/>
        </w:rPr>
      </w:pPr>
    </w:p>
    <w:p>
      <w:pPr>
        <w:jc w:val="both"/>
        <w:ind w:right="300" w:firstLine="510"/>
        <w:spacing w:after="0" w:line="263" w:lineRule="auto"/>
        <w:rPr>
          <w:sz w:val="20"/>
          <w:szCs w:val="20"/>
          <w:color w:val="auto"/>
        </w:rPr>
      </w:pPr>
      <w:r>
        <w:rPr>
          <w:rFonts w:ascii="Arial" w:cs="Arial" w:eastAsia="Arial" w:hAnsi="Arial"/>
          <w:sz w:val="18"/>
          <w:szCs w:val="18"/>
          <w:color w:val="auto"/>
        </w:rPr>
        <w:t>This standard became effective for the Company on January 1, 2020, and based on the composition of the Company’s marketable debt securities, current economic conditions and historical credit loss activity, the adoption of this standard did not have a material impact on the Company’s condensed consolidated financial statements and related disclosures.</w:t>
      </w:r>
    </w:p>
    <w:p>
      <w:pPr>
        <w:spacing w:after="0" w:line="76" w:lineRule="exact"/>
        <w:rPr>
          <w:sz w:val="20"/>
          <w:szCs w:val="20"/>
          <w:color w:val="auto"/>
        </w:rPr>
      </w:pPr>
    </w:p>
    <w:p>
      <w:pPr>
        <w:jc w:val="both"/>
        <w:ind w:right="460" w:firstLine="510"/>
        <w:spacing w:after="0" w:line="311"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 - 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This standard modifies certain disclosure requirements on fair value measurements. This standard became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for the Company on January 1, 2020. The adoption of this standard did not have a material impact on the Company’s disclosures.</w:t>
      </w:r>
    </w:p>
    <w:p>
      <w:pPr>
        <w:spacing w:after="0" w:line="253" w:lineRule="exact"/>
        <w:rPr>
          <w:sz w:val="20"/>
          <w:szCs w:val="20"/>
          <w:color w:val="auto"/>
        </w:rPr>
      </w:pPr>
    </w:p>
    <w:p>
      <w:pPr>
        <w:ind w:right="6600" w:firstLine="8"/>
        <w:spacing w:after="0" w:line="377"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and Marketable Debt Securities Fair Value Measurements</w:t>
      </w:r>
    </w:p>
    <w:p>
      <w:pPr>
        <w:spacing w:after="0" w:line="2"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The following tables present information about the Company’s financial assets that have been measured at fair value as of March 31, 2020 and December 31, 2019 and indicate the fair value of the hierarchy of the valuation inputs utilized to determine such fair value. In general, fair values determined by Level 1 inputs utilize quoted prices (unadjusted) in active markets for identical assets or liabilities. Fair value determined by Level 2 inputs utilize observable inputs other than Level 1 prices, such as quoted prices, for similar assets or liabilities, quoted market prices in markets that are not active or other inputs that are observable or can be corroborated by observable market data for substantially the full term of the related assets or liabilities. Fair values determined by Level 3 inputs are unobservable data points for the asset or liability, and include situations where there is little, if any, market activity for the asset or liability.</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summarize the Company’s cash equivalents and marketable debt securities as of March 31, 2020 and December 31,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578"/>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99"/>
              <w:spacing w:after="0" w:line="147" w:lineRule="exact"/>
              <w:rPr>
                <w:sz w:val="20"/>
                <w:szCs w:val="20"/>
                <w:color w:val="auto"/>
              </w:rPr>
            </w:pPr>
            <w:r>
              <w:rPr>
                <w:rFonts w:ascii="Arial" w:cs="Arial" w:eastAsia="Arial" w:hAnsi="Arial"/>
                <w:sz w:val="14"/>
                <w:szCs w:val="14"/>
                <w:b w:val="1"/>
                <w:bCs w:val="1"/>
                <w:color w:val="auto"/>
                <w:w w:val="93"/>
              </w:rPr>
              <w:t>Quoted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8"/>
              <w:spacing w:after="0" w:line="147" w:lineRule="exact"/>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Prices in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38"/>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Significant</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79"/>
              <w:spacing w:after="0"/>
              <w:rPr>
                <w:sz w:val="20"/>
                <w:szCs w:val="20"/>
                <w:color w:val="auto"/>
              </w:rPr>
            </w:pPr>
            <w:r>
              <w:rPr>
                <w:rFonts w:ascii="Arial" w:cs="Arial" w:eastAsia="Arial" w:hAnsi="Arial"/>
                <w:sz w:val="14"/>
                <w:szCs w:val="14"/>
                <w:b w:val="1"/>
                <w:bCs w:val="1"/>
                <w:color w:val="auto"/>
                <w:w w:val="95"/>
              </w:rPr>
              <w:t>Active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Unobservable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79"/>
              <w:spacing w:after="0"/>
              <w:rPr>
                <w:sz w:val="20"/>
                <w:szCs w:val="20"/>
                <w:color w:val="auto"/>
              </w:rPr>
            </w:pPr>
            <w:r>
              <w:rPr>
                <w:rFonts w:ascii="Arial" w:cs="Arial" w:eastAsia="Arial" w:hAnsi="Arial"/>
                <w:sz w:val="14"/>
                <w:szCs w:val="14"/>
                <w:b w:val="1"/>
                <w:bCs w:val="1"/>
                <w:color w:val="auto"/>
                <w:w w:val="98"/>
              </w:rPr>
              <w:t>Markets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38"/>
              <w:spacing w:after="0"/>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Inputs</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120" w:type="dxa"/>
            <w:vAlign w:val="bottom"/>
            <w:tcBorders>
              <w:top w:val="single" w:sz="8" w:color="auto"/>
            </w:tcBorders>
            <w:gridSpan w:val="4"/>
          </w:tcPr>
          <w:p>
            <w:pPr>
              <w:jc w:val="right"/>
              <w:ind w:right="618"/>
              <w:spacing w:after="0" w:line="155" w:lineRule="exact"/>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0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35,865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35,865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Total cash equivalents</w:t>
            </w:r>
          </w:p>
        </w:tc>
        <w:tc>
          <w:tcPr>
            <w:tcW w:w="8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35,865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35,865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Marketable debt securities: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10,629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10,629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Corporate bonds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5,687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5,687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40" w:type="dxa"/>
            <w:vAlign w:val="bottom"/>
            <w:tcBorders>
              <w:top w:val="single" w:sz="8" w:color="CFF0FC"/>
            </w:tcBorders>
            <w:shd w:val="clear" w:color="auto" w:fill="CFF0FC"/>
          </w:tcPr>
          <w:p>
            <w:pPr>
              <w:ind w:left="620"/>
              <w:spacing w:after="0"/>
              <w:rPr>
                <w:sz w:val="20"/>
                <w:szCs w:val="20"/>
                <w:color w:val="auto"/>
              </w:rPr>
            </w:pPr>
            <w:r>
              <w:rPr>
                <w:rFonts w:ascii="Arial" w:cs="Arial" w:eastAsia="Arial" w:hAnsi="Arial"/>
                <w:sz w:val="18"/>
                <w:szCs w:val="18"/>
                <w:color w:val="auto"/>
              </w:rPr>
              <w:t>Total marketable debt securities</w:t>
            </w:r>
          </w:p>
        </w:tc>
        <w:tc>
          <w:tcPr>
            <w:tcW w:w="8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24,905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24,905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Total cash equivalents and marketable debt securities</w:t>
            </w:r>
          </w:p>
        </w:tc>
        <w:tc>
          <w:tcPr>
            <w:tcW w:w="8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60,770</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35,865</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24,905</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11" w:name="page12"/>
    <w:bookmarkEnd w:id="11"/>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98"/>
              <w:spacing w:after="0" w:line="147" w:lineRule="exact"/>
              <w:rPr>
                <w:sz w:val="20"/>
                <w:szCs w:val="20"/>
                <w:color w:val="auto"/>
              </w:rPr>
            </w:pPr>
            <w:r>
              <w:rPr>
                <w:rFonts w:ascii="Arial" w:cs="Arial" w:eastAsia="Arial" w:hAnsi="Arial"/>
                <w:sz w:val="14"/>
                <w:szCs w:val="14"/>
                <w:b w:val="1"/>
                <w:bCs w:val="1"/>
                <w:color w:val="auto"/>
                <w:w w:val="93"/>
              </w:rPr>
              <w:t>Quoted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6"/>
              <w:spacing w:after="0" w:line="147" w:lineRule="exact"/>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Prices in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36"/>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Active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78"/>
              <w:spacing w:after="0"/>
              <w:rPr>
                <w:sz w:val="20"/>
                <w:szCs w:val="20"/>
                <w:color w:val="auto"/>
              </w:rPr>
            </w:pPr>
            <w:r>
              <w:rPr>
                <w:rFonts w:ascii="Arial" w:cs="Arial" w:eastAsia="Arial" w:hAnsi="Arial"/>
                <w:sz w:val="14"/>
                <w:szCs w:val="14"/>
                <w:b w:val="1"/>
                <w:bCs w:val="1"/>
                <w:color w:val="auto"/>
                <w:w w:val="98"/>
              </w:rPr>
              <w:t>Markets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36"/>
              <w:spacing w:after="0"/>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40" w:type="dxa"/>
            <w:vAlign w:val="bottom"/>
            <w:vMerge w:val="restart"/>
          </w:tcPr>
          <w:p>
            <w:pPr>
              <w:spacing w:after="0"/>
              <w:rPr>
                <w:sz w:val="20"/>
                <w:szCs w:val="20"/>
                <w:color w:val="auto"/>
              </w:rPr>
            </w:pPr>
            <w:r>
              <w:rPr>
                <w:rFonts w:ascii="Arial" w:cs="Arial" w:eastAsia="Arial" w:hAnsi="Arial"/>
                <w:sz w:val="18"/>
                <w:szCs w:val="18"/>
                <w:b w:val="1"/>
                <w:bCs w:val="1"/>
                <w:color w:val="auto"/>
              </w:rPr>
              <w:t>Cash equivalents: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4"/>
          </w:tcPr>
          <w:p>
            <w:pPr>
              <w:jc w:val="right"/>
              <w:ind w:right="676"/>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2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18,289</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3,098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3,098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Total cash equivalents</w:t>
            </w: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22,434</w:t>
            </w:r>
          </w:p>
        </w:tc>
        <w:tc>
          <w:tcPr>
            <w:tcW w:w="2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18,289</w:t>
            </w:r>
          </w:p>
        </w:tc>
        <w:tc>
          <w:tcPr>
            <w:tcW w:w="2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4,145</w:t>
            </w:r>
          </w:p>
        </w:tc>
        <w:tc>
          <w:tcPr>
            <w:tcW w:w="2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b w:val="1"/>
                <w:bCs w:val="1"/>
                <w:color w:val="auto"/>
              </w:rPr>
              <w:t>Marketable debt securities: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U.S. Government securities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14,648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14,648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Total marketable debt securities</w:t>
            </w: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43,050</w:t>
            </w:r>
          </w:p>
        </w:tc>
        <w:tc>
          <w:tcPr>
            <w:tcW w:w="2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43,050</w:t>
            </w:r>
          </w:p>
        </w:tc>
        <w:tc>
          <w:tcPr>
            <w:tcW w:w="2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cash equivalents and marketable debt securities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65,484</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18,289</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47,195</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The carrying amounts reflected in the condensed consolidated balance sheets for tax incentive receivable, accounts payable, and accrued expenses approximate fair value due to their short-term maturities. The carrying value of the Company’s outstanding notes payable approximates fair value (a Level 2 fair value measurement), reflecting interest rates currently available to the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Debt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Company’s marketable debt securities as of March 31, 2020 and December 31, 2019:</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155"/>
        </w:trPr>
        <w:tc>
          <w:tcPr>
            <w:tcW w:w="5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gridSpan w:val="5"/>
          </w:tcPr>
          <w:p>
            <w:pPr>
              <w:jc w:val="right"/>
              <w:ind w:right="920"/>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U.S. government securities (due within 1 year)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10,596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10,629</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Corporate bonds (due within 1 year)</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8,589</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Commercial paper (due within 1 year)</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5,687</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5,687</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24,905</w:t>
            </w:r>
          </w:p>
        </w:tc>
        <w:tc>
          <w:tcPr>
            <w:tcW w:w="100" w:type="dxa"/>
            <w:vAlign w:val="bottom"/>
            <w:shd w:val="clear" w:color="auto" w:fill="CFF0FC"/>
          </w:tcPr>
          <w:p>
            <w:pPr>
              <w:spacing w:after="0"/>
              <w:rPr>
                <w:sz w:val="19"/>
                <w:szCs w:val="19"/>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March 31, 2020, the Company did not have an allowance for credit losses.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1"/>
              </w:rPr>
              <w:t>December 31, 2019</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gridSpan w:val="5"/>
          </w:tcPr>
          <w:p>
            <w:pPr>
              <w:jc w:val="center"/>
              <w:ind w:right="34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360" w:type="dxa"/>
            <w:vAlign w:val="bottom"/>
          </w:tcPr>
          <w:p>
            <w:pPr>
              <w:ind w:left="360"/>
              <w:spacing w:after="0"/>
              <w:rPr>
                <w:sz w:val="20"/>
                <w:szCs w:val="20"/>
                <w:color w:val="auto"/>
              </w:rPr>
            </w:pPr>
            <w:r>
              <w:rPr>
                <w:rFonts w:ascii="Arial" w:cs="Arial" w:eastAsia="Arial" w:hAnsi="Arial"/>
                <w:sz w:val="18"/>
                <w:szCs w:val="18"/>
                <w:color w:val="auto"/>
              </w:rPr>
              <w:t>U.S. Government securities (due within 1 year)</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14,981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14,996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Corporate bonds (due within 1 year)</w:t>
            </w: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14,648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60" w:type="dxa"/>
            <w:vAlign w:val="bottom"/>
          </w:tcPr>
          <w:p>
            <w:pPr>
              <w:ind w:left="360"/>
              <w:spacing w:after="0"/>
              <w:rPr>
                <w:sz w:val="20"/>
                <w:szCs w:val="20"/>
                <w:color w:val="auto"/>
              </w:rPr>
            </w:pPr>
            <w:r>
              <w:rPr>
                <w:rFonts w:ascii="Arial" w:cs="Arial" w:eastAsia="Arial" w:hAnsi="Arial"/>
                <w:sz w:val="18"/>
                <w:szCs w:val="18"/>
                <w:color w:val="auto"/>
              </w:rPr>
              <w:t>Commercial paper (due within 1 year)</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13,406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13,406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6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43,015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4. Accrued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consisted of the following as of March 31, 2020 and December 31, 2019:</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56"/>
        </w:trPr>
        <w:tc>
          <w:tcPr>
            <w:tcW w:w="5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gridSpan w:val="4"/>
          </w:tcPr>
          <w:p>
            <w:pPr>
              <w:jc w:val="right"/>
              <w:ind w:right="676"/>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related expenses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864</w:t>
            </w:r>
          </w:p>
        </w:tc>
        <w:tc>
          <w:tcPr>
            <w:tcW w:w="8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Accrued other</w:t>
            </w: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FF0FC"/>
          </w:tcPr>
          <w:p>
            <w:pPr>
              <w:spacing w:after="0"/>
              <w:rPr>
                <w:sz w:val="19"/>
                <w:szCs w:val="19"/>
                <w:color w:val="auto"/>
              </w:rPr>
            </w:pPr>
          </w:p>
        </w:tc>
      </w:tr>
      <w:tr>
        <w:trPr>
          <w:trHeight w:val="223"/>
        </w:trPr>
        <w:tc>
          <w:tcPr>
            <w:tcW w:w="53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8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Payable</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On December 29, 2017, the Company entered into a loan and security agreement with Silicon Valley Bank (the “Term Loan”). The Term Loan provided for borrowings of $20.0 million. On December 29, 2017, the Company received proceeds of $20.0 million from the issuance of a promissory note. The promissory note issued under the Term Loan is collateralized by substantially all of the Company’s personal property, other than its intellectual property.</w:t>
      </w:r>
    </w:p>
    <w:p>
      <w:pPr>
        <w:spacing w:after="0" w:line="79"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Upon entering into the Term Loan, the Company became obligated to make monthly, interest-only payments until March 29, 2019 and, thereafter, to pay 33 consecutive, equal monthly installments of principal and interest from April 1, 2019 through December 1, 2021. The outstanding Term Loan bears a variable interest at an annual rate of 1.25% above the prime rate, which at March 31, 2020 was 3.25%. In addition, a final payment equal to 8.0% of the Term Loan is due upon the earlier of the maturity date, acceleration of the Term Loan or prepayment of all or part of the Term Loan. The Company accrues the final payment amount of $1.6 million, to outstanding debt by charges to interest expense using the effective-interest method from the date of issuance through the maturity date.</w:t>
      </w:r>
    </w:p>
    <w:p>
      <w:pPr>
        <w:spacing w:after="0" w:line="84"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Additionally, the Company, as borrower, is required to maintain a minimum cash, cash equivalents and marketable debt securities balance at Silicon Valley Bank of no less than 105% of the total outstanding principal balance of the Term Loan, which was $13.4 million as of March 31, 2020 and $15.3 million as of December 31, 2019.</w:t>
      </w:r>
    </w:p>
    <w:p>
      <w:pPr>
        <w:spacing w:after="0" w:line="76"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Further, since 45 days after the Term Loan was entered in, the Company has met its obligation to maintain a balance of unrestricted cash, cash equivalents and marketable debt securities at Silicon Valley Bank in an amount not less than the greater of (i) $55.0 million and (ii) sixty-five percent (65%) of all the Company’s cash, cash equivalents and marketable Debt securities. If the Company does not meet this requirement it will not be considered an event of default provided it immediately secures 87.5% of the principal balance in a restricted cash account.</w:t>
      </w:r>
    </w:p>
    <w:p>
      <w:pPr>
        <w:spacing w:after="0" w:line="63"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There are negative covenants restricting the Company’s activities, including limitations on dispositions, mergers or acquisitions; encumbering or granting a security interest in its intellectual property; incurring indebtedness or liens; paying dividends; making certain investments; limiting the aggregate value of cash maintained by its Australian subsidiary not to exceed $4.0 million and certain other business transactions.</w:t>
      </w:r>
    </w:p>
    <w:p>
      <w:pPr>
        <w:spacing w:after="0" w:line="57"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The Term Loan also includes events of default, the occurrence and continuation of any of which provides the lenders the right to exercise remedies against the Company and the collateral securing the amounts due under the Term Loan, including cash in the amount of the outstanding balance. These events of default include, among other things, failure to pay any amounts due under the Term Loan, insolvency, the occurrence of a material adverse event, the occurrence of any default under certain other indebtedness and a final judgment against the Company in an amount greater than $0.3 million.</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2020 and December 31, 2019, notes payable consist of the following:</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214"/>
        </w:trPr>
        <w:tc>
          <w:tcPr>
            <w:tcW w:w="3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r>
      <w:tr>
        <w:trPr>
          <w:trHeight w:val="223"/>
        </w:trPr>
        <w:tc>
          <w:tcPr>
            <w:tcW w:w="3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00" w:type="dxa"/>
            <w:vAlign w:val="bottom"/>
            <w:gridSpan w:val="4"/>
          </w:tcPr>
          <w:p>
            <w:pPr>
              <w:jc w:val="right"/>
              <w:ind w:right="615"/>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19"/>
                <w:szCs w:val="19"/>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Notes payable</w:t>
            </w:r>
          </w:p>
        </w:tc>
        <w:tc>
          <w:tcPr>
            <w:tcW w:w="15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14,545</w:t>
            </w:r>
          </w:p>
        </w:tc>
        <w:tc>
          <w:tcPr>
            <w:tcW w:w="80" w:type="dxa"/>
            <w:vAlign w:val="bottom"/>
            <w:shd w:val="clear" w:color="auto" w:fill="CFF0FC"/>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Less: current portion</w:t>
            </w: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(7,273)</w:t>
            </w: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(7,273)</w:t>
            </w:r>
          </w:p>
        </w:tc>
      </w:tr>
      <w:tr>
        <w:trPr>
          <w:trHeight w:val="223"/>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Notes payable, net of current portion</w:t>
            </w:r>
          </w:p>
        </w:tc>
        <w:tc>
          <w:tcPr>
            <w:tcW w:w="13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5,455</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Accretion related to final payment</w:t>
            </w:r>
          </w:p>
        </w:tc>
        <w:tc>
          <w:tcPr>
            <w:tcW w:w="1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80" w:type="dxa"/>
            <w:vAlign w:val="bottom"/>
            <w:tcBorders>
              <w:bottom w:val="single" w:sz="8" w:color="CFF0FC"/>
            </w:tcBorders>
          </w:tcPr>
          <w:p>
            <w:pPr>
              <w:spacing w:after="0"/>
              <w:rPr>
                <w:sz w:val="19"/>
                <w:szCs w:val="19"/>
                <w:color w:val="auto"/>
              </w:rPr>
            </w:pPr>
          </w:p>
        </w:tc>
      </w:tr>
      <w:tr>
        <w:trPr>
          <w:trHeight w:val="223"/>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Notes payable, long term</w:t>
            </w:r>
          </w:p>
        </w:tc>
        <w:tc>
          <w:tcPr>
            <w:tcW w:w="13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6,747</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right="160" w:firstLine="510"/>
        <w:spacing w:after="0" w:line="342" w:lineRule="auto"/>
        <w:rPr>
          <w:sz w:val="20"/>
          <w:szCs w:val="20"/>
          <w:color w:val="auto"/>
        </w:rPr>
      </w:pPr>
      <w:r>
        <w:rPr>
          <w:rFonts w:ascii="Arial" w:cs="Arial" w:eastAsia="Arial" w:hAnsi="Arial"/>
          <w:sz w:val="16"/>
          <w:szCs w:val="16"/>
          <w:color w:val="auto"/>
        </w:rPr>
        <w:t>During the three months ended March 31, 2020 and 2019, the Company recognized $0.3 million and $0.5 million of interest expense, respectively, related to the Term Loan. The effective annual interest rate as of March 31, 2020 on the outstanding debt under the Term Loan was approximately 7.7%.</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6. Stock-Based Awards</w:t>
      </w:r>
    </w:p>
    <w:p>
      <w:pPr>
        <w:spacing w:after="0" w:line="121" w:lineRule="exact"/>
        <w:rPr>
          <w:sz w:val="20"/>
          <w:szCs w:val="20"/>
          <w:color w:val="auto"/>
        </w:rPr>
      </w:pPr>
    </w:p>
    <w:p>
      <w:pPr>
        <w:ind w:right="200" w:firstLine="510"/>
        <w:spacing w:after="0" w:line="293" w:lineRule="auto"/>
        <w:rPr>
          <w:sz w:val="20"/>
          <w:szCs w:val="20"/>
          <w:color w:val="auto"/>
        </w:rPr>
      </w:pPr>
      <w:r>
        <w:rPr>
          <w:rFonts w:ascii="Arial" w:cs="Arial" w:eastAsia="Arial" w:hAnsi="Arial"/>
          <w:sz w:val="16"/>
          <w:szCs w:val="16"/>
          <w:color w:val="auto"/>
        </w:rPr>
        <w:t>The Company’s 2014 Stock Option and Incentive Plan, as amended (the “2014 Plan”) provides for the grant of stock options, stock appreciation rights, restricted stock awards, restricted stock units, unrestricted stock awards, performance-share awards, cash-based awards and dividend equivalent rights to employees, members of the board of directors and consultants of the Company. The Company has outstanding stock-based awards under its Amended and Restated 2006 Stock Option Plan but is no longer granting awards under this plan. The Company also issues common stock under its 2014 Employee Stock Purchase Plan (the “ESPP”). As of March 31, 2020, 6,795,572 shares are available for grant under the 2014 Plan, including 1,497,859 shares automatically added to the 2014 Plan on January 1, 2020, and 58,611 shares are available for issuance to participating employees under the ESPP.</w:t>
      </w:r>
    </w:p>
    <w:p>
      <w:pPr>
        <w:spacing w:after="0" w:line="56" w:lineRule="exact"/>
        <w:rPr>
          <w:sz w:val="20"/>
          <w:szCs w:val="20"/>
          <w:color w:val="auto"/>
        </w:rPr>
      </w:pPr>
    </w:p>
    <w:p>
      <w:pPr>
        <w:ind w:right="20" w:firstLine="510"/>
        <w:spacing w:after="0" w:line="308" w:lineRule="auto"/>
        <w:rPr>
          <w:sz w:val="20"/>
          <w:szCs w:val="20"/>
          <w:color w:val="auto"/>
        </w:rPr>
      </w:pPr>
      <w:r>
        <w:rPr>
          <w:rFonts w:ascii="Arial" w:cs="Arial" w:eastAsia="Arial" w:hAnsi="Arial"/>
          <w:sz w:val="17"/>
          <w:szCs w:val="17"/>
          <w:color w:val="auto"/>
        </w:rPr>
        <w:t>The Company recorded stock-based compensation expense related to stock options, restricted common stock and the ESPP in the following expense categories within its condensed consolidated statements of operations for the three months ended March 31, 2020 and 2019 as follows:</w:t>
      </w:r>
    </w:p>
    <w:p>
      <w:pPr>
        <w:spacing w:after="0" w:line="219"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540" w:type="dxa"/>
            <w:vAlign w:val="bottom"/>
            <w:gridSpan w:val="7"/>
          </w:tcPr>
          <w:p>
            <w:pPr>
              <w:ind w:left="24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532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6"/>
        </w:trPr>
        <w:tc>
          <w:tcPr>
            <w:tcW w:w="5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(144)</w:t>
            </w:r>
          </w:p>
        </w:tc>
        <w:tc>
          <w:tcPr>
            <w:tcW w:w="4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80" w:type="dxa"/>
            <w:vAlign w:val="bottom"/>
            <w:shd w:val="clear" w:color="auto" w:fill="CFF0FC"/>
          </w:tcPr>
          <w:p>
            <w:pPr>
              <w:spacing w:after="0"/>
              <w:rPr>
                <w:sz w:val="19"/>
                <w:szCs w:val="19"/>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80" w:type="dxa"/>
            <w:vAlign w:val="bottom"/>
            <w:tcBorders>
              <w:bottom w:val="single" w:sz="8" w:color="CFF0FC"/>
            </w:tcBorders>
          </w:tcPr>
          <w:p>
            <w:pPr>
              <w:spacing w:after="0"/>
              <w:rPr>
                <w:sz w:val="19"/>
                <w:szCs w:val="19"/>
                <w:color w:val="auto"/>
              </w:rPr>
            </w:pPr>
          </w:p>
        </w:tc>
      </w:tr>
      <w:tr>
        <w:trPr>
          <w:trHeight w:val="223"/>
        </w:trPr>
        <w:tc>
          <w:tcPr>
            <w:tcW w:w="53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62"/>
        <w:spacing w:after="0" w:line="263" w:lineRule="auto"/>
        <w:rPr>
          <w:sz w:val="20"/>
          <w:szCs w:val="20"/>
          <w:color w:val="auto"/>
        </w:rPr>
      </w:pPr>
      <w:r>
        <w:rPr>
          <w:rFonts w:ascii="Arial" w:cs="Arial" w:eastAsia="Arial" w:hAnsi="Arial"/>
          <w:sz w:val="18"/>
          <w:szCs w:val="18"/>
          <w:color w:val="auto"/>
        </w:rPr>
        <w:t>The Company recorded negative research and development expenses during the three months ended March 31, 2020, which was the result of the reversal of related stock compensation expense related to the termination of the Company’s final research and development employee in the first quarter of 2020.</w:t>
      </w:r>
    </w:p>
    <w:p>
      <w:pPr>
        <w:spacing w:after="0" w:line="288" w:lineRule="exact"/>
        <w:rPr>
          <w:sz w:val="20"/>
          <w:szCs w:val="20"/>
          <w:color w:val="auto"/>
        </w:rPr>
      </w:pPr>
    </w:p>
    <w:p>
      <w:pPr>
        <w:ind w:right="8480" w:firstLine="8"/>
        <w:spacing w:after="0" w:line="378"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ind w:right="200" w:firstLine="510"/>
        <w:spacing w:after="0" w:line="291" w:lineRule="auto"/>
        <w:rPr>
          <w:sz w:val="20"/>
          <w:szCs w:val="20"/>
          <w:color w:val="auto"/>
        </w:rPr>
      </w:pPr>
      <w:r>
        <w:rPr>
          <w:rFonts w:ascii="Arial" w:cs="Arial" w:eastAsia="Arial" w:hAnsi="Arial"/>
          <w:sz w:val="16"/>
          <w:szCs w:val="16"/>
          <w:color w:val="auto"/>
        </w:rPr>
        <w:t>On February 12, 2019, the Company entered into a lease with Shigo Center Plaza Owners, LLC, for approximately 17,705 square feet of office space for a new headquarters located at 3 Center Plaza, Boston, Massachusetts. The lease has a term of 124 months with an option to extend the lease for</w:t>
      </w:r>
    </w:p>
    <w:p>
      <w:pPr>
        <w:spacing w:after="0" w:line="252" w:lineRule="auto"/>
        <w:rPr>
          <w:sz w:val="20"/>
          <w:szCs w:val="20"/>
          <w:color w:val="auto"/>
        </w:rPr>
      </w:pPr>
      <w:r>
        <w:rPr>
          <w:rFonts w:ascii="Arial" w:cs="Arial" w:eastAsia="Arial" w:hAnsi="Arial"/>
          <w:sz w:val="18"/>
          <w:szCs w:val="18"/>
          <w:color w:val="auto"/>
        </w:rPr>
        <w:t>60 additional months. As part of the agreement the Company is required to maintain a letter of credit, which upon signing was $1.3 million and is classified as restricted cash within the consolidated financial statements. Under the lease agreement, the Company began paying monthly rent beginning four months after the lease commencement, which was June 21, 2019, with total lease payments over the initial term of $10.7 million. During the fourth quarter of 2019 and in conjunction with entering into the Merger Agreement with Chondrial, the Company performed an impairment review of the Company’s headquarters lease and related assets and determined that an impairment had not occurred as the estimated fair value of the asset exceeded the carrying value. In addition, due to the continued impact of the COVID-19 pandemic, the Company updated its impairment review as of March 31, 2020 and determined that an impairment had not occurred.</w:t>
      </w:r>
    </w:p>
    <w:p>
      <w:pPr>
        <w:spacing w:after="0" w:line="84"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In October 2015, the Company entered into an operating lease for office space in San Diego, California, effective as of October 1, 2015, with a term extended to expire on December 31, 2024.</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future minimum lease payments for the next five years and thereafter as of March 31, 2020, are as follows:</w:t>
      </w:r>
    </w:p>
    <w:p>
      <w:pPr>
        <w:spacing w:after="0" w:line="227"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Operating</w:t>
            </w:r>
          </w:p>
        </w:tc>
      </w:tr>
      <w:tr>
        <w:trPr>
          <w:trHeight w:val="155"/>
        </w:trPr>
        <w:tc>
          <w:tcPr>
            <w:tcW w:w="16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2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Leases</w:t>
            </w:r>
          </w:p>
        </w:tc>
      </w:tr>
      <w:tr>
        <w:trPr>
          <w:trHeight w:val="230"/>
        </w:trPr>
        <w:tc>
          <w:tcPr>
            <w:tcW w:w="3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2020 (April - December)</w:t>
            </w:r>
          </w:p>
        </w:tc>
        <w:tc>
          <w:tcPr>
            <w:tcW w:w="1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80" w:type="dxa"/>
            <w:vAlign w:val="bottom"/>
            <w:shd w:val="clear" w:color="auto" w:fill="CFF0FC"/>
          </w:tcPr>
          <w:p>
            <w:pPr>
              <w:spacing w:after="0"/>
              <w:rPr>
                <w:sz w:val="19"/>
                <w:szCs w:val="19"/>
                <w:color w:val="auto"/>
              </w:rPr>
            </w:pP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2021</w:t>
            </w:r>
          </w:p>
        </w:tc>
        <w:tc>
          <w:tcPr>
            <w:tcW w:w="2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1,120</w:t>
            </w:r>
          </w:p>
        </w:tc>
        <w:tc>
          <w:tcPr>
            <w:tcW w:w="80" w:type="dxa"/>
            <w:vAlign w:val="bottom"/>
          </w:tcPr>
          <w:p>
            <w:pPr>
              <w:spacing w:after="0"/>
              <w:rPr>
                <w:sz w:val="19"/>
                <w:szCs w:val="19"/>
                <w:color w:val="auto"/>
              </w:rPr>
            </w:pPr>
          </w:p>
        </w:tc>
      </w:tr>
      <w:tr>
        <w:trPr>
          <w:trHeight w:val="229"/>
        </w:trPr>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3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80" w:type="dxa"/>
            <w:vAlign w:val="bottom"/>
            <w:shd w:val="clear" w:color="auto" w:fill="CFF0FC"/>
          </w:tcPr>
          <w:p>
            <w:pPr>
              <w:spacing w:after="0"/>
              <w:rPr>
                <w:sz w:val="19"/>
                <w:szCs w:val="19"/>
                <w:color w:val="auto"/>
              </w:rPr>
            </w:pP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2023</w:t>
            </w:r>
          </w:p>
        </w:tc>
        <w:tc>
          <w:tcPr>
            <w:tcW w:w="2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1,165</w:t>
            </w:r>
          </w:p>
        </w:tc>
        <w:tc>
          <w:tcPr>
            <w:tcW w:w="80" w:type="dxa"/>
            <w:vAlign w:val="bottom"/>
          </w:tcPr>
          <w:p>
            <w:pPr>
              <w:spacing w:after="0"/>
              <w:rPr>
                <w:sz w:val="19"/>
                <w:szCs w:val="19"/>
                <w:color w:val="auto"/>
              </w:rPr>
            </w:pPr>
          </w:p>
        </w:tc>
      </w:tr>
      <w:tr>
        <w:trPr>
          <w:trHeight w:val="230"/>
        </w:trPr>
        <w:tc>
          <w:tcPr>
            <w:tcW w:w="16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3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w:t>
            </w:r>
          </w:p>
        </w:tc>
        <w:tc>
          <w:tcPr>
            <w:tcW w:w="80" w:type="dxa"/>
            <w:vAlign w:val="bottom"/>
            <w:shd w:val="clear" w:color="auto" w:fill="CFF0FC"/>
          </w:tcPr>
          <w:p>
            <w:pPr>
              <w:spacing w:after="0"/>
              <w:rPr>
                <w:sz w:val="19"/>
                <w:szCs w:val="19"/>
                <w:color w:val="auto"/>
              </w:rPr>
            </w:pPr>
          </w:p>
        </w:tc>
      </w:tr>
      <w:tr>
        <w:trPr>
          <w:trHeight w:val="230"/>
        </w:trPr>
        <w:tc>
          <w:tcPr>
            <w:tcW w:w="39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14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5,396</w:t>
            </w:r>
          </w:p>
        </w:tc>
        <w:tc>
          <w:tcPr>
            <w:tcW w:w="80" w:type="dxa"/>
            <w:vAlign w:val="bottom"/>
            <w:tcBorders>
              <w:bottom w:val="single" w:sz="8" w:color="CFF0FC"/>
            </w:tcBorders>
          </w:tcPr>
          <w:p>
            <w:pPr>
              <w:spacing w:after="0"/>
              <w:rPr>
                <w:sz w:val="19"/>
                <w:szCs w:val="19"/>
                <w:color w:val="auto"/>
              </w:rPr>
            </w:pPr>
          </w:p>
        </w:tc>
      </w:tr>
      <w:tr>
        <w:trPr>
          <w:trHeight w:val="223"/>
        </w:trPr>
        <w:tc>
          <w:tcPr>
            <w:tcW w:w="39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Total lease payments</w:t>
            </w:r>
          </w:p>
        </w:tc>
        <w:tc>
          <w:tcPr>
            <w:tcW w:w="1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10,837</w:t>
            </w:r>
          </w:p>
        </w:tc>
        <w:tc>
          <w:tcPr>
            <w:tcW w:w="80" w:type="dxa"/>
            <w:vAlign w:val="bottom"/>
            <w:shd w:val="clear" w:color="auto" w:fill="CFF0FC"/>
          </w:tcPr>
          <w:p>
            <w:pPr>
              <w:spacing w:after="0"/>
              <w:rPr>
                <w:sz w:val="19"/>
                <w:szCs w:val="19"/>
                <w:color w:val="auto"/>
              </w:rPr>
            </w:pPr>
          </w:p>
        </w:tc>
      </w:tr>
      <w:tr>
        <w:trPr>
          <w:trHeight w:val="229"/>
        </w:trPr>
        <w:tc>
          <w:tcPr>
            <w:tcW w:w="394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(4,081)</w:t>
            </w:r>
          </w:p>
        </w:tc>
      </w:tr>
      <w:tr>
        <w:trPr>
          <w:trHeight w:val="223"/>
        </w:trPr>
        <w:tc>
          <w:tcPr>
            <w:tcW w:w="394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Present value of lease liabilities</w:t>
            </w:r>
          </w:p>
        </w:tc>
        <w:tc>
          <w:tcPr>
            <w:tcW w:w="14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0" w:firstLine="468"/>
        <w:spacing w:after="0" w:line="263" w:lineRule="auto"/>
        <w:rPr>
          <w:sz w:val="20"/>
          <w:szCs w:val="20"/>
          <w:color w:val="auto"/>
        </w:rPr>
      </w:pPr>
      <w:r>
        <w:rPr>
          <w:rFonts w:ascii="Arial" w:cs="Arial" w:eastAsia="Arial" w:hAnsi="Arial"/>
          <w:sz w:val="18"/>
          <w:szCs w:val="18"/>
          <w:color w:val="auto"/>
        </w:rPr>
        <w:t>During the three months ended March 31, 2020 the Company did not incur any lease expense associated with research and development activities, and the Company incurred $0.3 million of lease expense associated with general and administrative activities. During the three months ended March 31, 2019 the Company incurred $0.1 million of lease expense associated with research and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4" w:name="page15"/>
    <w:bookmarkEnd w:id="14"/>
    <w:p>
      <w:pPr>
        <w:ind w:right="180"/>
        <w:spacing w:after="0" w:line="277" w:lineRule="auto"/>
        <w:rPr>
          <w:sz w:val="20"/>
          <w:szCs w:val="20"/>
          <w:color w:val="auto"/>
        </w:rPr>
      </w:pPr>
      <w:r>
        <w:rPr>
          <w:rFonts w:ascii="Arial" w:cs="Arial" w:eastAsia="Arial" w:hAnsi="Arial"/>
          <w:sz w:val="18"/>
          <w:szCs w:val="18"/>
          <w:color w:val="auto"/>
        </w:rPr>
        <w:t>development activities and less than $0.1 million of lease expense associated with general and administrative activities. The components of lease expense are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Operating lease cost</w:t>
      </w:r>
    </w:p>
    <w:p>
      <w:pPr>
        <w:spacing w:after="0" w:line="46" w:lineRule="exact"/>
        <w:rPr>
          <w:sz w:val="20"/>
          <w:szCs w:val="20"/>
          <w:color w:val="auto"/>
        </w:rPr>
      </w:pPr>
    </w:p>
    <w:p>
      <w:pPr>
        <w:ind w:left="1700"/>
        <w:spacing w:after="0"/>
        <w:rPr>
          <w:sz w:val="20"/>
          <w:szCs w:val="20"/>
          <w:color w:val="auto"/>
        </w:rPr>
      </w:pPr>
      <w:r>
        <w:rPr>
          <w:rFonts w:ascii="Arial" w:cs="Arial" w:eastAsia="Arial" w:hAnsi="Arial"/>
          <w:sz w:val="15"/>
          <w:szCs w:val="15"/>
          <w:color w:val="auto"/>
        </w:rPr>
        <w:t>Short-term lease cost</w:t>
      </w:r>
    </w:p>
    <w:p>
      <w:pPr>
        <w:spacing w:after="0" w:line="57"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Sublease income</w:t>
      </w:r>
    </w:p>
    <w:p>
      <w:pPr>
        <w:spacing w:after="0" w:line="3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 March 31,</w:t>
            </w:r>
          </w:p>
        </w:tc>
      </w:tr>
      <w:tr>
        <w:trPr>
          <w:trHeight w:val="171"/>
        </w:trPr>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4"/>
          </w:tcPr>
          <w:p>
            <w:pPr>
              <w:jc w:val="right"/>
              <w:ind w:right="67"/>
              <w:spacing w:after="0" w:line="155"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9"/>
        </w:trPr>
        <w:tc>
          <w:tcPr>
            <w:tcW w:w="340" w:type="dxa"/>
            <w:vAlign w:val="bottom"/>
            <w:gridSpan w:val="2"/>
          </w:tcPr>
          <w:p>
            <w:pPr>
              <w:jc w:val="right"/>
              <w:ind w:right="167"/>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331</w:t>
            </w:r>
          </w:p>
        </w:tc>
        <w:tc>
          <w:tcPr>
            <w:tcW w:w="200" w:type="dxa"/>
            <w:vAlign w:val="bottom"/>
          </w:tcPr>
          <w:p>
            <w:pPr>
              <w:spacing w:after="0"/>
              <w:rPr>
                <w:sz w:val="19"/>
                <w:szCs w:val="19"/>
                <w:color w:val="auto"/>
              </w:rPr>
            </w:pPr>
          </w:p>
        </w:tc>
        <w:tc>
          <w:tcPr>
            <w:tcW w:w="460" w:type="dxa"/>
            <w:vAlign w:val="bottom"/>
            <w:gridSpan w:val="2"/>
          </w:tcPr>
          <w:p>
            <w:pPr>
              <w:jc w:val="right"/>
              <w:ind w:right="287"/>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-616585</wp:posOffset>
            </wp:positionV>
            <wp:extent cx="498919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-325120</wp:posOffset>
            </wp:positionV>
            <wp:extent cx="498919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60" w:space="720"/>
            <w:col w:w="4960"/>
          </w:cols>
          <w:pgMar w:left="320" w:top="125" w:right="339" w:bottom="1440" w:gutter="0" w:footer="0" w:header="0"/>
          <w:type w:val="continuous"/>
        </w:sectPr>
      </w:pPr>
    </w:p>
    <w:p>
      <w:pPr>
        <w:spacing w:after="0" w:line="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 average remaining lease term and weighted average discount rate of our operating leases are as follows:</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As of March 31,</w:t>
            </w:r>
          </w:p>
        </w:tc>
        <w:tc>
          <w:tcPr>
            <w:tcW w:w="1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As of December 31,</w:t>
            </w:r>
          </w:p>
        </w:tc>
      </w:tr>
      <w:tr>
        <w:trPr>
          <w:trHeight w:val="171"/>
        </w:trPr>
        <w:tc>
          <w:tcPr>
            <w:tcW w:w="450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14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 in years</w:t>
            </w:r>
          </w:p>
        </w:tc>
        <w:tc>
          <w:tcPr>
            <w:tcW w:w="1440" w:type="dxa"/>
            <w:vAlign w:val="bottom"/>
            <w:shd w:val="clear" w:color="auto" w:fill="CFF0FC"/>
          </w:tcPr>
          <w:p>
            <w:pPr>
              <w:ind w:left="1100"/>
              <w:spacing w:after="0"/>
              <w:rPr>
                <w:sz w:val="20"/>
                <w:szCs w:val="20"/>
                <w:color w:val="auto"/>
              </w:rPr>
            </w:pPr>
            <w:r>
              <w:rPr>
                <w:rFonts w:ascii="Arial" w:cs="Arial" w:eastAsia="Arial" w:hAnsi="Arial"/>
                <w:sz w:val="18"/>
                <w:szCs w:val="18"/>
                <w:color w:val="auto"/>
                <w:w w:val="91"/>
              </w:rPr>
              <w:t>9.24</w:t>
            </w: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ind w:left="1100"/>
              <w:spacing w:after="0"/>
              <w:rPr>
                <w:sz w:val="20"/>
                <w:szCs w:val="20"/>
                <w:color w:val="auto"/>
              </w:rPr>
            </w:pPr>
            <w:r>
              <w:rPr>
                <w:rFonts w:ascii="Arial" w:cs="Arial" w:eastAsia="Arial" w:hAnsi="Arial"/>
                <w:sz w:val="18"/>
                <w:szCs w:val="18"/>
                <w:color w:val="auto"/>
                <w:w w:val="91"/>
              </w:rPr>
              <w:t>9.49</w:t>
            </w:r>
          </w:p>
        </w:tc>
        <w:tc>
          <w:tcPr>
            <w:tcW w:w="180" w:type="dxa"/>
            <w:vAlign w:val="bottom"/>
            <w:shd w:val="clear" w:color="auto" w:fill="CFF0FC"/>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740" w:type="dxa"/>
            <w:vAlign w:val="bottom"/>
            <w:gridSpan w:val="2"/>
          </w:tcPr>
          <w:p>
            <w:pPr>
              <w:ind w:left="1120"/>
              <w:spacing w:after="0"/>
              <w:rPr>
                <w:sz w:val="20"/>
                <w:szCs w:val="20"/>
                <w:color w:val="auto"/>
              </w:rPr>
            </w:pPr>
            <w:r>
              <w:rPr>
                <w:rFonts w:ascii="Arial" w:cs="Arial" w:eastAsia="Arial" w:hAnsi="Arial"/>
                <w:sz w:val="18"/>
                <w:szCs w:val="18"/>
                <w:color w:val="auto"/>
              </w:rPr>
              <w:t>11.1%</w:t>
            </w:r>
          </w:p>
        </w:tc>
        <w:tc>
          <w:tcPr>
            <w:tcW w:w="1620" w:type="dxa"/>
            <w:vAlign w:val="bottom"/>
            <w:gridSpan w:val="2"/>
          </w:tcPr>
          <w:p>
            <w:pPr>
              <w:ind w:left="1120"/>
              <w:spacing w:after="0"/>
              <w:rPr>
                <w:sz w:val="20"/>
                <w:szCs w:val="20"/>
                <w:color w:val="auto"/>
              </w:rPr>
            </w:pPr>
            <w:r>
              <w:rPr>
                <w:rFonts w:ascii="Arial" w:cs="Arial" w:eastAsia="Arial" w:hAnsi="Arial"/>
                <w:sz w:val="18"/>
                <w:szCs w:val="18"/>
                <w:color w:val="auto"/>
                <w:w w:val="93"/>
              </w:rPr>
              <w:t>11.1%</w:t>
            </w:r>
          </w:p>
        </w:tc>
      </w:tr>
    </w:tbl>
    <w:p>
      <w:pPr>
        <w:spacing w:after="0" w:line="93"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Cash paid for amounts included in the measurement of operating lease liabilities was $0.3 million and $0.1 million during the three months ended March 31, 2020 and 2019, respectively, and is included in operating activities within the condensed consolidated statements of cash flows. There were no additional right-of-use assets recognized as non-cash asset additions that resulted from new operating lease liabilities during the three months ended March 31, 2020 or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management team and its board of directors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condensed consolidated financial statements as of March 31,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color w:val="auto"/>
        </w:rPr>
        <w:t>The Company accrues a liability for legal contingencies when it believes that it is both probable that a liability has been incurred and that the Company can reasonably estimate the amount of the loss. The Company reviews these accruals and adjusts them to reflect ongoing negotiations, settlements, rulings, advice of legal counsel and other relevant information. To the extent new information is obtained and the views on the probable outcomes of claims, suits, assessments, investigations or legal proceedings change, changes in the Company’s accrued liabilities would be recorded in the period in which such determination is made. In addition, in accordance with the relevant authoritative guidance, for any matters in which the likelihood of material loss is at least reasonably possible, the Company will provide disclosure of the possible loss or range of loss. If a reasonable estimate cannot be made, however, the Company will provide disclosure to that effect. The Company expenses legal costs as they are incurred.</w:t>
      </w:r>
    </w:p>
    <w:p>
      <w:pPr>
        <w:spacing w:after="0" w:line="58" w:lineRule="exact"/>
        <w:rPr>
          <w:sz w:val="20"/>
          <w:szCs w:val="20"/>
          <w:color w:val="auto"/>
        </w:rPr>
      </w:pPr>
    </w:p>
    <w:p>
      <w:pPr>
        <w:ind w:right="440" w:firstLine="510"/>
        <w:spacing w:after="0" w:line="263" w:lineRule="auto"/>
        <w:rPr>
          <w:sz w:val="20"/>
          <w:szCs w:val="20"/>
          <w:color w:val="auto"/>
        </w:rPr>
      </w:pPr>
      <w:r>
        <w:rPr>
          <w:rFonts w:ascii="Arial" w:cs="Arial" w:eastAsia="Arial" w:hAnsi="Arial"/>
          <w:sz w:val="18"/>
          <w:szCs w:val="18"/>
          <w:color w:val="auto"/>
        </w:rPr>
        <w:t>The Company may periodically become subject to other legal proceedings and claims arising in connection with ongoing business activities, including claims or disputes related to patents that have been issued or that are pending in the field of research on which the Company is focused. The Company is not aware of any material claims as of March 31,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Retirement Plan</w:t>
      </w:r>
    </w:p>
    <w:p>
      <w:pPr>
        <w:spacing w:after="0" w:line="121" w:lineRule="exact"/>
        <w:rPr>
          <w:sz w:val="20"/>
          <w:szCs w:val="20"/>
          <w:color w:val="auto"/>
        </w:rPr>
      </w:pPr>
    </w:p>
    <w:p>
      <w:pPr>
        <w:ind w:right="260" w:firstLine="510"/>
        <w:spacing w:after="0" w:line="342" w:lineRule="auto"/>
        <w:rPr>
          <w:sz w:val="20"/>
          <w:szCs w:val="20"/>
          <w:color w:val="auto"/>
        </w:rPr>
      </w:pPr>
      <w:r>
        <w:rPr>
          <w:rFonts w:ascii="Arial" w:cs="Arial" w:eastAsia="Arial" w:hAnsi="Arial"/>
          <w:sz w:val="16"/>
          <w:szCs w:val="16"/>
          <w:color w:val="auto"/>
        </w:rPr>
        <w:t>Effective January 1, 2018, the Company adopted a 401(k) plan for its employees. Under the terms of the plan, the Company contributes 3% of an employee’s annual base salary, up to a maximum of the annual Internal Revenue Service compensation limits, for all full-time employees.</w:t>
      </w:r>
    </w:p>
    <w:p>
      <w:pPr>
        <w:spacing w:after="0" w:line="16"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During the three months ended March 31, 2020 and 2019, the Company recognized less than $0.1 million and $0.1 million, respectively, of expense related to its contributions to the 401(k)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9. Australia Research and Development Tax Incentive</w:t>
      </w:r>
    </w:p>
    <w:p>
      <w:pPr>
        <w:spacing w:after="0" w:line="121" w:lineRule="exact"/>
        <w:rPr>
          <w:sz w:val="20"/>
          <w:szCs w:val="20"/>
          <w:color w:val="auto"/>
        </w:rPr>
      </w:pPr>
    </w:p>
    <w:p>
      <w:pPr>
        <w:ind w:right="80" w:firstLine="510"/>
        <w:spacing w:after="0" w:line="270" w:lineRule="auto"/>
        <w:rPr>
          <w:sz w:val="20"/>
          <w:szCs w:val="20"/>
          <w:color w:val="auto"/>
        </w:rPr>
      </w:pPr>
      <w:r>
        <w:rPr>
          <w:rFonts w:ascii="Arial" w:cs="Arial" w:eastAsia="Arial" w:hAnsi="Arial"/>
          <w:sz w:val="17"/>
          <w:szCs w:val="17"/>
          <w:color w:val="auto"/>
        </w:rPr>
        <w:t>The Company’s wholly owned subsidiary, Zafgen Australia Pty Limited, which conducts core research and development activities on behalf of the Company, is eligible to receive a 43.5% refundable tax incentive for qualified research and development activities. For the three months ended March 31, 2019, $0.1 million was recorded as a reduction to research and development expenses in the condensed consolidated statements of operations. This amount represented 43.5% of the Company’s qualified research and development spending in Australia. For the three months ended March 31, 2020, the Company did not have qualified research and development expenses. The refund is denominated in Australian dollars and, therefore, the related receivable is re-measured into U.S. dollars as of each reporting date. For the three months ended March 31, 2020 and 2019, the Company recorded in its condensed consolidated statements of operations unrealized foreign currency exchange losses of $0.2 million and gains of less than $0.1 million, respectively, related to this tax incentive receivable. As of March 31, 2020 and December 31, 2019, the Company’s tax incentive receivable from the Australian government was $0.2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Restructuring</w:t>
      </w:r>
    </w:p>
    <w:p>
      <w:pPr>
        <w:spacing w:after="0" w:line="121"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In September 2019, the Company’s Board of Directors approved a restructuring plan to reduce operating costs and better align the Company’s workforce with the needs of its business following the Company’s September 5, 2019 announcement regarding the low probability of resolving the clinical hold of ZGN-1061 in the near-term and that the Company will be seeking strategic alternatives.</w:t>
      </w:r>
    </w:p>
    <w:p>
      <w:pPr>
        <w:spacing w:after="0" w:line="76" w:lineRule="exact"/>
        <w:rPr>
          <w:sz w:val="20"/>
          <w:szCs w:val="20"/>
          <w:color w:val="auto"/>
        </w:rPr>
      </w:pPr>
    </w:p>
    <w:p>
      <w:pPr>
        <w:ind w:right="200" w:firstLine="510"/>
        <w:spacing w:after="0" w:line="273" w:lineRule="auto"/>
        <w:rPr>
          <w:sz w:val="20"/>
          <w:szCs w:val="20"/>
          <w:color w:val="auto"/>
        </w:rPr>
      </w:pPr>
      <w:r>
        <w:rPr>
          <w:rFonts w:ascii="Arial" w:cs="Arial" w:eastAsia="Arial" w:hAnsi="Arial"/>
          <w:sz w:val="17"/>
          <w:szCs w:val="17"/>
          <w:color w:val="auto"/>
        </w:rPr>
        <w:t>Under the restructuring plan and a previously announced July 2019 restructuring, the Company reduced its workforce by 20 employees and closed its office in San Diego, California. Affected employees are eligible to receive severance payments and outplacement services in connection with the reduction. In the three months ended March 31, 2020, the Company recorded aggregate restructuring charges of less than $0.1 million related to other employee-related costs. The Company does not expect to incur any additional significant costs associated with these restructurings. During the three months ended March 31, 2020, $1.7 million of the estimated restructuring charges were paid. The Company expects the remaining accrued restructuring costs of $1.0 million will be paid in the next 12 months.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shows the total amount expected to be incurred and the liability related to the 2019 restructuring as of March 31, 2020:</w:t>
      </w:r>
    </w:p>
    <w:p>
      <w:pPr>
        <w:spacing w:after="0" w:line="120"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One-Time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9"/>
        </w:trPr>
        <w:tc>
          <w:tcPr>
            <w:tcW w:w="4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Employee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Contract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Termination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Termination</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r>
      <w:tr>
        <w:trPr>
          <w:trHeight w:val="215"/>
        </w:trPr>
        <w:tc>
          <w:tcPr>
            <w:tcW w:w="4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Benefits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Expenses</w:t>
            </w:r>
          </w:p>
        </w:tc>
      </w:tr>
      <w:tr>
        <w:trPr>
          <w:trHeight w:val="223"/>
        </w:trPr>
        <w:tc>
          <w:tcPr>
            <w:tcW w:w="4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Accrued restructuring costs as of December 31, 2019</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2,706</w:t>
            </w:r>
          </w:p>
        </w:tc>
        <w:tc>
          <w:tcPr>
            <w:tcW w:w="14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2,709</w:t>
            </w:r>
          </w:p>
        </w:tc>
        <w:tc>
          <w:tcPr>
            <w:tcW w:w="80" w:type="dxa"/>
            <w:vAlign w:val="bottom"/>
            <w:shd w:val="clear" w:color="auto" w:fill="CFF0FC"/>
          </w:tcPr>
          <w:p>
            <w:pPr>
              <w:spacing w:after="0"/>
              <w:rPr>
                <w:sz w:val="19"/>
                <w:szCs w:val="19"/>
                <w:color w:val="auto"/>
              </w:rPr>
            </w:pPr>
          </w:p>
        </w:tc>
      </w:tr>
      <w:tr>
        <w:trPr>
          <w:trHeight w:val="230"/>
        </w:trPr>
        <w:tc>
          <w:tcPr>
            <w:tcW w:w="4340" w:type="dxa"/>
            <w:vAlign w:val="bottom"/>
          </w:tcPr>
          <w:p>
            <w:pPr>
              <w:ind w:left="240"/>
              <w:spacing w:after="0"/>
              <w:rPr>
                <w:sz w:val="20"/>
                <w:szCs w:val="20"/>
                <w:color w:val="auto"/>
              </w:rPr>
            </w:pPr>
            <w:r>
              <w:rPr>
                <w:rFonts w:ascii="Arial" w:cs="Arial" w:eastAsia="Arial" w:hAnsi="Arial"/>
                <w:sz w:val="18"/>
                <w:szCs w:val="18"/>
                <w:color w:val="auto"/>
              </w:rPr>
              <w:t>Restructuring charges incurred during the period</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r>
      <w:tr>
        <w:trPr>
          <w:trHeight w:val="230"/>
        </w:trPr>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Amounts paid during the period</w:t>
            </w: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(1,735)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(1,738)</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Accrued restructuring costs as of March 31, 2020</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8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restructuring charges by category for the period ending March 31, 2020:</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Three Months Ended March 31, 2020</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b w:val="1"/>
                <w:bCs w:val="1"/>
                <w:color w:val="auto"/>
              </w:rPr>
              <w:t>Cash</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Non-Cash</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6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8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160" w:type="dxa"/>
            <w:vAlign w:val="bottom"/>
            <w:tcBorders>
              <w:top w:val="single" w:sz="8" w:color="CFF0FC"/>
              <w:bottom w:val="single" w:sz="8" w:color="CFF0FC"/>
            </w:tcBorders>
            <w:shd w:val="clear" w:color="auto" w:fill="CFF0FC"/>
          </w:tcPr>
          <w:p>
            <w:pPr>
              <w:spacing w:after="0"/>
              <w:rPr>
                <w:sz w:val="19"/>
                <w:szCs w:val="19"/>
                <w:color w:val="auto"/>
              </w:rPr>
            </w:pPr>
          </w:p>
        </w:tc>
        <w:tc>
          <w:tcPr>
            <w:tcW w:w="16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ind w:left="88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40" w:type="dxa"/>
            <w:vAlign w:val="bottom"/>
            <w:vMerge w:val="restart"/>
          </w:tcPr>
          <w:p>
            <w:pPr>
              <w:jc w:val="right"/>
              <w:ind w:right="130"/>
              <w:spacing w:after="0"/>
              <w:rPr>
                <w:sz w:val="20"/>
                <w:szCs w:val="20"/>
                <w:color w:val="auto"/>
              </w:rPr>
            </w:pPr>
            <w:r>
              <w:rPr>
                <w:rFonts w:ascii="Arial" w:cs="Arial" w:eastAsia="Arial" w:hAnsi="Arial"/>
                <w:sz w:val="18"/>
                <w:szCs w:val="18"/>
                <w:color w:val="auto"/>
              </w:rPr>
              <w:t>15</w:t>
            </w: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16" w:name="page17"/>
    <w:bookmarkEnd w:id="16"/>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or Quarterly Report, and the audited consolidated financial statements and notes thereto and management’s discussion and analysis of financial condition and results of operations for the year ended December 31, 2019 included in our Annual Report on Form 10-K for the year ended December 31, 2019, or Annual Report.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this Quarterly Report and in our Annual Report, our actual results could differ materially from the results described, in or implied, by these forward-looking statements.</w:t>
      </w:r>
    </w:p>
    <w:p>
      <w:pPr>
        <w:spacing w:after="0" w:line="178"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In addition, even if our results of operations, financial condition and liquidity, and the development of the industry in which we operate are consistent with the forward-looking statements contained in this Quarterly Report, they may not be predictive of results or developments in future periods.</w:t>
      </w:r>
    </w:p>
    <w:p>
      <w:pPr>
        <w:spacing w:after="0" w:line="19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i w:val="1"/>
          <w:iCs w:val="1"/>
          <w:color w:val="auto"/>
        </w:rPr>
        <w:t>The following information and any forward-looking statements should be considered in light of factors discussed elsewhere in this Quarterly Report, including those risks identified under the “Risk Factors” section and in our Annual Report.</w:t>
      </w:r>
    </w:p>
    <w:p>
      <w:pPr>
        <w:spacing w:after="0" w:line="170"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i w:val="1"/>
          <w:iCs w:val="1"/>
          <w:color w:val="auto"/>
        </w:rPr>
        <w:t>We caution readers not to place undue reliance on any forward-looking statements made by us,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We are a biopharmaceutical company that has leveraged our proprietary methionine aminopeptidase 2, or MetAP2, biology platform to pioneer the study of MetAP2 inhibitors in both common and rare metabolic disorders.</w:t>
      </w:r>
    </w:p>
    <w:p>
      <w:pPr>
        <w:spacing w:after="0" w:line="6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Following an extensive process of evaluating strategic alternatives for us and identifying and reviewing potential candidates for a strategic acquisition or other transaction, on December 17, 2019, we entered into an Agreement and Plan of Merger, or the Merger Agreement, with Chondrial Therapeutics, Inc., or Chondrial, pursuant to which a wholly owned subsidiary of Zafgen will merge with and into Chondrial, with Chondrial continuing as the surviving corporation and a wholly owned subsidiary of Zafgen and the combined publicly traded, clinical-stage biopharmaceutical company will operate under a new name, Larimar Therapeutics, Inc., or the merger. Under the exchange ratio formula in the Merger Agreement, as of immediately after the merger, the former Chondrial securityholders are expected to own approximately 60% of the outstanding shares of our common stock on a fully-diluted basis and our stockholders as of immediately prior to the merger are expected to own approximately 40% of the outstanding shares of our common stock on a fully-diluted basis. The relative percentage ownership of the combined company was derived using a stipulated value of Chondrial of approximately $67.5 million and of Zafgen of approximately $45.0 million. Our valuation was determined based on a projected net cash, cash equivalents and marketable securities balance minus outstanding liabilities, as defined in the Merger Agreement, of $40.0 million as of a determination date prior to the closing of the merger, but subject to adjustment as described below, plus an additional $5.0 million of enterprise value. If our actual net cash is between $39.5 million and $40.5 million, no adjustment will be made to the ownership percentages based on our net cash. The Company’s target net cash, lower target net cash and upper target net cash amounts will be reduced by $21,311 per day beginning on March 31, 2020 through the closing date of the merger, and the Chondrial valuation will be increased by $111,656 per day beginning on March 31, 2020 through the closing date of the merger, resulting in a corresponding adjustment to the exchange ratio and an increase to the ownership percentage of Chondrial’s stockholder in the combined company.</w:t>
      </w:r>
    </w:p>
    <w:p>
      <w:pPr>
        <w:spacing w:after="0" w:line="59"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Merger Agreement provides each of us and Chondrial with specified termination rights, and further provides that, upon termination of the Merger Agreement under specified circumstances, either party may be required to pay the other party a termination fee of $3,375,000. In addition, in connection with certain terminations of the Merger Agreement, either party may be required to pay the other party’s third party expenses up to $350,000. In connection with the merger, we will seek to amend our certificate of incorporation to: (i) effect a reverse split of our common stock at a ratio to be determined by us and Chondrial, which is intended to ensure that the listing requirements of the Nasdaq Global Market are satisfied and (ii) change the name of Zafgen to “Larimar Therapeutics, Inc.”</w:t>
      </w:r>
    </w:p>
    <w:p>
      <w:pPr>
        <w:spacing w:after="0" w:line="84"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Our and Chondrial’s obligations to consummate the merger are subject to the satisfaction or waiver of customary closing conditions, including, among others, obtaining the requisite approvals of our stockholders and satisfaction of minimum net cash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line="296" w:lineRule="auto"/>
        <w:rPr>
          <w:sz w:val="20"/>
          <w:szCs w:val="20"/>
          <w:color w:val="auto"/>
        </w:rPr>
      </w:pPr>
      <w:r>
        <w:rPr>
          <w:rFonts w:ascii="Arial" w:cs="Arial" w:eastAsia="Arial" w:hAnsi="Arial"/>
          <w:sz w:val="16"/>
          <w:szCs w:val="16"/>
          <w:color w:val="auto"/>
        </w:rPr>
        <w:t>thresholds of $30,000,000 by us and not less than zero by Chondrial. The sole stockholder of Chondrial has approved the Merger Agreement. In connection with the execution of the Merger Agreement, we entered into stockholder support agreements with our current directors and certain officers and our largest stockholder, which collectively beneficially own or control an aggregate of approximately 9.7% of our outstanding shares of common stock. Each of the stockholders party to such stockholder support agreements has agreed to vote or cause to be voted, all of the shares of our common stock beneficially owned by such stockholder in favor of the stockholder proposals submitted at our stockholders meeting to be held in connection with the merger.</w:t>
      </w:r>
    </w:p>
    <w:p>
      <w:pPr>
        <w:spacing w:after="0" w:line="53"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expect to devote significant time and resources to completion of this proposed transaction, which we refer to as the Merger. However, there can be no assurance that such activities will result in the completion of the Merger. Further, the completion of the Merger ultimately may not deliver the anticipated benefits or enhance shareholder value.</w:t>
      </w:r>
    </w:p>
    <w:p>
      <w:pPr>
        <w:spacing w:after="0" w:line="76"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We have incurred losses and negative cash flows from operations since our inception. As of March 31, 2020, we had an accumulated deficit of $399.9 million. From our inception through March 31, 2020, we have received net proceeds of $397.9 million from the sales of redeemable convertible preferred stock, the issuance of convertible promissory notes, the proceeds from our initial public offering, or IPO, in June 2014 and our follow-on offerings in January 2015 and July 2018. On July 2, 2018, we completed a public offering of its common stock, which resulted in the sale of 9,200,000 shares at a price of $7.50 per share, resulting in net proceeds of approximately $64.6 million after deducting underwriting discounts and commissions, as well as offering costs. We have a term loan with an aggregate principal balance of $12.7 million as of December 31, 2019. The loan agreement requires us to maintain certain minimum liquidity at all times, which as of March 31, 2020, was approximately $13.4 million. If the minimum liquidity covenant is not met, we may be required to repay the loan prior to scheduled maturity dates. The Term Loan also includes events of default, the occurrence and continuation of any of which provides the lenders the right to exercise remedies against us and the collateral securing the amounts due under the Term Loan. These events of default include, among other things, failure to pay any amounts due under the Term Loan, insolvency, the occurrence of a material adverse event, the occurrence of any default under certain other indebtedness and a final judgment against us in an amount greater than $0.3 million. We have estimated that the risk of subjective acceleration under the material adverse events clause is reasonably possible, however not probable and therefore have classified the outstanding principal in current and long-term liabilities based on contractually scheduled principal payments. However, the assessment of such probability of the debt holder calling the debt is subjective and their actions and/or our related assessment could change in the future, which in turn would impact the classification of the debt balances.</w:t>
      </w:r>
    </w:p>
    <w:p>
      <w:pPr>
        <w:spacing w:after="0" w:line="74"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Based on our current operating plans, we believe our cash, cash equivalents and marketable debt securities of $63.9 million as of March 31, 2020 will be sufficient to fund our anticipated level of operations, capital expenditures and satisfy debt repayments for a period of at least 12 months from the issuance date of this Quarterly Report. Until such time, if ever, we can generate substantial product revenue, we expect to finance our cash needs through a combination of equity offerings, debt financings, collaborations, strategic alliances, licensing arrangements and other sources of funding. We expect to generate operating losses for the foreseeable future. If we are unable to raise additional funds through equity or debt financings, we may be required to delay, limit, reduce or terminate product development or future commercialization efforts or grant rights to develop and market products or product candidates that we would otherwise prefer to develop and market itself.</w:t>
      </w:r>
    </w:p>
    <w:p>
      <w:pPr>
        <w:spacing w:after="0" w:line="69"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We expect that our existing cash, cash equivalents and marketable debt securities as of March 31, 2020 will enable us to fund our operating expenses, capital expenditure requirements and minimum liquidity requirements associated with our debt facility for a period of at least one year from the issuance date of this Quarterly Report. See “—Liquidity and Capital Resources.”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We have not generated any revenue from product sales since our inception, and do not expect to generate any revenue from the sale of products in the near future. If our development efforts result in clinical success and regulatory approval or collaboration agreements with third parties for our product candidates, we may generate revenue from those product candidates or collaborations.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880" w:firstLine="510"/>
        <w:spacing w:after="0" w:line="277" w:lineRule="auto"/>
        <w:rPr>
          <w:sz w:val="20"/>
          <w:szCs w:val="20"/>
          <w:color w:val="auto"/>
        </w:rPr>
      </w:pPr>
      <w:r>
        <w:rPr>
          <w:rFonts w:ascii="Arial" w:cs="Arial" w:eastAsia="Arial" w:hAnsi="Arial"/>
          <w:sz w:val="18"/>
          <w:szCs w:val="18"/>
          <w:color w:val="auto"/>
        </w:rPr>
        <w:t>The majority of our operating expenses since inception have consisted primarily of research and development activities, and general and administrative costs.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Research and development expenses previously consisted of costs associated with our product research and development efforts, which are expensed as incurred. Research and development expenses consisted primarily of:</w:t>
      </w:r>
    </w:p>
    <w:p>
      <w:pPr>
        <w:spacing w:after="0" w:line="62" w:lineRule="exact"/>
        <w:rPr>
          <w:sz w:val="20"/>
          <w:szCs w:val="20"/>
          <w:color w:val="auto"/>
        </w:rPr>
      </w:pPr>
    </w:p>
    <w:p>
      <w:pPr>
        <w:ind w:left="1000" w:right="760" w:hanging="35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8" w:name="page19"/>
    <w:bookmarkEnd w:id="18"/>
    <w:p>
      <w:pPr>
        <w:ind w:left="1000" w:hanging="35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nonclinical studies and clinical trial activities;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external costs of outside consultants;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payments made under our third-party licensing agreements;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sponsored research agreements;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225" w:lineRule="exact"/>
        <w:rPr>
          <w:sz w:val="20"/>
          <w:szCs w:val="20"/>
          <w:color w:val="auto"/>
        </w:rPr>
      </w:pPr>
    </w:p>
    <w:p>
      <w:pPr>
        <w:ind w:right="140" w:firstLine="644"/>
        <w:spacing w:after="0" w:line="263" w:lineRule="auto"/>
        <w:rPr>
          <w:sz w:val="20"/>
          <w:szCs w:val="20"/>
          <w:color w:val="auto"/>
        </w:rPr>
      </w:pPr>
      <w:r>
        <w:rPr>
          <w:rFonts w:ascii="Arial" w:cs="Arial" w:eastAsia="Arial" w:hAnsi="Arial"/>
          <w:sz w:val="18"/>
          <w:szCs w:val="18"/>
          <w:color w:val="auto"/>
        </w:rPr>
        <w:t xml:space="preserve">Based on the preliminary results from the ZGN-1061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study, we announced that we believe there is a low probability of resolving the clinical hold on ZGN-1061 in the near-term. Subsequently, all further development activities of MetAP2 inhibitors were halted and we withdrew the IND for ZGN-1061 in September 2019.</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General and administrative expenses consist primarily of personnel costs, consisting of salaries, related benefits and stock-based compensation, of our executive, finance, business and corporate development, merger related costs and other administrative functions. General and administrative expenses also include travel expenses, allocated facility-related costs not otherwise included in research and development expenses, insurance expenses, and professional fees for auditing, tax and legal services, including legal expenses to pursue patent protection of our intellectual property.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consists of interest earned on our cash equivalents and marketable debt securities. Our interest income has not been</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due to low interest earned on invested balances. Our interest income increased following the July 2, 2018 public offering of our common stock and we anticipate that it will subsequently decrease as we continue to incur operating losses.</w:t>
      </w:r>
    </w:p>
    <w:p>
      <w:pPr>
        <w:spacing w:after="0" w:line="184"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during the three months ended March 31, 2020 and 2019 relates to the loan and security agreement with Silicon</w:t>
      </w:r>
      <w:r>
        <w:rPr>
          <w:rFonts w:ascii="Arial" w:cs="Arial" w:eastAsia="Arial" w:hAnsi="Arial"/>
          <w:sz w:val="18"/>
          <w:szCs w:val="18"/>
          <w:i w:val="1"/>
          <w:iCs w:val="1"/>
          <w:color w:val="auto"/>
        </w:rPr>
        <w:t xml:space="preserve"> </w:t>
      </w:r>
      <w:r>
        <w:rPr>
          <w:rFonts w:ascii="Arial" w:cs="Arial" w:eastAsia="Arial" w:hAnsi="Arial"/>
          <w:sz w:val="18"/>
          <w:szCs w:val="18"/>
          <w:color w:val="auto"/>
        </w:rPr>
        <w:t>Valley Bank, or the Term Loan, of $20.0 million, which closed on December 29, 2017. It bears a variable interest at an annual rate of 1.25% above the prime rate, as well as a final payment equal to 8.0% of the Term Loan, which is being recorded as interest expense over the term through the maturity date using the effective-interest method.</w:t>
      </w:r>
    </w:p>
    <w:p>
      <w:pPr>
        <w:spacing w:after="0" w:line="187"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During the three months ended March 31, 2020, other income consisted of the sale of raw materials that were utilized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of our former lead product candidates and the resolution of a dispute with a former third-party vendor.</w:t>
      </w:r>
    </w:p>
    <w:p>
      <w:pPr>
        <w:spacing w:after="0" w:line="170" w:lineRule="exact"/>
        <w:rPr>
          <w:sz w:val="20"/>
          <w:szCs w:val="20"/>
          <w:color w:val="auto"/>
        </w:rPr>
      </w:pPr>
    </w:p>
    <w:p>
      <w:pPr>
        <w:jc w:val="both"/>
        <w:ind w:right="120" w:firstLine="510"/>
        <w:spacing w:after="0" w:line="301" w:lineRule="auto"/>
        <w:rPr>
          <w:sz w:val="20"/>
          <w:szCs w:val="20"/>
          <w:color w:val="auto"/>
        </w:rPr>
      </w:pPr>
      <w:r>
        <w:rPr>
          <w:rFonts w:ascii="Arial" w:cs="Arial" w:eastAsia="Arial" w:hAnsi="Arial"/>
          <w:sz w:val="16"/>
          <w:szCs w:val="16"/>
          <w:i w:val="1"/>
          <w:iCs w:val="1"/>
          <w:color w:val="auto"/>
        </w:rPr>
        <w:t xml:space="preserve">Foreign currency (losses) gains, net. </w:t>
      </w:r>
      <w:r>
        <w:rPr>
          <w:rFonts w:ascii="Arial" w:cs="Arial" w:eastAsia="Arial" w:hAnsi="Arial"/>
          <w:sz w:val="16"/>
          <w:szCs w:val="16"/>
          <w:color w:val="auto"/>
        </w:rPr>
        <w:t>Foreign currency transaction (losses) gains, net consists of the realized and unrealized gains and losses from</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currency-denominated cash balances, vendor payables and tax-related receivables from the Australian government. We currently do not engage in hedging activities related to our foreign currency-denominated receivables and payables; as such, we cannot predict the impact of future foreign currency transaction gains and losses on our operating results. See “—Quantitative and Qualitative Disclosures about Market Risk.”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Since our inception in 2005, we have not recorded any U.S. federal or state income tax benefits for the net losses we have incurred in each year or our earned tax credits, due to our uncertainty of realizing a benefit from those items. As of December 31, 2019, we had net operating loss carryforwards that expire for federal and state income tax purposes of $55.7 million and $57.0 million, respectively, which begin to expire in 2026 and 2030, respectively. As of December 31, 2019, we had net operating loss carryforwards that were generated after December 31, 2017, of $21.2 million that do not expire. As of December 31, 2019, we also had available tax credit carryforwards for federal and state income tax purposes of $17.9 million and $4.2 million, respectively, which begin to expire in 2026 and 2022, respectively.</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2020 and 2019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2020 and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60" w:type="dxa"/>
            <w:vAlign w:val="bottom"/>
            <w:gridSpan w:val="10"/>
          </w:tcPr>
          <w:p>
            <w:pPr>
              <w:jc w:val="center"/>
              <w:ind w:right="360"/>
              <w:spacing w:after="0"/>
              <w:rPr>
                <w:sz w:val="20"/>
                <w:szCs w:val="20"/>
                <w:color w:val="auto"/>
              </w:rPr>
            </w:pPr>
            <w:r>
              <w:rPr>
                <w:rFonts w:ascii="Arial" w:cs="Arial" w:eastAsia="Arial" w:hAnsi="Arial"/>
                <w:sz w:val="14"/>
                <w:szCs w:val="14"/>
                <w:b w:val="1"/>
                <w:bCs w:val="1"/>
                <w:color w:val="auto"/>
                <w:w w:val="95"/>
              </w:rPr>
              <w:t>Three Months Ended March 31,</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13"/>
              <w:spacing w:after="0" w:line="147"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3"/>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(Decrease)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Revenue</w:t>
            </w:r>
          </w:p>
        </w:tc>
        <w:tc>
          <w:tcPr>
            <w:tcW w:w="1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4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9,631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(9,725)</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General and administrative</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40" w:type="dxa"/>
            <w:vAlign w:val="bottom"/>
          </w:tcPr>
          <w:p>
            <w:pPr>
              <w:ind w:left="480"/>
              <w:spacing w:after="0"/>
              <w:rPr>
                <w:sz w:val="20"/>
                <w:szCs w:val="20"/>
                <w:color w:val="auto"/>
              </w:rPr>
            </w:pPr>
            <w:r>
              <w:rPr>
                <w:rFonts w:ascii="Arial" w:cs="Arial" w:eastAsia="Arial" w:hAnsi="Arial"/>
                <w:sz w:val="18"/>
                <w:szCs w:val="18"/>
                <w:color w:val="auto"/>
              </w:rPr>
              <w:t>Restructuring charges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ind w:left="86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3,563</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13,277</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(9,714)</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ind w:left="1140"/>
              <w:spacing w:after="0"/>
              <w:rPr>
                <w:sz w:val="20"/>
                <w:szCs w:val="20"/>
                <w:color w:val="auto"/>
              </w:rPr>
            </w:pPr>
            <w:r>
              <w:rPr>
                <w:rFonts w:ascii="Arial" w:cs="Arial" w:eastAsia="Arial" w:hAnsi="Arial"/>
                <w:sz w:val="18"/>
                <w:szCs w:val="18"/>
                <w:color w:val="auto"/>
              </w:rPr>
              <w:t>Loss from operations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(3,563)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(13,277)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9,714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40" w:type="dxa"/>
            <w:vAlign w:val="bottom"/>
          </w:tcPr>
          <w:p>
            <w:pPr>
              <w:ind w:left="480"/>
              <w:spacing w:after="0"/>
              <w:rPr>
                <w:sz w:val="20"/>
                <w:szCs w:val="20"/>
                <w:color w:val="auto"/>
              </w:rPr>
            </w:pPr>
            <w:r>
              <w:rPr>
                <w:rFonts w:ascii="Arial" w:cs="Arial" w:eastAsia="Arial" w:hAnsi="Arial"/>
                <w:sz w:val="18"/>
                <w:szCs w:val="18"/>
                <w:color w:val="auto"/>
              </w:rPr>
              <w:t>Interest income</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(384)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expense</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(301)</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140" w:type="dxa"/>
            <w:vAlign w:val="bottom"/>
          </w:tcPr>
          <w:p>
            <w:pPr>
              <w:ind w:left="480"/>
              <w:spacing w:after="0"/>
              <w:rPr>
                <w:sz w:val="20"/>
                <w:szCs w:val="20"/>
                <w:color w:val="auto"/>
              </w:rPr>
            </w:pPr>
            <w:r>
              <w:rPr>
                <w:rFonts w:ascii="Arial" w:cs="Arial" w:eastAsia="Arial" w:hAnsi="Arial"/>
                <w:sz w:val="18"/>
                <w:szCs w:val="18"/>
                <w:color w:val="auto"/>
              </w:rPr>
              <w:t>Other income</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4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5"/>
              </w:rPr>
              <w:t>Foreign currency transaction (losses) gains, net</w:t>
            </w: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40" w:type="dxa"/>
            <w:vAlign w:val="bottom"/>
            <w:tcBorders>
              <w:bottom w:val="single" w:sz="8" w:color="CFF0FC"/>
            </w:tcBorders>
          </w:tcPr>
          <w:p>
            <w:pPr>
              <w:ind w:left="860"/>
              <w:spacing w:after="0"/>
              <w:rPr>
                <w:sz w:val="20"/>
                <w:szCs w:val="20"/>
                <w:color w:val="auto"/>
              </w:rPr>
            </w:pPr>
            <w:r>
              <w:rPr>
                <w:rFonts w:ascii="Arial" w:cs="Arial" w:eastAsia="Arial" w:hAnsi="Arial"/>
                <w:sz w:val="18"/>
                <w:szCs w:val="18"/>
                <w:color w:val="auto"/>
              </w:rPr>
              <w:t>Total other (expense) income, net</w:t>
            </w:r>
          </w:p>
        </w:tc>
        <w:tc>
          <w:tcPr>
            <w:tcW w:w="116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(3,598)</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(13,112)</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9,514</w:t>
            </w:r>
          </w:p>
        </w:tc>
        <w:tc>
          <w:tcPr>
            <w:tcW w:w="10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60" w:type="dxa"/>
            <w:vAlign w:val="bottom"/>
            <w:vMerge w:val="restart"/>
          </w:tcPr>
          <w:p>
            <w:pPr>
              <w:jc w:val="right"/>
              <w:ind w:right="630"/>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0" w:type="dxa"/>
            <w:vAlign w:val="bottom"/>
            <w:gridSpan w:val="9"/>
          </w:tcPr>
          <w:p>
            <w:pPr>
              <w:jc w:val="center"/>
              <w:ind w:right="820"/>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46"/>
        </w:trPr>
        <w:tc>
          <w:tcPr>
            <w:tcW w:w="4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14"/>
              <w:spacing w:after="0" w:line="147"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2"/>
                <w:szCs w:val="12"/>
                <w:color w:val="auto"/>
              </w:rPr>
            </w:pPr>
          </w:p>
        </w:tc>
      </w:tr>
      <w:tr>
        <w:trPr>
          <w:trHeight w:val="171"/>
        </w:trPr>
        <w:tc>
          <w:tcPr>
            <w:tcW w:w="464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34"/>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(Decrease)</w:t>
            </w:r>
          </w:p>
        </w:tc>
      </w:tr>
      <w:tr>
        <w:trPr>
          <w:trHeight w:val="156"/>
        </w:trPr>
        <w:tc>
          <w:tcPr>
            <w:tcW w:w="4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1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Direct research and development expenses by program:</w:t>
            </w:r>
          </w:p>
        </w:tc>
        <w:tc>
          <w:tcPr>
            <w:tcW w:w="6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640" w:type="dxa"/>
            <w:vAlign w:val="bottom"/>
          </w:tcPr>
          <w:p>
            <w:pPr>
              <w:ind w:left="360"/>
              <w:spacing w:after="0"/>
              <w:rPr>
                <w:sz w:val="20"/>
                <w:szCs w:val="20"/>
                <w:color w:val="auto"/>
              </w:rPr>
            </w:pPr>
            <w:r>
              <w:rPr>
                <w:rFonts w:ascii="Arial" w:cs="Arial" w:eastAsia="Arial" w:hAnsi="Arial"/>
                <w:sz w:val="18"/>
                <w:szCs w:val="18"/>
                <w:color w:val="auto"/>
              </w:rPr>
              <w:t>MetAP2 inhibitors</w:t>
            </w:r>
          </w:p>
        </w:tc>
        <w:tc>
          <w:tcPr>
            <w:tcW w:w="1340" w:type="dxa"/>
            <w:vAlign w:val="bottom"/>
            <w:gridSpan w:val="2"/>
          </w:tcPr>
          <w:p>
            <w:pPr>
              <w:jc w:val="right"/>
              <w:ind w:right="527"/>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4,990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(4,990)</w:t>
            </w:r>
          </w:p>
        </w:tc>
      </w:t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Unallocated expenses:</w:t>
            </w:r>
          </w:p>
        </w:tc>
        <w:tc>
          <w:tcPr>
            <w:tcW w:w="6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640" w:type="dxa"/>
            <w:vAlign w:val="bottom"/>
          </w:tcPr>
          <w:p>
            <w:pPr>
              <w:ind w:left="360"/>
              <w:spacing w:after="0"/>
              <w:rPr>
                <w:sz w:val="20"/>
                <w:szCs w:val="20"/>
                <w:color w:val="auto"/>
              </w:rPr>
            </w:pPr>
            <w:r>
              <w:rPr>
                <w:rFonts w:ascii="Arial" w:cs="Arial" w:eastAsia="Arial" w:hAnsi="Arial"/>
                <w:sz w:val="18"/>
                <w:szCs w:val="18"/>
                <w:color w:val="auto"/>
              </w:rPr>
              <w:t>Personnel related</w:t>
            </w: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(2,446)</w:t>
            </w:r>
          </w:p>
        </w:tc>
      </w:tr>
      <w:tr>
        <w:trPr>
          <w:trHeight w:val="230"/>
        </w:trPr>
        <w:tc>
          <w:tcPr>
            <w:tcW w:w="46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Non-cash stock-based compensation</w:t>
            </w:r>
          </w:p>
        </w:tc>
        <w:tc>
          <w:tcPr>
            <w:tcW w:w="6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9"/>
              </w:rPr>
              <w:t>(144)</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(1,103)</w:t>
            </w:r>
          </w:p>
        </w:tc>
      </w:tr>
      <w:tr>
        <w:trPr>
          <w:trHeight w:val="229"/>
        </w:trPr>
        <w:tc>
          <w:tcPr>
            <w:tcW w:w="4640" w:type="dxa"/>
            <w:vAlign w:val="bottom"/>
          </w:tcPr>
          <w:p>
            <w:pPr>
              <w:ind w:left="360"/>
              <w:spacing w:after="0"/>
              <w:rPr>
                <w:sz w:val="20"/>
                <w:szCs w:val="20"/>
                <w:color w:val="auto"/>
              </w:rPr>
            </w:pPr>
            <w:r>
              <w:rPr>
                <w:rFonts w:ascii="Arial" w:cs="Arial" w:eastAsia="Arial" w:hAnsi="Arial"/>
                <w:sz w:val="18"/>
                <w:szCs w:val="18"/>
                <w:color w:val="auto"/>
              </w:rPr>
              <w:t>Consultants</w:t>
            </w: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(691)</w:t>
            </w:r>
          </w:p>
        </w:tc>
      </w:tr>
      <w:tr>
        <w:trPr>
          <w:trHeight w:val="230"/>
        </w:trPr>
        <w:tc>
          <w:tcPr>
            <w:tcW w:w="46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(495)</w:t>
            </w:r>
          </w:p>
        </w:tc>
      </w:tr>
      <w:tr>
        <w:trPr>
          <w:trHeight w:val="223"/>
        </w:trPr>
        <w:tc>
          <w:tcPr>
            <w:tcW w:w="4640" w:type="dxa"/>
            <w:vAlign w:val="bottom"/>
            <w:tcBorders>
              <w:bottom w:val="single" w:sz="8" w:color="CFF0FC"/>
            </w:tcBorders>
          </w:tcPr>
          <w:p>
            <w:pPr>
              <w:ind w:left="860"/>
              <w:spacing w:after="0"/>
              <w:rPr>
                <w:sz w:val="20"/>
                <w:szCs w:val="20"/>
                <w:color w:val="auto"/>
              </w:rPr>
            </w:pPr>
            <w:r>
              <w:rPr>
                <w:rFonts w:ascii="Arial" w:cs="Arial" w:eastAsia="Arial" w:hAnsi="Arial"/>
                <w:sz w:val="18"/>
                <w:szCs w:val="18"/>
                <w:color w:val="auto"/>
              </w:rPr>
              <w:t>Subtotal</w:t>
            </w:r>
          </w:p>
        </w:tc>
        <w:tc>
          <w:tcPr>
            <w:tcW w:w="660" w:type="dxa"/>
            <w:vAlign w:val="bottom"/>
            <w:tcBorders>
              <w:bottom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4,641</w:t>
            </w:r>
          </w:p>
        </w:tc>
        <w:tc>
          <w:tcPr>
            <w:tcW w:w="1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(4,735)</w:t>
            </w:r>
          </w:p>
        </w:tc>
        <w:tc>
          <w:tcPr>
            <w:tcW w:w="100" w:type="dxa"/>
            <w:vAlign w:val="bottom"/>
            <w:tcBorders>
              <w:bottom w:val="single" w:sz="8" w:color="CFF0FC"/>
            </w:tcBorders>
          </w:tcPr>
          <w:p>
            <w:pPr>
              <w:spacing w:after="0"/>
              <w:rPr>
                <w:sz w:val="19"/>
                <w:szCs w:val="19"/>
                <w:color w:val="auto"/>
              </w:rPr>
            </w:pPr>
          </w:p>
        </w:tc>
      </w:tr>
      <w:tr>
        <w:trPr>
          <w:trHeight w:val="223"/>
        </w:trPr>
        <w:tc>
          <w:tcPr>
            <w:tcW w:w="4640" w:type="dxa"/>
            <w:vAlign w:val="bottom"/>
            <w:tcBorders>
              <w:bottom w:val="single" w:sz="8" w:color="CFF0FC"/>
            </w:tcBorders>
            <w:shd w:val="clear" w:color="auto" w:fill="CFF0FC"/>
          </w:tcPr>
          <w:p>
            <w:pPr>
              <w:ind w:left="860"/>
              <w:spacing w:after="0"/>
              <w:rPr>
                <w:sz w:val="20"/>
                <w:szCs w:val="20"/>
                <w:color w:val="auto"/>
              </w:rPr>
            </w:pPr>
            <w:r>
              <w:rPr>
                <w:rFonts w:ascii="Arial" w:cs="Arial" w:eastAsia="Arial" w:hAnsi="Arial"/>
                <w:sz w:val="18"/>
                <w:szCs w:val="18"/>
                <w:color w:val="auto"/>
              </w:rPr>
              <w:t>Total research and development expenses</w:t>
            </w:r>
          </w:p>
        </w:tc>
        <w:tc>
          <w:tcPr>
            <w:tcW w:w="66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9,631</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10"/>
        <w:spacing w:after="0" w:line="270" w:lineRule="auto"/>
        <w:rPr>
          <w:sz w:val="20"/>
          <w:szCs w:val="20"/>
          <w:color w:val="auto"/>
        </w:rPr>
      </w:pPr>
      <w:r>
        <w:rPr>
          <w:rFonts w:ascii="Arial" w:cs="Arial" w:eastAsia="Arial" w:hAnsi="Arial"/>
          <w:sz w:val="17"/>
          <w:szCs w:val="17"/>
          <w:color w:val="auto"/>
        </w:rPr>
        <w:t>Research and development expenses for the three months ended March 31, 2020 decreased $9.7 million compared to the three months ended March 31, 2019. The decrease was primarily due to decreased costs of $5.0 million associated with discontinuation of our MetAP2 program as well as a decrease in our unallocated expenses of $4.7 million. The decrease in unallocated expenses was primarily due to a $2.4 million decrease in personnel related costs and a $1.1 million decrease in non-cash stock-based compensation costs due to the reduction in force in the second half of 2019 and the departure of our last research and development employee during the three months ended March 31, 2020. In addition, unallocated expenses decreased due to a $0.7 million decrease in consultants and $0.5 million decrease in other costs, which was the result of the discontinuation of our MetAP2 program in September 2019. There was negative research and development expenses for the three months ended March 31, 2020 primarily as a result of negative stock-compensation expenses related to the reversal of stock compensation expense associated with the termination of our final research and development employee in the first quarter of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6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46"/>
        </w:trPr>
        <w:tc>
          <w:tcPr>
            <w:tcW w:w="4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95"/>
              <w:spacing w:after="0" w:line="147" w:lineRule="exact"/>
              <w:rPr>
                <w:sz w:val="20"/>
                <w:szCs w:val="20"/>
                <w:color w:val="auto"/>
              </w:rPr>
            </w:pPr>
            <w:r>
              <w:rPr>
                <w:rFonts w:ascii="Arial" w:cs="Arial" w:eastAsia="Arial" w:hAnsi="Arial"/>
                <w:sz w:val="14"/>
                <w:szCs w:val="14"/>
                <w:b w:val="1"/>
                <w:bCs w:val="1"/>
                <w:color w:val="auto"/>
              </w:rPr>
              <w:t>Increase</w:t>
            </w:r>
          </w:p>
        </w:tc>
        <w:tc>
          <w:tcPr>
            <w:tcW w:w="80" w:type="dxa"/>
            <w:vAlign w:val="bottom"/>
          </w:tcPr>
          <w:p>
            <w:pPr>
              <w:spacing w:after="0"/>
              <w:rPr>
                <w:sz w:val="12"/>
                <w:szCs w:val="12"/>
                <w:color w:val="auto"/>
              </w:rPr>
            </w:pPr>
          </w:p>
        </w:tc>
      </w:tr>
      <w:tr>
        <w:trPr>
          <w:trHeight w:val="171"/>
        </w:trPr>
        <w:tc>
          <w:tcPr>
            <w:tcW w:w="4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(Decrease)</w:t>
            </w:r>
          </w:p>
        </w:tc>
      </w:tr>
      <w:tr>
        <w:trPr>
          <w:trHeight w:val="155"/>
        </w:trPr>
        <w:tc>
          <w:tcPr>
            <w:tcW w:w="4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1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Personnel related</w:t>
            </w:r>
          </w:p>
        </w:tc>
        <w:tc>
          <w:tcPr>
            <w:tcW w:w="11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(204)</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r>
      <w:tr>
        <w:trPr>
          <w:trHeight w:val="23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FF0FC"/>
          </w:tcPr>
          <w:p>
            <w:pPr>
              <w:spacing w:after="0"/>
              <w:rPr>
                <w:sz w:val="19"/>
                <w:szCs w:val="19"/>
                <w:color w:val="auto"/>
              </w:rPr>
            </w:pPr>
          </w:p>
        </w:tc>
      </w:tr>
      <w:tr>
        <w:trPr>
          <w:trHeight w:val="229"/>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80" w:type="dxa"/>
            <w:vAlign w:val="bottom"/>
            <w:tcBorders>
              <w:bottom w:val="single" w:sz="8" w:color="CFF0FC"/>
            </w:tcBorders>
          </w:tcPr>
          <w:p>
            <w:pPr>
              <w:spacing w:after="0"/>
              <w:rPr>
                <w:sz w:val="19"/>
                <w:szCs w:val="19"/>
                <w:color w:val="auto"/>
              </w:rPr>
            </w:pPr>
          </w:p>
        </w:tc>
      </w:tr>
      <w:tr>
        <w:trPr>
          <w:trHeight w:val="223"/>
        </w:trPr>
        <w:tc>
          <w:tcPr>
            <w:tcW w:w="43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general and administrative expenses</w:t>
            </w:r>
          </w:p>
        </w:tc>
        <w:tc>
          <w:tcPr>
            <w:tcW w:w="9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3,647</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3,646</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General and administrative expenses for the three months ended March 31, 2020 remained consistent with the three months ended March 31, 2019. Other costs increased by $0.4 million and professional fees increased $0.1 million, as compared to the three months ended March 31, 2019. The increases were the result of merger related costs, increased insurance costs associated with our director and officer insurance and increased facility rental costs. These increases were offset by a decrease of $0.2 million in personnel related costs and a decrease of $0.3 million in non-cash stock-based compensation costs, as compared to the three months ended March 31, 2019, primarily due to the reduction in force in the second half of 2019.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for the three months ended March 31, 2020 and 2019 was $0.3 million and $0.5 million, respectively. The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for the three months ended March 31, 2020 and 2019 is primarily due to the Term Loan of $20.0 million, which closed on December 29, 2017. The Term Loan has a variable annual interest rate of 1.25% above the prime rate, as well as a final payment equal to 8.0% of the Term Loan, which is recorded as interest expense over the term of the loan through the maturity date using the effective-interest method.</w:t>
      </w:r>
    </w:p>
    <w:p>
      <w:pPr>
        <w:spacing w:after="0" w:line="171"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of $0.3 million and $0.6 million for the three months ended March 31, 2020 and 2019, respectively, was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earned on our marketable debt securities balances.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1" w:name="page22"/>
    <w:bookmarkEnd w:id="21"/>
    <w:p>
      <w:pPr>
        <w:ind w:right="20" w:firstLine="510"/>
        <w:spacing w:after="0" w:line="277"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During the three months ended March 31, 2020, other income of $0.2 million consisted of the sale of raw materials that were utilized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production of our former lead product candidates and the resolution of a dispute with a former third-party vendor.</w:t>
      </w:r>
    </w:p>
    <w:p>
      <w:pPr>
        <w:spacing w:after="0" w:line="17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i w:val="1"/>
          <w:iCs w:val="1"/>
          <w:color w:val="auto"/>
        </w:rPr>
        <w:t xml:space="preserve">Foreign currency transaction (losses) gains, net. </w:t>
      </w:r>
      <w:r>
        <w:rPr>
          <w:rFonts w:ascii="Arial" w:cs="Arial" w:eastAsia="Arial" w:hAnsi="Arial"/>
          <w:sz w:val="18"/>
          <w:szCs w:val="18"/>
          <w:color w:val="auto"/>
        </w:rPr>
        <w:t>We had foreign currency transaction losses of $0.2 million and gains of less than $0.1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2020 and 2019, respectively. Foreign currency transaction gains and losses consisted of the realized and unrealized gains and losses from foreign currency-denominated cash balances, vendor payables and tax-related receivables from the Australian government, generally reflecting the fluctuation of the Australian dollar relative to the U.S. dollar.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510"/>
        <w:spacing w:after="0" w:line="286" w:lineRule="auto"/>
        <w:rPr>
          <w:sz w:val="20"/>
          <w:szCs w:val="20"/>
          <w:color w:val="auto"/>
        </w:rPr>
      </w:pPr>
      <w:r>
        <w:rPr>
          <w:rFonts w:ascii="Arial" w:cs="Arial" w:eastAsia="Arial" w:hAnsi="Arial"/>
          <w:sz w:val="17"/>
          <w:szCs w:val="17"/>
          <w:color w:val="auto"/>
        </w:rPr>
        <w:t>As of March 31, 2020, we had cash, cash equivalents and marketable debt securities totaling $63.9 million and outstanding principle balance on the Term Loan of $12.7 million. We invest our cash in money market funds, commercial paper, corporate bonds and U.S. government securities, with the primary objectives to preserve principal, provide liquidity and maximize income without significantly increasing risk.</w:t>
      </w:r>
    </w:p>
    <w:p>
      <w:pPr>
        <w:spacing w:after="0" w:line="16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Since our inception in November 2005, we have not generated any revenue and have incurred recurring net losses. As of March 31, 2020, we had an accumulated deficit of $399.9 million. Prior to our IPO in June 2014, we funded our operations primarily through sales of redeemable convertible preferred stock and, to a lesser extent, through the issuances of convertible promissory notes and a loan security agreement. From our inception through our IPO in June 2014, we received gross proceeds of $104.0 million from such transactions. In June 2014, we completed our IPO with net proceeds of $102.7 million after deducting underwriting discounts and commissions paid by us. We also incurred offering costs of $2.5 million related to the IPO. In January 2015, we completed a follow-on offering of our common stock, which resulted in the sale of 3,942,200 shares at a price of $35.00 per share. We received net proceeds from the follow-on offering of $130.0 million based upon the price of $35.00 per share and after deducting underwriting discounts and commissions paid by us. We also incurred offering costs of $0.5 million related to the follow-on offering. On July 2, 2018, we completed a public offering of our common stock, which resulted in the sale of 9,200,000 shares at a price of $7.50 per share, resulting in net proceeds of approximately $64.6 million after deducting underwriting discounts and commissions, as well as offering costs paid by us.</w:t>
      </w:r>
    </w:p>
    <w:p>
      <w:pPr>
        <w:spacing w:after="0" w:line="185" w:lineRule="exact"/>
        <w:rPr>
          <w:sz w:val="20"/>
          <w:szCs w:val="20"/>
          <w:color w:val="auto"/>
        </w:rPr>
      </w:pPr>
    </w:p>
    <w:p>
      <w:pPr>
        <w:ind w:right="60" w:firstLine="510"/>
        <w:spacing w:after="0" w:line="286" w:lineRule="auto"/>
        <w:rPr>
          <w:sz w:val="20"/>
          <w:szCs w:val="20"/>
          <w:color w:val="auto"/>
        </w:rPr>
      </w:pPr>
      <w:r>
        <w:rPr>
          <w:rFonts w:ascii="Arial" w:cs="Arial" w:eastAsia="Arial" w:hAnsi="Arial"/>
          <w:sz w:val="17"/>
          <w:szCs w:val="17"/>
          <w:color w:val="auto"/>
        </w:rPr>
        <w:t>On November 9, 2018, we entered into a sales agreement, or the Sales Agreement, with Cowen and Company, LLC, or Cowen, to sell shares of our common stock, with aggregate gross sales proceeds of up to $50.0 million, from time to time, through an at-the-market equity offering program under which Cowen will act as our sales agent. Through March 31, 2020 we have not sold any shares under the Sales Agreement.</w:t>
      </w:r>
    </w:p>
    <w:p>
      <w:pPr>
        <w:spacing w:after="0" w:line="16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On December 29, 2017, we entered into a loan and security agreement with Silicon Valley Bank, or the Term Loan. The Term Loan provided for borrowings of $20.0 million. On December 29, 2017, we received proceeds of $20.0 million from the issuance of a promissory note. The promissory note issued under the Term Loan is collateralized by substantially all of our personal property, other than our intellectual property. As of March 31, 2020 we had an outstanding principle balance on the Term Loan of $12.7 million.</w:t>
      </w:r>
    </w:p>
    <w:p>
      <w:pPr>
        <w:spacing w:after="0" w:line="187"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Upon entering into this Term Loan, we are obligated to make monthly, interest-only payments until March 29, 2019 and, thereafter, to pay 33 consecutive, equal monthly installments of principal and interest from April 1, 2019 through December 1, 2021. The outstanding Term Loan bears a variable interest at an annual rate of 1.25% above the prime rate, which was 3.25% at March 31, 2020. In addition, a final payment equal to 8.0% of the Term Loan is due upon the earlier of the maturity date, acceleration of the Term Loan or prepayment of all or part of the Term Loan. We accrue the final payment amount of $1.6 million, to outstanding debt by charges to interest expense using the effective-interest method from the date of issuance through the maturity date.</w:t>
      </w:r>
    </w:p>
    <w:p>
      <w:pPr>
        <w:spacing w:after="0" w:line="192" w:lineRule="exact"/>
        <w:rPr>
          <w:sz w:val="20"/>
          <w:szCs w:val="20"/>
          <w:color w:val="auto"/>
        </w:rPr>
      </w:pPr>
    </w:p>
    <w:p>
      <w:pPr>
        <w:jc w:val="both"/>
        <w:ind w:right="320" w:firstLine="510"/>
        <w:spacing w:after="0" w:line="263" w:lineRule="auto"/>
        <w:rPr>
          <w:sz w:val="20"/>
          <w:szCs w:val="20"/>
          <w:color w:val="auto"/>
        </w:rPr>
      </w:pPr>
      <w:r>
        <w:rPr>
          <w:rFonts w:ascii="Arial" w:cs="Arial" w:eastAsia="Arial" w:hAnsi="Arial"/>
          <w:sz w:val="18"/>
          <w:szCs w:val="18"/>
          <w:color w:val="auto"/>
        </w:rPr>
        <w:t>Additionally, we, as the borrower, are required to maintain a minimum cash, cash equivalents and marketable debt securities balance at Silicon Valley Bank of no less than 105% of the total outstanding principal balance of the Term Loan, which as of March 31, 2020 was $13.4 million and as of December 31, 2019 was $15.3 million.</w:t>
      </w:r>
    </w:p>
    <w:p>
      <w:pPr>
        <w:spacing w:after="0" w:line="18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Further, as of 45 days after the Term Loan was entered in, we must maintain a balance of unrestricted cash, cash equivalents and marketable debt securities at Silicon Valley Bank in an amount not less than the greater of (i) $55.0 million and (ii) sixty-five percent (65%) of all of our cash, cash equivalents and marketable debt securities. If we do not meet this requirement it will not be considered an event of default provided we immediately secure 87.5% of the principal balance in a restricted cash account.</w:t>
      </w:r>
    </w:p>
    <w:p>
      <w:pPr>
        <w:spacing w:after="0" w:line="187" w:lineRule="exact"/>
        <w:rPr>
          <w:sz w:val="20"/>
          <w:szCs w:val="20"/>
          <w:color w:val="auto"/>
        </w:rPr>
      </w:pPr>
    </w:p>
    <w:p>
      <w:pPr>
        <w:ind w:right="160" w:firstLine="510"/>
        <w:spacing w:after="0" w:line="286" w:lineRule="auto"/>
        <w:rPr>
          <w:sz w:val="20"/>
          <w:szCs w:val="20"/>
          <w:color w:val="auto"/>
        </w:rPr>
      </w:pPr>
      <w:r>
        <w:rPr>
          <w:rFonts w:ascii="Arial" w:cs="Arial" w:eastAsia="Arial" w:hAnsi="Arial"/>
          <w:sz w:val="17"/>
          <w:szCs w:val="17"/>
          <w:color w:val="auto"/>
        </w:rPr>
        <w:t>There are negative covenants restricting our activities, including limitations on dispositions, mergers or acquisitions; encumbering or granting a security interest in our intellectual property; incurring indebtedness or liens; paying dividends; making certain investments; permit the aggregate value of cash maintained by our Australian subsidiary not to exceed $4.0 million and certain other business transactions.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2" w:name="page23"/>
    <w:bookmarkEnd w:id="22"/>
    <w:p>
      <w:pPr>
        <w:ind w:firstLine="510"/>
        <w:spacing w:after="0" w:line="271" w:lineRule="auto"/>
        <w:rPr>
          <w:sz w:val="20"/>
          <w:szCs w:val="20"/>
          <w:color w:val="auto"/>
        </w:rPr>
      </w:pPr>
      <w:r>
        <w:rPr>
          <w:rFonts w:ascii="Arial" w:cs="Arial" w:eastAsia="Arial" w:hAnsi="Arial"/>
          <w:sz w:val="17"/>
          <w:szCs w:val="17"/>
          <w:color w:val="auto"/>
        </w:rPr>
        <w:t>The Term Loan also includes events of default, the occurrence and continuation of any of which provides the lenders the right to exercise remedies against us and the collateral securing the loans under the Term Loan, including cash in the amount of the outstanding balance. These events of default include, among other things, failure to pay any amounts due under the Term Loan, insolvency, the occurrence of a material adverse event, the occurrence of any default under certain other indebtedness and a final judgment against us in an amount greater than $0.3 million. We have estimated that the risk of subjective acceleration under the material adverse events clause is reasonably possible, however not probable and therefore have classified the outstanding principal in current and long-term liabilities based on contractually scheduled principal payments. However, the assessment of such probability of the debt holder calling the debt is subjective and their actions and/or our related assessment could change in the future, which in turn would impact the classification of the debt balances.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for each of the periods presented below:</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5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18"/>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5"/>
        </w:trPr>
        <w:tc>
          <w:tcPr>
            <w:tcW w:w="5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4"/>
          </w:tcPr>
          <w:p>
            <w:pPr>
              <w:jc w:val="right"/>
              <w:ind w:right="29"/>
              <w:spacing w:after="0" w:line="155"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7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(4,616)</w:t>
            </w:r>
          </w:p>
        </w:tc>
        <w:tc>
          <w:tcPr>
            <w:tcW w:w="400" w:type="dxa"/>
            <w:vAlign w:val="bottom"/>
            <w:gridSpan w:val="2"/>
            <w:shd w:val="clear" w:color="auto" w:fill="CFF0FC"/>
          </w:tcPr>
          <w:p>
            <w:pPr>
              <w:jc w:val="right"/>
              <w:ind w:right="269"/>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(12,471)</w:t>
            </w:r>
          </w:p>
        </w:tc>
      </w:tr>
      <w:tr>
        <w:trPr>
          <w:trHeight w:val="229"/>
        </w:trPr>
        <w:tc>
          <w:tcPr>
            <w:tcW w:w="5640" w:type="dxa"/>
            <w:vAlign w:val="bottom"/>
          </w:tcPr>
          <w:p>
            <w:pPr>
              <w:spacing w:after="0"/>
              <w:rPr>
                <w:sz w:val="20"/>
                <w:szCs w:val="20"/>
                <w:color w:val="auto"/>
              </w:rPr>
            </w:pPr>
            <w:r>
              <w:rPr>
                <w:rFonts w:ascii="Arial" w:cs="Arial" w:eastAsia="Arial" w:hAnsi="Arial"/>
                <w:sz w:val="18"/>
                <w:szCs w:val="18"/>
                <w:color w:val="auto"/>
              </w:rPr>
              <w:t>Cash provided by investing activities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18,193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807</w:t>
            </w:r>
          </w:p>
        </w:tc>
        <w:tc>
          <w:tcPr>
            <w:tcW w:w="80" w:type="dxa"/>
            <w:vAlign w:val="bottom"/>
          </w:tcPr>
          <w:p>
            <w:pPr>
              <w:spacing w:after="0"/>
              <w:rPr>
                <w:sz w:val="19"/>
                <w:szCs w:val="19"/>
                <w:color w:val="auto"/>
              </w:rPr>
            </w:pP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Cash (used in) provided by financing activities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(1,808)</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FF0FC"/>
          </w:tcPr>
          <w:p>
            <w:pPr>
              <w:spacing w:after="0"/>
              <w:rPr>
                <w:sz w:val="19"/>
                <w:szCs w:val="19"/>
                <w:color w:val="auto"/>
              </w:rPr>
            </w:pPr>
          </w:p>
        </w:tc>
      </w:tr>
      <w:tr>
        <w:trPr>
          <w:trHeight w:val="223"/>
        </w:trPr>
        <w:tc>
          <w:tcPr>
            <w:tcW w:w="5640" w:type="dxa"/>
            <w:vAlign w:val="bottom"/>
          </w:tcPr>
          <w:p>
            <w:pPr>
              <w:ind w:left="240"/>
              <w:spacing w:after="0"/>
              <w:rPr>
                <w:sz w:val="20"/>
                <w:szCs w:val="20"/>
                <w:color w:val="auto"/>
              </w:rPr>
            </w:pPr>
            <w:r>
              <w:rPr>
                <w:rFonts w:ascii="Arial" w:cs="Arial" w:eastAsia="Arial" w:hAnsi="Arial"/>
                <w:sz w:val="18"/>
                <w:szCs w:val="18"/>
                <w:color w:val="auto"/>
                <w:w w:val="96"/>
              </w:rPr>
              <w:t>Net increase (decrease) in cash, cash equivalents and restricted cash</w:t>
            </w:r>
          </w:p>
        </w:tc>
        <w:tc>
          <w:tcPr>
            <w:tcW w:w="5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(11,569)</w:t>
            </w:r>
          </w:p>
        </w:tc>
        <w:tc>
          <w:tcPr>
            <w:tcW w:w="8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During the three months ended March 31, 2020, operating activities used $4.6 million of cash, resulting from our net loss of $3.6 million and changes in our operating assets and liabilities of $1.8 million, partially offset by non-cash charges of $0.8 million. Our net loss was primarily attributed to our general and administrative expenses. Net cash used in changes in our operating assets and liabilities during the three months ended March 31, 2020, consisted primarily of a $0.3 million decrease in accounts payable and a $1.7 million decrease in accrued restructuring, partially offset by a $0.4 million decrease in prepaids and other current assets. Our net non-cash charges during the three months ended March 31, 2020, consisted primarily of stock-based compensation expense of $0.7 million.</w:t>
      </w:r>
    </w:p>
    <w:p>
      <w:pPr>
        <w:spacing w:after="0" w:line="192"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During the three months ended March 31, 2019, operating activities used $12.5 million of cash, resulting from our net loss of $13.1 million and changes in our operating assets and liabilities of $1.2 million, partially offset by non-cash charges of $1.8 million. Our net loss was primarily attributed to research and development activities related to our MetAP2 program and our general and administrative expenses. Net cash used in changes in our operating assets and liabilities during the three months ended March 31, 2019, consisted primarily of a $0.4 million decrease in accounts payable and a $1.1 million decrease in accrued expenses and other, partially offset by a $0.5 decrease in prepaids and other current assets. Our net non-cash charges during the three months ended March 31, 2019, consisted primarily of stock-based compensation expense of $2.1 million.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117" w:lineRule="exact"/>
        <w:rPr>
          <w:sz w:val="20"/>
          <w:szCs w:val="20"/>
          <w:color w:val="auto"/>
        </w:rPr>
      </w:pPr>
    </w:p>
    <w:p>
      <w:pPr>
        <w:ind w:right="460" w:firstLine="510"/>
        <w:spacing w:after="0" w:line="308" w:lineRule="auto"/>
        <w:rPr>
          <w:sz w:val="20"/>
          <w:szCs w:val="20"/>
          <w:color w:val="auto"/>
        </w:rPr>
      </w:pPr>
      <w:r>
        <w:rPr>
          <w:rFonts w:ascii="Arial" w:cs="Arial" w:eastAsia="Arial" w:hAnsi="Arial"/>
          <w:sz w:val="17"/>
          <w:szCs w:val="17"/>
          <w:color w:val="auto"/>
        </w:rPr>
        <w:t>During the three months ended March 31, 2020, investing activities provided $18.2 million of cash resulting from the proceeds from sales and maturities of marketable debt securities of $20.5 million, offset by the purchases of marketable debt securities of $2.3 million.</w:t>
      </w:r>
    </w:p>
    <w:p>
      <w:pPr>
        <w:spacing w:after="0" w:line="146" w:lineRule="exact"/>
        <w:rPr>
          <w:sz w:val="20"/>
          <w:szCs w:val="20"/>
          <w:color w:val="auto"/>
        </w:rPr>
      </w:pPr>
    </w:p>
    <w:p>
      <w:pPr>
        <w:ind w:right="560" w:firstLine="510"/>
        <w:spacing w:after="0" w:line="308" w:lineRule="auto"/>
        <w:rPr>
          <w:sz w:val="20"/>
          <w:szCs w:val="20"/>
          <w:color w:val="auto"/>
        </w:rPr>
      </w:pPr>
      <w:r>
        <w:rPr>
          <w:rFonts w:ascii="Arial" w:cs="Arial" w:eastAsia="Arial" w:hAnsi="Arial"/>
          <w:sz w:val="17"/>
          <w:szCs w:val="17"/>
          <w:color w:val="auto"/>
        </w:rPr>
        <w:t>During the three months ended March 31, 2019, investing activities provided $0.8 million of cash resulting from the proceeds from sales and maturities of marketable debt securities of $34.3 million, offset by the purchases of marketable debt securities of $33.5 million.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financing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three months ended March 31, 2020, financing activities used $1.8 million as a result of payments related to our notes payable.</w:t>
      </w:r>
    </w:p>
    <w:p>
      <w:pPr>
        <w:spacing w:after="0" w:line="23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During the three months ended March 31, 2019, net cash provided by financing activities of $0.1 million was the result of the exercise of common stock options and common stock purchased under our 2014 Employee Stock Purchase Plan.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 and Liquidity</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We have not generated product revenue or achieved profitability since our inception and we expect to continue to incur net losses for the foreseeable future. We expect that our existing cash, cash equivalents and marketable debt securities as of March 31,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3" w:name="page24"/>
    <w:bookmarkEnd w:id="23"/>
    <w:p>
      <w:pPr>
        <w:spacing w:after="0" w:line="268" w:lineRule="auto"/>
        <w:rPr>
          <w:sz w:val="20"/>
          <w:szCs w:val="20"/>
          <w:color w:val="auto"/>
        </w:rPr>
      </w:pPr>
      <w:r>
        <w:rPr>
          <w:rFonts w:ascii="Arial" w:cs="Arial" w:eastAsia="Arial" w:hAnsi="Arial"/>
          <w:sz w:val="17"/>
          <w:szCs w:val="17"/>
          <w:color w:val="auto"/>
        </w:rPr>
        <w:t>2020, will enable us to fund our operating expenses and capital expenditure requirements for a period of at least one year from the issuance date of this Quarterly Report. We have based this estimate on assumptions that may prove to be wrong, and we may use our available capital resources sooner than we currently expect. Until such time, if ever, as we can generate substantial product revenue, we expect to finance our cash needs through a combination of equity offerings, debt financings, collaborations, strategic alliances and licensing arrangements.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their ownership interest. If we raise additional funds through collaborations, strategic alliances or licensing arrangements with third parties, we may have to relinquish valuable rights to our technologies, future revenue streams, research programs or grant licenses on terms that may not be favorable to us. If we are unable to raise additional funds through equity or debt financings when needed, we may be required to delay, limit, reduce or terminate our future product development or future commercialization efforts or grant rights to develop and market our future product candidates, if any, that we would otherwise prefer to develop and market ourselves. Our future capital requirements will depend on many factors, including:</w:t>
      </w:r>
    </w:p>
    <w:p>
      <w:pPr>
        <w:spacing w:after="0" w:line="78" w:lineRule="exact"/>
        <w:rPr>
          <w:sz w:val="20"/>
          <w:szCs w:val="20"/>
          <w:color w:val="auto"/>
        </w:rPr>
      </w:pPr>
    </w:p>
    <w:p>
      <w:pPr>
        <w:ind w:left="1000" w:hanging="35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plans and expectations regarding the merger with Chondrial, including the expected completion of the merger;</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strategies, goals, prospects, plans, expectations, forecasts or objectives with Chondrial or the combined company;</w:t>
      </w:r>
    </w:p>
    <w:p>
      <w:pPr>
        <w:spacing w:after="0" w:line="117" w:lineRule="exact"/>
        <w:rPr>
          <w:rFonts w:ascii="Arial" w:cs="Arial" w:eastAsia="Arial" w:hAnsi="Arial"/>
          <w:sz w:val="18"/>
          <w:szCs w:val="18"/>
          <w:color w:val="auto"/>
        </w:rPr>
      </w:pPr>
    </w:p>
    <w:p>
      <w:pPr>
        <w:ind w:left="1000" w:right="260" w:hanging="35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resolve the deficiencies and regain compliance with the minimum bid price requirements of our common stock as set forth in Nasdaq Listing Rule 5550(a)(2) for continued listing on Nasdaq;</w:t>
      </w:r>
    </w:p>
    <w:p>
      <w:pPr>
        <w:spacing w:after="0" w:line="62" w:lineRule="exact"/>
        <w:rPr>
          <w:rFonts w:ascii="Arial" w:cs="Arial" w:eastAsia="Arial" w:hAnsi="Arial"/>
          <w:sz w:val="18"/>
          <w:szCs w:val="18"/>
          <w:color w:val="auto"/>
        </w:rPr>
      </w:pPr>
    </w:p>
    <w:p>
      <w:pPr>
        <w:ind w:left="1000" w:hanging="35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characteristics of any future product candidates we develop or may acquire;</w:t>
      </w:r>
    </w:p>
    <w:p>
      <w:pPr>
        <w:spacing w:after="0" w:line="117" w:lineRule="exact"/>
        <w:rPr>
          <w:rFonts w:ascii="Arial" w:cs="Arial" w:eastAsia="Arial" w:hAnsi="Arial"/>
          <w:sz w:val="18"/>
          <w:szCs w:val="18"/>
          <w:color w:val="auto"/>
        </w:rPr>
      </w:pPr>
    </w:p>
    <w:p>
      <w:pPr>
        <w:ind w:left="1000" w:right="300" w:hanging="35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future product candidates, and conducting nonclinical studies and clinical trials;</w:t>
      </w:r>
    </w:p>
    <w:p>
      <w:pPr>
        <w:spacing w:after="0" w:line="62" w:lineRule="exact"/>
        <w:rPr>
          <w:rFonts w:ascii="Arial" w:cs="Arial" w:eastAsia="Arial" w:hAnsi="Arial"/>
          <w:sz w:val="18"/>
          <w:szCs w:val="18"/>
          <w:color w:val="auto"/>
        </w:rPr>
      </w:pPr>
    </w:p>
    <w:p>
      <w:pPr>
        <w:ind w:left="1000" w:hanging="35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any future product candidate;</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manufacturing any future product candidates and any products that may achieve regulatory approval;</w:t>
      </w:r>
    </w:p>
    <w:p>
      <w:pPr>
        <w:spacing w:after="0" w:line="117" w:lineRule="exact"/>
        <w:rPr>
          <w:rFonts w:ascii="Arial" w:cs="Arial" w:eastAsia="Arial" w:hAnsi="Arial"/>
          <w:sz w:val="18"/>
          <w:szCs w:val="18"/>
          <w:color w:val="auto"/>
        </w:rPr>
      </w:pPr>
    </w:p>
    <w:p>
      <w:pPr>
        <w:ind w:left="1000" w:right="360" w:hanging="35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of commercialization activities if any future product candidates are approved for sale, including marketing, sales and distribution costs;</w:t>
      </w:r>
    </w:p>
    <w:p>
      <w:pPr>
        <w:spacing w:after="0" w:line="62" w:lineRule="exact"/>
        <w:rPr>
          <w:rFonts w:ascii="Arial" w:cs="Arial" w:eastAsia="Arial" w:hAnsi="Arial"/>
          <w:sz w:val="18"/>
          <w:szCs w:val="18"/>
          <w:color w:val="auto"/>
        </w:rPr>
      </w:pPr>
    </w:p>
    <w:p>
      <w:pPr>
        <w:ind w:left="1000" w:hanging="358"/>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establish and maintain strategic collaborations, licensing or other arrangements and the financial terms of such agreements;</w:t>
      </w:r>
    </w:p>
    <w:p>
      <w:pPr>
        <w:spacing w:after="0" w:line="140" w:lineRule="exact"/>
        <w:rPr>
          <w:rFonts w:ascii="Arial" w:cs="Arial" w:eastAsia="Arial" w:hAnsi="Arial"/>
          <w:sz w:val="16"/>
          <w:szCs w:val="16"/>
          <w:color w:val="auto"/>
        </w:rPr>
      </w:pPr>
    </w:p>
    <w:p>
      <w:pPr>
        <w:ind w:left="1000" w:hanging="35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117" w:lineRule="exact"/>
        <w:rPr>
          <w:rFonts w:ascii="Arial" w:cs="Arial" w:eastAsia="Arial" w:hAnsi="Arial"/>
          <w:sz w:val="18"/>
          <w:szCs w:val="18"/>
          <w:color w:val="auto"/>
        </w:rPr>
      </w:pPr>
    </w:p>
    <w:p>
      <w:pPr>
        <w:ind w:left="1000" w:hanging="35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 and</w:t>
      </w:r>
    </w:p>
    <w:p>
      <w:pPr>
        <w:spacing w:after="0" w:line="117" w:lineRule="exact"/>
        <w:rPr>
          <w:rFonts w:ascii="Arial" w:cs="Arial" w:eastAsia="Arial" w:hAnsi="Arial"/>
          <w:sz w:val="18"/>
          <w:szCs w:val="18"/>
          <w:color w:val="auto"/>
        </w:rPr>
      </w:pPr>
    </w:p>
    <w:p>
      <w:pPr>
        <w:ind w:left="1000" w:right="360" w:hanging="35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including litigation costs and the outcome of such litigation.</w:t>
      </w:r>
    </w:p>
    <w:p>
      <w:pPr>
        <w:spacing w:after="0" w:line="278" w:lineRule="exact"/>
        <w:rPr>
          <w:sz w:val="20"/>
          <w:szCs w:val="20"/>
          <w:color w:val="auto"/>
        </w:rPr>
      </w:pPr>
    </w:p>
    <w:p>
      <w:pPr>
        <w:ind w:right="40" w:firstLine="562"/>
        <w:spacing w:after="0" w:line="288" w:lineRule="auto"/>
        <w:rPr>
          <w:sz w:val="20"/>
          <w:szCs w:val="20"/>
          <w:color w:val="auto"/>
        </w:rPr>
      </w:pPr>
      <w:r>
        <w:rPr>
          <w:rFonts w:ascii="Arial" w:cs="Arial" w:eastAsia="Arial" w:hAnsi="Arial"/>
          <w:sz w:val="16"/>
          <w:szCs w:val="16"/>
          <w:color w:val="auto"/>
        </w:rPr>
        <w:t>Since our inception in 2005, we have not recorded any U.S. federal or state income tax benefits for the net losses we have incurred in each year or our earned tax credits, due to our uncertainty of realizing a benefit from those items. As of December 31, 2019, we had net operating loss carryforwards for federal and state income tax purposes of $55.7 million and $57.0 million, respectively, which begin to expire in 2026 and 2030, respectively. As of December 31, 2019, we had net operating loss carryforwards that were generated after December 31, 2017, of $21.2 million that do not expire. As of December 31, 2019, we also had available tax credit carryforwards for federal and state income tax purposes of $17.9 million and $4.2 million, respectively, which begin to expire in 2026 and 2022, respectively We have not completed a study to assess whether an ownership change, generally defined as a greater than 50% change (by value) in the equity ownership of our corporate entity over a three-year period, has occurred or whether there have been multiple ownership changes since our inception, due to the significant costs and complexities associated with such studies. Accordingly, our ability to utilize our tax carryforwards may be limited. Additionally, U.S. tax laws limit the time during which these carryforwards may be utilized against future taxes. As a result, we may not be able to take full advantage of these carryforwards for federal and state tax purposes.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During the three months ended March 31, 2020, there have been no material changes to our contractual obligations and commitments outside the ordinary course of business from those described under the heading “Management’s Discussion and Analysis of Financial Condition and Results of Operations—Contractual Obligations and Commitments” in our Annual Report.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During the periods presented we did not have and we currently do not have, any off-balance sheet arrangements, as defined under SEC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121"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United Sated, or GAAP. The preparation of our financial statements and related disclosures requires us to make estimates, assumptions and judgments that affect the reported amount of assets, liabilities, revenue, costs and expenses, and related disclosures. We believe that of our critical accounting policies which are described under the heading “Management’s Discussion and Analysis of Financial Condition and Results of Operations—Critical Accounting Policies and Significant Judgments and Estimates” in our Annual Report, the following accounting policies involve the most judgment and complexity:</w:t>
      </w:r>
    </w:p>
    <w:p>
      <w:pPr>
        <w:spacing w:after="0" w:line="53" w:lineRule="exact"/>
        <w:rPr>
          <w:sz w:val="20"/>
          <w:szCs w:val="20"/>
          <w:color w:val="auto"/>
        </w:rPr>
      </w:pPr>
    </w:p>
    <w:p>
      <w:pPr>
        <w:ind w:left="1000" w:hanging="35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valuation of stock-based awards.</w:t>
      </w:r>
    </w:p>
    <w:p>
      <w:pPr>
        <w:spacing w:after="0" w:line="225"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Accordingly, we believe the policies set forth above are critical to fully understanding and evaluating our financial condition and results of operations. If actual results or events differ materially from the estimates, judgments and assumptions used by us in applying these policies, our reported financial condition and results of operations could be materially affected. There have been no material changes to our critical accounting policies since December 31,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Please read Note 2 to our condensed consolidated financial statements included in Part I Item 1 of this Quarterly Report for a description of recent accounting pronouncements applicable to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Delisting Notice</w:t>
      </w:r>
    </w:p>
    <w:p>
      <w:pPr>
        <w:spacing w:after="0" w:line="121"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color w:val="auto"/>
        </w:rPr>
        <w:t>On April 21, 2020, we received written notice, or the Notice, from the Listing Qualifications Department of Nasdaq notifying us that we are not in compliance with the minimum bid price requirements set forth in Nasdaq Listing Rule 5550(a)(1) for continued listing on Nasdaq. Nasdaq Listing Rule 5550(a)(1) requires listed securities to maintain a minimum bid price of $1.00 per share, and Nasdaq Listing Rule 5810(c)(3)(A) provides that a failure to meet the minimum bid price requirement exists if the deficiency continues for a period of thirty (30) consecutive business days.</w:t>
      </w:r>
    </w:p>
    <w:p>
      <w:pPr>
        <w:spacing w:after="0" w:line="49"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Nasdaq Listing Rule 5810(c)(3)(A) provides 180 calendar days to regain compliance. On April 16, 2020, Nasdaq announced it was providing temporary relief from continued listing bid price requirements through June 30, 2020. Under the relief the Company will have additional time to regain compliance with the listing bid price requirements with the compliance period beginning July 1, 2020. As such, the compliance period for us will expire on December 28, 2020. To regain compliance, the bid price of our common stock must have a closing bid price of at least $1.00 per share for a minimum of ten (10) consecutive business days.</w:t>
      </w:r>
    </w:p>
    <w:p>
      <w:pPr>
        <w:spacing w:after="0" w:line="80"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If we do not regain compliance by December 28, 2020, we may be eligible for an additional 180 calendar day compliance period. To qualify, we would be required to meet the continued listing requirement for market value of publicly held shares and all other initial listing standards for The Nasdaq Capital Market, with the exception of the bid price requirement, and would need to provide written notice of our intention to cure the deficiency during the second compliance period, by effecting a reverse stock split, if necessary. However, if it appears to the staff of Nasdaq, or the Staff, that we will not be able to cure the deficiency, or if we are otherwise not eligible, Nasdaq would notify us that our securities would be subject to delisting. In the event of such a notification, we may appeal the Staff’s determination to delist our securities, but there can be no assurance the Staff would grant our request for continued listing.</w:t>
      </w:r>
    </w:p>
    <w:p>
      <w:pPr>
        <w:spacing w:after="0" w:line="87" w:lineRule="exact"/>
        <w:rPr>
          <w:sz w:val="20"/>
          <w:szCs w:val="20"/>
          <w:color w:val="auto"/>
        </w:rPr>
      </w:pPr>
    </w:p>
    <w:p>
      <w:pPr>
        <w:ind w:right="700" w:firstLine="510"/>
        <w:spacing w:after="0" w:line="277" w:lineRule="auto"/>
        <w:rPr>
          <w:sz w:val="20"/>
          <w:szCs w:val="20"/>
          <w:color w:val="auto"/>
        </w:rPr>
      </w:pPr>
      <w:r>
        <w:rPr>
          <w:rFonts w:ascii="Arial" w:cs="Arial" w:eastAsia="Arial" w:hAnsi="Arial"/>
          <w:sz w:val="18"/>
          <w:szCs w:val="18"/>
          <w:color w:val="auto"/>
        </w:rPr>
        <w:t>We intend to monitor the closing bid price of our common stock and may, if appropriate, consider implementing available options to regain compliance with the minimum bid price requirement under the Nasdaq Listing Rules.</w:t>
      </w:r>
    </w:p>
    <w:p>
      <w:pPr>
        <w:spacing w:after="0" w:line="62"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If our common stock is delisted by Nasdaq, it could lead to a number of negative implications, including an adverse effect on the price of our common stock, increased volatility in our common stock, reduced liquidity in our common stock, the loss of federal preemption of state securities laws and greater difficulty in obtaining financing. In addition, delisting of our common stock could deter broker-dealers from making a market in or otherwise seeking or generating interest in our common stock, could result in a loss of current or future coverage by certain sell-side analysts and might deter certain institutions and persons from investing in our securities at all. Delisting could also cause a loss of confidence of our customers, collaborators, vendors, suppliers and employees, which could harm our business and future prospects. We will consider available options to resolve the deficiencies and regain compliance with all applicable Nasdaq Listing Rules.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5" w:name="page26"/>
    <w:bookmarkEnd w:id="25"/>
    <w:p>
      <w:pPr>
        <w:ind w:right="5400"/>
        <w:spacing w:after="0" w:line="261"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i w:val="1"/>
          <w:iCs w:val="1"/>
          <w:color w:val="auto"/>
        </w:rPr>
        <w:t>Interest Rate Fluctuation Risk</w:t>
      </w:r>
    </w:p>
    <w:p>
      <w:pPr>
        <w:ind w:right="140" w:firstLine="510"/>
        <w:spacing w:after="0" w:line="252" w:lineRule="auto"/>
        <w:rPr>
          <w:sz w:val="20"/>
          <w:szCs w:val="20"/>
          <w:color w:val="auto"/>
        </w:rPr>
      </w:pPr>
      <w:r>
        <w:rPr>
          <w:rFonts w:ascii="Arial" w:cs="Arial" w:eastAsia="Arial" w:hAnsi="Arial"/>
          <w:sz w:val="18"/>
          <w:szCs w:val="18"/>
          <w:color w:val="auto"/>
        </w:rPr>
        <w:t>Our cash, cash equivalents, and marketable debt securities as of March 31, 2020 consisted of cash, corporate bonds, commercial paper, U.S. government securities and money market accounts. The primary objectives of our investment activities are to preserve principal, provide liquidity and maximize income without significantly increasing risk. Our primary exposure to market risk is interest income sensitivity, which is affected by changes in the general level of U.S. interest rates. If market interest rates were to increase immediately and uniformly by 50 basis points, or one-half of a percentage point, from levels as of March 31, 2020, the net fair value of our interest-sensitive financial instruments would have resulted in a hypothetical decline of less than $0.1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3" w:lineRule="exact"/>
        <w:rPr>
          <w:sz w:val="20"/>
          <w:szCs w:val="20"/>
          <w:color w:val="auto"/>
        </w:rPr>
      </w:pPr>
    </w:p>
    <w:p>
      <w:pPr>
        <w:ind w:right="60" w:firstLine="510"/>
        <w:spacing w:after="0" w:line="292" w:lineRule="auto"/>
        <w:rPr>
          <w:sz w:val="20"/>
          <w:szCs w:val="20"/>
          <w:color w:val="auto"/>
        </w:rPr>
      </w:pPr>
      <w:r>
        <w:rPr>
          <w:rFonts w:ascii="Arial" w:cs="Arial" w:eastAsia="Arial" w:hAnsi="Arial"/>
          <w:sz w:val="16"/>
          <w:szCs w:val="16"/>
          <w:color w:val="auto"/>
        </w:rPr>
        <w:t>Foreign currency transaction exposure results primarily from transactions with our contract research organizations, or CROs, other providers related to our clinical trials and our Australia research and development tax incentive receivable that are denominated in currencies other than the functional currency of the legal entity in which the transaction is recorded by us, primarily the Australian dollar. Any transaction gains or losses resulting from currency fluctuations is recorded on a separate line in our condensed consolidated statement of operations. Net foreign currency transaction losses of $0.2 million and gains of less than $0.1 million were recorded for the three months ended March 31, 2020 and 2019, respectively.</w:t>
      </w:r>
    </w:p>
    <w:p>
      <w:pPr>
        <w:spacing w:after="0" w:line="54"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Currently, our largest foreign currency exposures are those with respect to the Australian dollar. Relative to foreign currency exposures existing as of March 31, 2020, a 10% unfavorable movement in foreign currency exchange rates would expose us to an increased net loss. For the three months ended March 31, 2020, we estimated that a 10% unfavorable movement in foreign currency exchange rates would have increased our net loss by $0.2 million. This amount is based on a sensitivity analysis performed on our financial position as of March 31, 2020. We have experienced and will continue to experience fluctuations in our net loss as a result of revaluing our assets and liabilities that are not denominated in the functional currency of the entity that recorded the asset or liability. At this time, we do not hedge our foreign currency risk.</w:t>
      </w:r>
    </w:p>
    <w:p>
      <w:pPr>
        <w:spacing w:after="0" w:line="2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Management’s Evaluation of our Disclosure Controls and Procedures</w:t>
      </w:r>
    </w:p>
    <w:p>
      <w:pPr>
        <w:spacing w:after="0" w:line="27" w:lineRule="exact"/>
        <w:rPr>
          <w:sz w:val="20"/>
          <w:szCs w:val="20"/>
          <w:color w:val="auto"/>
        </w:rPr>
      </w:pPr>
    </w:p>
    <w:p>
      <w:pPr>
        <w:ind w:right="240" w:firstLine="510"/>
        <w:spacing w:after="0" w:line="256" w:lineRule="auto"/>
        <w:rPr>
          <w:sz w:val="20"/>
          <w:szCs w:val="20"/>
          <w:color w:val="auto"/>
        </w:rPr>
      </w:pPr>
      <w:r>
        <w:rPr>
          <w:rFonts w:ascii="Arial" w:cs="Arial" w:eastAsia="Arial" w:hAnsi="Arial"/>
          <w:sz w:val="18"/>
          <w:szCs w:val="18"/>
          <w:color w:val="auto"/>
        </w:rPr>
        <w:t>We maintain disclosure controls and procedures (as defined in Rules 13a-15(e) or 15d-15(e) under the Securities Exchange Act of 1934, as amended, or the Exchange Act) that are designed to ensure that information required to be disclosed in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as appropriate, to allow timely decisions regarding required disclosure.</w:t>
      </w:r>
    </w:p>
    <w:p>
      <w:pPr>
        <w:spacing w:after="0" w:line="83"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Based on this evaluation, our management, with the participation of our principal executive officer and principal financial officer, evaluated the effectiveness of our disclosure controls and procedures as of the end of the period covered by this report. In designing and evaluating our disclosure controls and procedures,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March 31, 2020, our disclosure controls and procedures were effective at the reasonable assurance level.</w:t>
      </w:r>
    </w:p>
    <w:p>
      <w:pPr>
        <w:spacing w:after="0" w:line="70"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We continue to review and document our disclosure controls and procedures, including our internal controls and procedures for financial reporting, and may from time to time make changes aimed at enhancing their effectiveness and to ensure that our systems evolve with our business in accordance with the Exchange Act.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3"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During the three months ended March 31, 2020, there have been no changes in our internal control over financial reporting (as defined in Rules 13a-15(f) or 15d-15(d) under the Exchange Act) that have materially affected, or are reasonably likely to materially affect, our internal control over financial reporting.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party to any material litigation or other material legal proceedings.</w:t>
      </w:r>
    </w:p>
    <w:p>
      <w:pPr>
        <w:spacing w:after="0" w:line="3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described below, as well as the other information in this Quarterly Report on Form 10-Q, or Quarterly Report,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or uncertainties actually occur,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Quarterly Report and in our other public filings. The trading price of our common stock could decline due to any of these risks, and as a result, you may lose all or part of your investment. For additional risks related to Chondrial’s business and the risks related to the combined company if the merger is completed, see the Proxy Statement filed with the SEC on April 29, 2020.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Merger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proposed merger with Chondrial is not consummated, our business could suffer materially and our stock price could decline.</w:t>
      </w:r>
    </w:p>
    <w:p>
      <w:pPr>
        <w:spacing w:after="0" w:line="11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 consummation of the proposed merger with Chondrial is subject to a number of closing conditions, including the approval by our stockholders, approval by NASDAQ of our application for initial listing of our common stock in connection with the merger, and other customary closing conditions. We are targeting a closing of the transaction in the second quarter of 2020.</w:t>
      </w:r>
    </w:p>
    <w:p>
      <w:pPr>
        <w:spacing w:after="0" w:line="76"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If the proposed merger is not consummated, we may be subject to a number of material risks, and our business and stock price could be adversely affected, as follows: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ind w:left="1000" w:right="2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incurred and expect to continue to incur significant expenses related to the proposed merger with Chondrial even if the merger is not consummated.</w:t>
      </w:r>
    </w:p>
    <w:p>
      <w:pPr>
        <w:spacing w:after="0" w:line="62" w:lineRule="exact"/>
        <w:rPr>
          <w:rFonts w:ascii="Arial" w:cs="Arial" w:eastAsia="Arial" w:hAnsi="Arial"/>
          <w:sz w:val="18"/>
          <w:szCs w:val="18"/>
          <w:color w:val="auto"/>
        </w:rPr>
      </w:pPr>
    </w:p>
    <w:p>
      <w:pPr>
        <w:ind w:left="1000" w:hanging="493"/>
        <w:spacing w:after="0" w:line="255"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merger agreement contains covenants relating to our solicitation of competing acquisition proposals and the conduct of our business between the date of signing the merger agreement and the closing of the merger. As a result, significant business decisions and transactions before the closing of the merger require the consent of Chondrial. Accordingly, we may be unable to pursue business opportunities that would otherwise be in our best interest as a standalone company. If the merger agreement is terminated after we have invested significant time and resources in the transaction process, we will have a limited ability to continue our current operations without obtaining additional financing to fund our operations.</w:t>
      </w:r>
    </w:p>
    <w:p>
      <w:pPr>
        <w:spacing w:after="0" w:line="84"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could be obligated to pay Chondrial a $3,375,000 termination fee in connection with the termination of the merger agreement, depending on the reason for the termination.</w:t>
      </w:r>
    </w:p>
    <w:p>
      <w:pPr>
        <w:spacing w:after="0" w:line="62"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could be obligated to pay Chondrial a $350,000 expense reimbursement in connection with the termination of the merger agreement, depending on the reason for the termination.</w:t>
      </w:r>
    </w:p>
    <w:p>
      <w:pPr>
        <w:spacing w:after="0" w:line="62"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collaborators and other business partners and investors in general may view the failure to consummate the merger as a poor reflection on our business or prospects.</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Some of our suppliers, collaborators and other business partners may seek to change or terminate their relationships with us as a result of the proposed merger.</w:t>
      </w:r>
    </w:p>
    <w:p>
      <w:pPr>
        <w:spacing w:after="0" w:line="62" w:lineRule="exact"/>
        <w:rPr>
          <w:rFonts w:ascii="Arial" w:cs="Arial" w:eastAsia="Arial" w:hAnsi="Arial"/>
          <w:sz w:val="18"/>
          <w:szCs w:val="18"/>
          <w:color w:val="auto"/>
        </w:rPr>
      </w:pPr>
    </w:p>
    <w:p>
      <w:pPr>
        <w:ind w:left="1000" w:right="560" w:hanging="493"/>
        <w:spacing w:after="0" w:line="311"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a result of the proposed merger, current and prospective employees could experience uncertainty about their future roles within the combined company. This uncertainty may adversely affect our ability to retain our key employees, who may seek other employment opportunities. Additionally, pursuant to the merger agreement, all of our employees will be terminated effective as of the closing.</w:t>
      </w:r>
    </w:p>
    <w:p>
      <w:pPr>
        <w:spacing w:after="0" w:line="40" w:lineRule="exact"/>
        <w:rPr>
          <w:rFonts w:ascii="Arial" w:cs="Arial" w:eastAsia="Arial" w:hAnsi="Arial"/>
          <w:sz w:val="16"/>
          <w:szCs w:val="16"/>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management team may be distracted from day to day operations as a result of the proposed merger.</w:t>
      </w:r>
    </w:p>
    <w:p>
      <w:pPr>
        <w:spacing w:after="0" w:line="117"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market price of our common stock may decline to the extent that the current market price reflects a market assumption that the proposed merger will be completed.</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addition, if the merger agreement is terminated and our board of directors, or our Board, determines to seek another business combination, we may not be able to find a third party willing to provide equivalent or more attractive consideration than the consideration to be provided by each party in the merger. In such circumstances, our Board may elect to, among other things, divest all or a portion of our business, or take the steps necessary to liquidate all of our business and assets, and in either such case, the consideration that we receive may be less attractive than the consideration to be received by us pursuant to the merger agreement.</w:t>
      </w:r>
    </w:p>
    <w:p>
      <w:pPr>
        <w:spacing w:after="0" w:line="296"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b w:val="1"/>
          <w:bCs w:val="1"/>
          <w:i w:val="1"/>
          <w:iCs w:val="1"/>
          <w:color w:val="auto"/>
        </w:rPr>
        <w:t>If we do not successfully consummate the merger or another strategic transaction, our Board may decide to pursue a dissolution and liquidation. In such an event, the amount of cash available for distribution to our stockholders will depend heavily on the timing of such liquidation as well as the amount of cash that will need to be reserved for commitments and contingent liabilities.</w:t>
      </w:r>
    </w:p>
    <w:p>
      <w:pPr>
        <w:spacing w:after="0" w:line="57"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There can be no assurance that the merger will be completed. If the merger is not completed, our Board may decide to pursue a dissolution and liquidation. In such an event, the amount of cash available for distribution to our stockholders will depend heavily on the timing of such decision and, as with the passage of time the amount of cash available for distribution will be reduced as we continue to fund our operations. In addition, if our Board were to approve and recommend, and our stockholders were to approve, a dissolution and liquidation, we would be required under Delaware corporate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and the timing of any such resolution is uncertain. In addition, we may be subject to litigation or other claims related to a dissolution and liquidation. If a dissolution and liquidation were pursued, our Board, in consultation with our advisors, would need to evaluate these matters and make a determination about a reasonable amount to reserve. Accordingly, holders of our common stock could lose all or a significant portion of their investment in the event of a liquidation, dissolution or winding up.</w:t>
      </w:r>
    </w:p>
    <w:p>
      <w:pPr>
        <w:spacing w:after="0" w:line="293"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The amount of merger consideration may vary depending on the amount of our net cash as of a certain determination date prior to closing and the date on which the closing occurs, which could result in our stockholders owning a smaller percentage of the combined company than expected.</w:t>
      </w:r>
    </w:p>
    <w:p>
      <w:pPr>
        <w:spacing w:after="0" w:line="16"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Under the terms of the merger agreement, the number of shares of our common stock to be issued to Chondrial’s stockholder at the closing of the merger will be determined based on an exchange ratio, which will be calculated based on the total number of outstanding shares of our common stock and Chondrial common stock, each on a fully-diluted basis, and the respective valuations of Chondrial and us, as of immediately prior to the closing of the merger. If the closing had occurred on or before March 31, 2020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ind w:right="40"/>
        <w:spacing w:after="0" w:line="287" w:lineRule="auto"/>
        <w:rPr>
          <w:sz w:val="20"/>
          <w:szCs w:val="20"/>
          <w:color w:val="auto"/>
        </w:rPr>
      </w:pPr>
      <w:r>
        <w:rPr>
          <w:rFonts w:ascii="Arial" w:cs="Arial" w:eastAsia="Arial" w:hAnsi="Arial"/>
          <w:sz w:val="16"/>
          <w:szCs w:val="16"/>
          <w:color w:val="auto"/>
        </w:rPr>
        <w:t>there was no adjustment to the closing valuation of us (as described below), then immediately following the effective time of the merger, Chondrial’s stockholder would own, or hold rights to acquire, 60% of the common stock of the combined company, on a fully-diluted basis, and our existing stockholders would own or hold rights to acquire 40% of the common stock of the combined company, on a fully-diluted basis. The respective valuations of Chondrial and us, and the corresponding ownership percentages of Chondrial’s stockholder and our existing stockholders, will likely adjusted upward or downward based on the date the closing occurs and the net cash balance (defined in the merger agreement as cash, cash equivalents and marketable debt securities minus certain outstanding liabilities) of us as of a determination date prior to the closing of the merger, and as a result, either our stockholders could own less of the combined company than expected. As the closing of the merger will occur after March 31, 2020, our target net cash and lower target net cash and upper target net cash amounts will be reduced by $21,311 per day beginning on March 31, 2020 through the closing date of the merger, and the Chondrial valuation will be increased by $111,656 per day beginning on March 31, 2020 through the closing date of the merger, resulting in a corresponding adjustment to the exchange ratio and an increase to the ownership percentage of Chondrial’s stockholder in the combined company. There can be no assurances as to our level of net cash between now and closing or as to the date the closing will occur.</w:t>
      </w:r>
    </w:p>
    <w:p>
      <w:pPr>
        <w:spacing w:after="0" w:line="2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net cash may be less than $30,000,000 at the closing of the merger, which would cause a condition to Chondrial’s obligation to consummate the merger to fail to be satisfied and may result in the termination of the merger agreement.</w:t>
      </w:r>
    </w:p>
    <w:p>
      <w:pPr>
        <w:spacing w:after="0" w:line="6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are required to have a net cash balance of at least $30,000,000 at the closing of the merger as a condition to Chondrial’s obligation to consummate the merger. For purposes of the merger agreement, net cash is subject to certain reductions, including, without limitation, accounts payable, accrued expenses (except those related to the merger), current liabilities payable in cash, unpaid expenses related to the merger and certain other unpaid obligations, including outstanding lease obligations. The liability with regards to our outstanding lease obligations is a large component of our net cash and COVID-19 has created uncertainties surrounding our ability to take the steps necessary to sublease or negotiate a buy-out of our existing leases. In the event that our net cash falls below this threshold, a condition to Chondrial’s obligation to consummate the merger will fail to be satisfied and Chondrial will have the right to terminate the merger agreement at an outside date of September 17, 2020 (subject to extension as provided in the merger agreement) if our net cash continues to be lower than the $30,000,000 threshold.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officers and directors have conflicts of interest that may influence them to support or approve the merger.</w:t>
      </w:r>
    </w:p>
    <w:p>
      <w:pPr>
        <w:spacing w:after="0" w:line="117" w:lineRule="exact"/>
        <w:rPr>
          <w:sz w:val="20"/>
          <w:szCs w:val="20"/>
          <w:color w:val="auto"/>
        </w:rPr>
      </w:pPr>
    </w:p>
    <w:p>
      <w:pPr>
        <w:ind w:right="100" w:firstLine="510"/>
        <w:spacing w:after="0" w:line="311" w:lineRule="auto"/>
        <w:rPr>
          <w:sz w:val="20"/>
          <w:szCs w:val="20"/>
          <w:color w:val="auto"/>
        </w:rPr>
      </w:pPr>
      <w:r>
        <w:rPr>
          <w:rFonts w:ascii="Arial" w:cs="Arial" w:eastAsia="Arial" w:hAnsi="Arial"/>
          <w:sz w:val="16"/>
          <w:szCs w:val="16"/>
          <w:color w:val="auto"/>
        </w:rPr>
        <w:t>Our officers and directors participate in arrangements that provide them with interests in the merger that are different from yours, including, among others, their continued service as a director of the combined company, retention and severance benefits, the acceleration of restricted stock and option vesting and continued indemnification. These interests, among others, may influence our officers and directors to support or approve the merger.</w:t>
      </w:r>
    </w:p>
    <w:p>
      <w:pPr>
        <w:spacing w:after="0" w:line="25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merger may be completed even though material adverse changes may result from the announcement of the merger, industry-wide changes and other causes.</w:t>
      </w:r>
    </w:p>
    <w:p>
      <w:pPr>
        <w:spacing w:after="0" w:line="6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general, either party can refuse to complete the merger if there is a material adverse change affecting the other party between December 17, 2019, the date of the merger agreement, and the closing. However, some types of changes do not permit either party to refuse to complete the merger, even if such changes would have a material adverse effect on us or Chondrial, to the extent they resulted from the following and do not have a materially disproportionate effect on us or Chondrial, as the case may be: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9" w:name="page30"/>
    <w:bookmarkEnd w:id="29"/>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announcement or pendency of the merger agreement or the transactions contemplated thereby;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taking of any action, or the failure to take any action, by any party that is required to comply with the terms of the merger agreement;</w:t>
      </w:r>
    </w:p>
    <w:p>
      <w:pPr>
        <w:spacing w:after="0" w:line="140" w:lineRule="exact"/>
        <w:rPr>
          <w:rFonts w:ascii="Arial" w:cs="Arial" w:eastAsia="Arial" w:hAnsi="Arial"/>
          <w:sz w:val="16"/>
          <w:szCs w:val="16"/>
          <w:color w:val="auto"/>
        </w:rPr>
      </w:pPr>
    </w:p>
    <w:p>
      <w:pPr>
        <w:ind w:left="1000" w:hanging="493"/>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change in generally accepted accounting principles or any change in applicable laws, rules or regulations or the interpretation thereof;</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general economic or political conditions or conditions generally affecting the industries in which either party and its subsidiaries operate;</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us, any change in the stock price or trading volume of our common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us, subject to certain exceptions, a change in the listing status of our common stock on NASDAQ; or</w:t>
      </w:r>
    </w:p>
    <w:p>
      <w:pPr>
        <w:spacing w:after="0" w:line="117"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Chondrial, any change in the cash position of Chondrial or its subsidiaries which results from operations in the ordinary course of business.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adverse changes occur but we and Chondrial must still complete the merger, the combined company’s stock price may suffer.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the combined company’s common stock may decline as a result of the merger.</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market price of the combined company’s common stock may decline as a result of the merger for a number of reasons including if:</w:t>
      </w:r>
    </w:p>
    <w:p>
      <w:pPr>
        <w:spacing w:after="0" w:line="129" w:lineRule="exact"/>
        <w:rPr>
          <w:sz w:val="20"/>
          <w:szCs w:val="20"/>
          <w:color w:val="auto"/>
        </w:rPr>
      </w:pPr>
    </w:p>
    <w:p>
      <w:pPr>
        <w:ind w:left="1000" w:right="16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combined company does not achieve the perceived benefits of the merger as rapidly or to the extent anticipated by financial or industry analysts;</w:t>
      </w:r>
    </w:p>
    <w:p>
      <w:pPr>
        <w:spacing w:after="0" w:line="62"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the merger on the combined company’s business and prospects is not consistent with the expectations of financial or industry analysts; or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investors react negatively to the effect on the combined company’s business and prospects from the merger.</w:t>
      </w:r>
    </w:p>
    <w:p>
      <w:pPr>
        <w:spacing w:after="0" w:line="33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stockholders may not realize a benefit from the merger commensurate with the ownership dilution they will experience in connection with the merger.</w:t>
      </w:r>
    </w:p>
    <w:p>
      <w:pPr>
        <w:spacing w:after="0" w:line="6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If the combined company is unable to realize the strategic and financial benefits currently anticipated from the merger, our stockholders will have experienced substantial dilution of their ownership interest without receiving any commensurate benefit. Significant management attention and resources will be required to integrate the two companies. Delays in this process could adversely affect the combined company’s business, financial results, financial condition and stock price following the merger.</w:t>
      </w:r>
    </w:p>
    <w:p>
      <w:pPr>
        <w:spacing w:after="0" w:line="29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During the pendency of the merger, we may not be able to enter into a business combination with another party and will be subject to contractual limitations on certain actions because of restrictions in the merger agreement.</w:t>
      </w:r>
    </w:p>
    <w:p>
      <w:pPr>
        <w:spacing w:after="0" w:line="62"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Covenants in the merger agreement impede the ability of us or Chondrial to make acquisitions or complete other transactions that are not in the ordinary course of business pending completion of the merger. As a result, if the merger is not completed, the parties may be at a disadvantage to their competitors. In addition, while the merger agreement is in effect and subject to limited exceptions, each party is prohibited from soliciting, initiating, encouraging or taking actions designed to facilitate any inquiries or the making of any proposal or offer that could lead to the entering into certain extraordinary transactions with any third party, such as a sale of assets, an acquisition of our common stock, a tender offer for our common stock, a merger or other business combination outside the ordinary course of business. Any such transactions could be favorable to such party’s stockholders.</w:t>
      </w:r>
    </w:p>
    <w:p>
      <w:pPr>
        <w:spacing w:after="0" w:line="27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Because the lack of a public market for Chondrial common stock makes it difficult to evaluate the fairness of the merger, Chondrial’s stockholder may receive consideration in the merger that is greater than or less than the fair market value of Chondrial common stock.</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0" w:name="page31"/>
    <w:bookmarkEnd w:id="30"/>
    <w:p>
      <w:pPr>
        <w:ind w:firstLine="510"/>
        <w:spacing w:after="0" w:line="257" w:lineRule="auto"/>
        <w:rPr>
          <w:sz w:val="20"/>
          <w:szCs w:val="20"/>
          <w:color w:val="auto"/>
        </w:rPr>
      </w:pPr>
      <w:r>
        <w:rPr>
          <w:rFonts w:ascii="Arial" w:cs="Arial" w:eastAsia="Arial" w:hAnsi="Arial"/>
          <w:sz w:val="18"/>
          <w:szCs w:val="18"/>
          <w:color w:val="auto"/>
        </w:rPr>
        <w:t>The outstanding share capital of Chondrial is privately held and is not traded in any public market. The lack of a public market makes it extremely difficult to determine the fair market value of Chondrial. Since the percentage of our equity to be issued to Chondrial’s stockholder was determined based on negotiations between the parties, it is possible that the value of our common stock to be issued in connection with the merger will be greater than the fair market value of Chondrial. Alternatively, it is possible that the value of the shares of our common stock to be issued in connection with the merger will be less than the fair market value of Chondrial.</w:t>
      </w:r>
    </w:p>
    <w:p>
      <w:pPr>
        <w:spacing w:after="0" w:line="188"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The combined company will incur significant transaction costs as a result of the merger, including investment banking, legal and accounting fees. In addition, the combined company will incur significant consolidation and integration expenses which cannot be accurately estimated at this time. These costs could include the possible relocation of certain operations from Massachusetts to other offices of the combined company as well as costs associated with terminating existing office leases and the loss of benefits of certain favorable office leases. Actual transaction costs may substantially exceed Chondrial’s estimates and may have an adverse effect on the combined company’s financial condition and operating results.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of the merger to qualify as a reorganization within the meaning of Section 368(a) of the Code could harm the combined company.</w:t>
      </w:r>
    </w:p>
    <w:p>
      <w:pPr>
        <w:spacing w:after="0" w:line="129"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parties intend for the merger to qualify as a reorganization within the meaning of Section 368(a) of the Code, as amended. To comply with the requirements for a Section 368(a) reorganization, certain structural and other requirements for the transaction must be met; if not satisfied, Chondrial’s stockholder could be subject to tax liability.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merger is expected to result in a limitation on our ability to utilize our net operating loss carryforward.</w:t>
      </w:r>
    </w:p>
    <w:p>
      <w:pPr>
        <w:spacing w:after="0" w:line="11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Under Section 382 of the Code, use of our net operating loss carryforwards, or NOL, will be limited if we experience an “ownership change.” For these purposes, an ownership change generally occurs where the aggregate stock ownership of one or more stockholders or groups of stockholders who owns at least 5% of a corporation’s stock increases its ownership by more than 50 percentage points over its lowest ownership percentage within a specified testing period. We are expected to experience an ownership change as a result of the merger and therefore our ability to utilize our NOLs and certain credit carryforwards remaining at the effective time will be limited. The limitation will be determined by the fair market value of our common stock outstanding prior to the ownership change, multiplied by the applicable federal rate. Limitations imposed on our ability to utilize NOLs could cause U.S. federal and state income taxes to be paid earlier than would be paid if such limitations were not in effect and could cause such NOLs to expire unused, in each case reducing or eliminating the benefit of such NOLs.</w:t>
      </w:r>
    </w:p>
    <w:p>
      <w:pPr>
        <w:spacing w:after="0" w:line="28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Certain stockholders could attempt to influence changes which could adversely affect our operations, financial condition and the value of our common stock.</w:t>
      </w:r>
    </w:p>
    <w:p>
      <w:pPr>
        <w:spacing w:after="0" w:line="62"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Our stockholders may from time-to-time seek to acquire a controlling stake, engage in proxy solicitations, advance stockholder proposals or otherwise attempt to effect changes. Campaigns by stockholders to effect changes at publicly-traded companies are sometimes led by investors seeking to increase short-term stockholder value through actions such as financial restructuring, increased debt, special dividends, stock repurchases or sales of assets or the entire company. Responding to proxy contests and other actions by activist stockholders can be costly and time-consuming, and could disrupt our operations and divert the attention of our Board and senior management from the pursuit of the proposed merger transaction. These actions could adversely affect our operations, financial condition, our ability to consummate the merger and the value of our common stock.</w:t>
      </w:r>
    </w:p>
    <w:p>
      <w:pPr>
        <w:spacing w:after="0" w:line="27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Chondrial and us may become involved in securities litigation or stockholder derivative litigation in connection with the merger, and this could divert the attention of our management and Chondrial management and harm the combined company’s business, and insurance coverage may not be sufficient to cover all related costs and damages.</w:t>
      </w:r>
    </w:p>
    <w:p>
      <w:pPr>
        <w:spacing w:after="0" w:line="76"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Securities litigation or stockholder derivative litigation frequently follows the announcement of certain significant business transactions, such as the sale of a business division or announcement of a business combination transaction. Chondrial and us may become involved in this type of litigation in connection with the merger, and the combined company may become involved in this type of litigation in the future. Litigation often is expensive and diverts management’s attention and resources, which could adversely affect our business, Chondrial and the combined company.</w:t>
      </w:r>
    </w:p>
    <w:p>
      <w:pPr>
        <w:spacing w:after="0" w:line="2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Failure to complete the merger may result in us and Chondrial paying a termination fee or expenses to the other party and could harm the price of our common stock and the future business and operations of each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1" w:name="page32"/>
    <w:bookmarkEnd w:id="31"/>
    <w:p>
      <w:pPr>
        <w:ind w:right="60" w:firstLine="510"/>
        <w:spacing w:after="0" w:line="301" w:lineRule="auto"/>
        <w:rPr>
          <w:sz w:val="20"/>
          <w:szCs w:val="20"/>
          <w:color w:val="auto"/>
        </w:rPr>
      </w:pPr>
      <w:r>
        <w:rPr>
          <w:rFonts w:ascii="Arial" w:cs="Arial" w:eastAsia="Arial" w:hAnsi="Arial"/>
          <w:sz w:val="16"/>
          <w:szCs w:val="16"/>
          <w:color w:val="auto"/>
        </w:rPr>
        <w:t>If the merger is not completed and the merger agreement is terminated under certain circumstances, we or Chondrial may be required to pay the other party a termination fee of $3,375,000 and/or an expense reimbursement of up to $350,000. Even if a termination fee or expense reimbursement is not payable in connection with a termination of the merger agreement, we and Chondrial will have incurred significant fees and expenses, which must be paid whether or not the merger is completed. Further, if the merger is not completed, it could significantly harm the market price of our common stock.</w:t>
      </w:r>
    </w:p>
    <w:p>
      <w:pPr>
        <w:spacing w:after="0" w:line="2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exchange ratio is not adjustable based on the market price of our common stock so the merger consideration at the closing may have greater or lesser value than the market price at the time the merger agreement was signed.</w:t>
      </w:r>
    </w:p>
    <w:p>
      <w:pPr>
        <w:spacing w:after="0" w:line="62" w:lineRule="exact"/>
        <w:rPr>
          <w:sz w:val="20"/>
          <w:szCs w:val="20"/>
          <w:color w:val="auto"/>
        </w:rPr>
      </w:pPr>
    </w:p>
    <w:p>
      <w:pPr>
        <w:ind w:right="60" w:firstLine="510"/>
        <w:spacing w:after="0" w:line="291" w:lineRule="auto"/>
        <w:rPr>
          <w:sz w:val="20"/>
          <w:szCs w:val="20"/>
          <w:color w:val="auto"/>
        </w:rPr>
      </w:pPr>
      <w:r>
        <w:rPr>
          <w:rFonts w:ascii="Arial" w:cs="Arial" w:eastAsia="Arial" w:hAnsi="Arial"/>
          <w:sz w:val="16"/>
          <w:szCs w:val="16"/>
          <w:color w:val="auto"/>
        </w:rPr>
        <w:t>The merger agreement has set the exchange ratio for Chondrial common stock, and the exchange ratio is based on the outstanding Chondrial common stock and our outstanding common stock, in each case immediately prior to the closing of the merger. Applying the exchange ratio formula in the merger agreement, the former Chondrial stockholders immediately before the merger are expected to own 60% of our outstanding capital stock immediately following the merger, and our stockholders immediately before the merger are expected to own approximately 40% of our outstanding capital stock immediately following the merger, subject to certain assumptions. Under certain circumstances further described in the merger agreement, however, these ownership percentages may be adjusted upward or downward based on the date the closing occurs and the cash levels of the respective companies at the closing of the merger, and as a result, our stockholders could own less of the combined company than expected.</w:t>
      </w:r>
    </w:p>
    <w:p>
      <w:pPr>
        <w:spacing w:after="0" w:line="166"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Any changes in the market price of our common stock before the completion of the merger will not affect the number of shares of our common stock issuable to Chondrial’s stockholders pursuant to the merger agreement. Therefore, if before the completion of the merger the market price of our common stock declines from the market price on the date of the merger agreement, then Chondrial’s stockholders could receive merger consideration with substantially lower value than the value of such merger consideration on the date of the merger agreement. Similarly, if before the completion of the merger the market price of our common stock increases from the market price of our common stock on the date of the merger agreement, then Chondrial’s stockholders could receive merger consideration with substantially greater value than the value of such merger consideration on the date of the merger agreement. The merger agreement does not include a price-based termination right. Because the exchange ratio does not adjust as a result of changes in the market price of our common stock, for each one percentage point change in the market price of our common stock, there is a corresponding one percentage point rise or decline, respectively, in the value of the total merger consideration payable to Chondrial’s stockholders pursuant to the merger agreement.</w:t>
      </w:r>
    </w:p>
    <w:p>
      <w:pPr>
        <w:spacing w:after="0" w:line="27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Certain provisions of the merger agreement may discourage third parties from submitting alternative takeover proposals, including proposals that may be superior to the arrangements contemplated by the merger agreement.</w:t>
      </w:r>
    </w:p>
    <w:p>
      <w:pPr>
        <w:spacing w:after="0" w:line="62"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The terms of the merger agreement prohibit each of us and Chondrial from soliciting alternative takeover proposals or cooperating with persons making unsolicited takeover proposals, except in limited circumstances when our Board determines in good faith that an unsolicited alternative takeover proposal is or is reasonably likely to lead to a superior takeover proposal and that failure to cooperate with the proponent of the proposal would be reasonably likely to be inconsistent with our Board fiduciary duties.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conditions to the merger are not met, the merger may not occur.</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Even if share issuance and reverse stock split are approved by our stockholders and Chondrial’s, specified conditions must be satisfied or waived to complete the merger. These conditions are set forth in the merger agreement. We cannot assure you that all of the conditions will be satisfied or waived. If the conditions are not satisfied or waived, the merger will not occur or will be delayed, and we and Chondrial each may lose some or all of the intended benefits of the merger.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ability to consummate the proposed merger with Chondrial, depends on our ability to retain our employees required to consummate a strategic transaction as previously announced.</w:t>
      </w:r>
    </w:p>
    <w:p>
      <w:pPr>
        <w:spacing w:after="0" w:line="62"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Our ability to consummate the proposed merger with Chondrial depends upon our ability to retain our employees required to consummate a strategic transaction, the loss of whose services may adversely impact the ability to consummate the merger. On September 10, 2019, we announced a reduction in workforce that includes reducing employees by approximately 48%, and when combined with the reduction in workforce announced on July 24, 2019 and other attrition in 2019, resulted in a total reduction of employees of approximately 70%.</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2" w:name="page33"/>
    <w:bookmarkEnd w:id="32"/>
    <w:p>
      <w:pPr>
        <w:ind w:right="80" w:firstLine="510"/>
        <w:spacing w:after="0" w:line="259" w:lineRule="auto"/>
        <w:rPr>
          <w:sz w:val="20"/>
          <w:szCs w:val="20"/>
          <w:color w:val="auto"/>
        </w:rPr>
      </w:pPr>
      <w:r>
        <w:rPr>
          <w:rFonts w:ascii="Arial" w:cs="Arial" w:eastAsia="Arial" w:hAnsi="Arial"/>
          <w:sz w:val="18"/>
          <w:szCs w:val="18"/>
          <w:color w:val="auto"/>
        </w:rPr>
        <w:t>On September 10, 2019, we also announced a retention plan for the remaining executive officers and implemented retention plans for the other remaining employees that is designed to retain the employees required to explore and consummate a strategic transaction. We have entered into amendments to severance and change in control agreements with certain of our executive officers, but they may terminate their employment with us at any time.</w:t>
      </w:r>
    </w:p>
    <w:p>
      <w:pPr>
        <w:spacing w:after="0" w:line="79" w:lineRule="exact"/>
        <w:rPr>
          <w:sz w:val="20"/>
          <w:szCs w:val="20"/>
          <w:color w:val="auto"/>
        </w:rPr>
      </w:pPr>
    </w:p>
    <w:p>
      <w:pPr>
        <w:ind w:right="860" w:firstLine="510"/>
        <w:spacing w:after="0" w:line="277" w:lineRule="auto"/>
        <w:rPr>
          <w:sz w:val="20"/>
          <w:szCs w:val="20"/>
          <w:color w:val="auto"/>
        </w:rPr>
      </w:pPr>
      <w:r>
        <w:rPr>
          <w:rFonts w:ascii="Arial" w:cs="Arial" w:eastAsia="Arial" w:hAnsi="Arial"/>
          <w:sz w:val="18"/>
          <w:szCs w:val="18"/>
          <w:color w:val="auto"/>
        </w:rPr>
        <w:t>With any change in leadership, there is also a risk to retention of employees, as well as the potential for disruption to our exploration and consummation of a strategic alternative as well as business operations, initiatives, plans and strategies.</w:t>
      </w:r>
    </w:p>
    <w:p>
      <w:pPr>
        <w:spacing w:after="0" w:line="6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In addition, responses to the COVID-19 pandemic have resulted in significant governmental measures being implemented to control the spread of the virus, including quarantines, stay-at-home orders, and business shutdowns. We have taken temporary precautionary measures intended to help minimize the risk of the virus to our employees, including temporarily requiring all employees to work remotely. These measures could negatively affect our business. For instance, temporarily requiring all employees to work remotely, or in the event that our employees are personally affected by COVID-19, it may adversely impact our ability to consummate the merger, disrupt our operations or increase the risk of a cybersecurity incident.</w:t>
      </w:r>
    </w:p>
    <w:p>
      <w:pPr>
        <w:spacing w:after="0" w:line="269"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We must maintain effective internal control over financial reporting, and if we are unable to do so, the accuracy and timeliness of our financial reporting may be adversely affected, which could have a material adverse effect on our business and stock price.</w:t>
      </w:r>
    </w:p>
    <w:p>
      <w:pPr>
        <w:spacing w:after="0" w:line="146"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We must maintain effective internal control over financial reporting in order to accurately and timely report our results of operations and financial condition. In addition, as a public company, the Sarbanes-Oxley Act of 2002, or the Sarbanes-Oxley Act, requires, among other things, that we assess the effectiveness of our disclosure controls and procedures quarterly and the effectiveness of our internal control over financial reporting at the end of each fiscal year.</w:t>
      </w:r>
    </w:p>
    <w:p>
      <w:pPr>
        <w:spacing w:after="0" w:line="18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Our management may not be able to effectively and timely implement controls and procedures that adequately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will be placed upon us as a public company, including the requirements of the Sarbanes-Oxley Act, our business and reputation may be harmed and our stock price may decline. Furthermore, investor perceptions of us may be adversely affected, which could cause a decline in the market price of our common stock.</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ongoing COVID-19 pandemic may, directly or indirectly, adversely affect our business, results of operations and financial condition.</w:t>
      </w:r>
    </w:p>
    <w:p>
      <w:pPr>
        <w:spacing w:after="0" w:line="237"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Our business could be materially adversely affected, directly or indirectly, by the ongoing COVID-19 pandemic. National, state and local governments in affected regions have implemented and may continue to implement safety precautions, including quarantines, border closures, increased border controls, travel restrictions, shelter in place orders and shutdowns, business closures, cancellations of public gatherings and other measures. Organizations and individuals are taking additional steps to avoid or reduce infection, including limiting travel and staying home from work. These measures are disrupting normal business and governmental operations both in and outside of affected areas and have had significant negative impacts on businesses and financial markets worldwide.</w:t>
      </w:r>
    </w:p>
    <w:p>
      <w:pPr>
        <w:spacing w:after="0" w:line="192"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We continue to monitor our operations and applicable government recommendations, and we have made modifications to our normal operations because of the COVID-19 pandemic, including requiring employees to work remotely. Notwithstanding these measures, the COVID-19 pandemic could affect the health and availability of our workforce as well as those of the third parties we rely on taking similar measures. We may experience limitations in employee resources, including because of sickness of employees or their families or the desire of employees to avoid contact with individuals or large groups of people. In addition, we have experienced and will continue to experience disruptions to our business operations resulting from quarantines, self-isolations and other restrictions on the ability of our employees to perform their jobs. If members of our management and other key personnel in critical functions across our organization are unable to perform their duties or have limited availability due to COVID-19, we may not be able to execute on our business strategy, our operations may be negatively impacted, and the closing of our merger with Chondrial Therapeutics, Inc. may be affected.</w:t>
      </w:r>
    </w:p>
    <w:p>
      <w:pPr>
        <w:spacing w:after="0" w:line="165"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We have already experienced business disruptions from the COVID-19 pandemic, for example, the COVID-19 pandemic has created uncertainties surrounding our ability to take the steps necessary to sublease or negotiate a buy-out of our existing leases. While it is not possible at this time to estimate the entirety of the impact that the COVID-19 pandemic will have on our business,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3" w:name="page34"/>
    <w:bookmarkEnd w:id="33"/>
    <w:p>
      <w:pPr>
        <w:ind w:right="60"/>
        <w:spacing w:after="0" w:line="342" w:lineRule="auto"/>
        <w:rPr>
          <w:sz w:val="20"/>
          <w:szCs w:val="20"/>
          <w:color w:val="auto"/>
        </w:rPr>
      </w:pPr>
      <w:r>
        <w:rPr>
          <w:rFonts w:ascii="Arial" w:cs="Arial" w:eastAsia="Arial" w:hAnsi="Arial"/>
          <w:sz w:val="16"/>
          <w:szCs w:val="16"/>
          <w:color w:val="auto"/>
        </w:rPr>
        <w:t>and employees, the continued spread of COVID-19 including the measures taken by governments, actions taken to protect employees and the broad impact of the pandemic on all business activities may continue to materially and adversely affect our business, results of operations and financial condition.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including disruptions as a result of the COVID-19 pandemic. A severe or prolonged economic downturn could result in a variety of risks to our business, including, weakened demand for our future product candidates, if any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300"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Our internal computer systems, or those of our third-party contract research organizations or other contractors or consultants, may fail or suffer security breaches, which could result in a material disruption of our future product candidates.</w:t>
      </w:r>
    </w:p>
    <w:p>
      <w:pPr>
        <w:spacing w:after="0" w:line="38" w:lineRule="exact"/>
        <w:rPr>
          <w:sz w:val="20"/>
          <w:szCs w:val="20"/>
          <w:color w:val="auto"/>
        </w:rPr>
      </w:pPr>
    </w:p>
    <w:p>
      <w:pPr>
        <w:ind w:right="120" w:firstLine="510"/>
        <w:spacing w:after="0" w:line="270" w:lineRule="auto"/>
        <w:rPr>
          <w:sz w:val="20"/>
          <w:szCs w:val="20"/>
          <w:color w:val="auto"/>
        </w:rPr>
      </w:pPr>
      <w:r>
        <w:rPr>
          <w:rFonts w:ascii="Arial" w:cs="Arial" w:eastAsia="Arial" w:hAnsi="Arial"/>
          <w:sz w:val="17"/>
          <w:szCs w:val="17"/>
          <w:color w:val="auto"/>
        </w:rPr>
        <w:t>Despite the implementation of security measures, our internal computer systems and those of our third-party contract research organizations, or CROs, and other contractors and consultants are vulnerable to damage from computer viruses, unauthorized access, natural disasters, terrorism, war and telecommunication and electrical failures. The number and complexity of these threats continue to increase over time, including as a result of employees working remotely in response to COVID-19. While we have not experienced any such system failure or accident, if such an event were to occur and cause interruptions in our operations, it could result in a material disruption of our programs. For example, the loss of nonclinical or clinical trial data for our future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future product candidates could be delayed.</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products, or form strategic alliances, in the future, and we may not realize the benefits of such acquisitions or alliances.</w:t>
      </w:r>
    </w:p>
    <w:p>
      <w:pPr>
        <w:spacing w:after="0" w:line="152"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such transactions if we are unable to successfully integrate such businesses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transaction including the proposed merger with Chondrial, we will achieve the expected synergies to justify the transaction.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product liability exposure, and, if claims are brought against us, we may incur substantial liability.</w:t>
      </w:r>
    </w:p>
    <w:p>
      <w:pPr>
        <w:spacing w:after="0" w:line="11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use of any future product candidates in clinical trials, if any, and the sale of any future product candidates, if developed and approved, exposes us to the risk of product liability claims. Product liability claims might be brought against us by patients, healthcare providers or others selling or otherwise who have come into contact with our future product candidates. For example, we may be sued if any product we develop allegedly causes injury or death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 If we become subject to product liability claims and cannot successfully defend ourselves against them, we could incur substantial liabilities. In addition, regardless of merit or eventual outcome, product liability claims may result in, among other things:</w:t>
      </w:r>
    </w:p>
    <w:p>
      <w:pPr>
        <w:spacing w:after="0" w:line="70"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withdrawal of patients from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decreased demand for our future product candidates following marketing approval, if obtained;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damage to our reputation and exposure to adverse publicity;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U.S. Food and Drug Administration, or FDA, warnings on product labels;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costs;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to successfully commercialize our future product candidates, if approved.</w:t>
      </w:r>
    </w:p>
    <w:p>
      <w:pPr>
        <w:spacing w:after="0" w:line="225"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For our prior clinical trials, we have maintained product liability insurance coverage with a $10.0 million annual aggregate coverage limit. Nevertheless,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If and when we obtain marketing approval for our future product candidates,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and prospects could be materially adversely affected.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On December 22, 2017, President Trump signed into law the “Tax Cuts and Jobs Act,” or the TCJA, that significantly reforms the Internal Revenue Code of 1986, as amended, or the Code. The TCJA, among other things, contains significant changes to corporate taxation, including reduction of the corporate tax rate, limitation of the tax deduction for interest expense, limitation of the deduction for net operating losses and elimination of net operating loss carrybacks and modifying or repealing many business deductions and credits (including reducing the business tax credit for certain clinical testing expenses incurred in the testing of certain drugs for rare diseases or conditions generally referred to as “orphan drugs”). In 2017, our net deferred tax assets and liabilities were revalued at the newly enacted U.S. corporate rate.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tax credit carryforwards may be subject to limitation.</w:t>
      </w:r>
    </w:p>
    <w:p>
      <w:pPr>
        <w:spacing w:after="0" w:line="117"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color w:val="auto"/>
        </w:rPr>
        <w:t>Since our inception in 2005, we have not recorded any U.S. federal or state income tax benefits for the net losses we have incurred in each year or our earned tax credits, due to our uncertainty of realizing a benefit from those items. As of December 31, 2019, we had net operating loss carryforwards for federal and state income tax purposes of $55.7 million and $57.0 million, respectively, which begin to expire in 2026 and 2030, respectively. As of December 31, 2019, we also had available tax credit carryforwards for federal and state income tax purposes of $17.9 million and $4.2 million, respectively, which begin to expire in 2026 and 2022, respectively. Under Section 382 of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Our follow-on public offering, initial public offering, or IPO, private placements and other transactions that have occurred since our inception, may trigger such an ownership change pursuant to Section 382. Any such limitation, whether as the result of our follow-on public offering, IPO, prior private placements, sales of our common stock by our existing stockholders or additional sales of our common stock by us,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 The reduction of the corporate tax rate under TCJA may cause a reduction in the economic benefit of our net operating loss carryforwards and other deferred tax assets available to us. Under the TCJA, net operating losses generated after December 31, 2017 will not be subject to expiration. As of December 31, 2019, we had net operating loss carryforwards that were generated after December 31, 2017, of $21.2 million that do not expire.</w:t>
      </w:r>
    </w:p>
    <w:p>
      <w:pPr>
        <w:spacing w:after="0" w:line="28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violating applicable regulatory standards and requirements or engaging in insider trading, which could significantly harm our business.</w:t>
      </w:r>
    </w:p>
    <w:p>
      <w:pPr>
        <w:spacing w:after="0" w:line="62"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We are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line="271" w:lineRule="auto"/>
        <w:rPr>
          <w:sz w:val="20"/>
          <w:szCs w:val="20"/>
          <w:color w:val="auto"/>
        </w:rPr>
      </w:pPr>
      <w:r>
        <w:rPr>
          <w:rFonts w:ascii="Arial" w:cs="Arial" w:eastAsia="Arial" w:hAnsi="Arial"/>
          <w:sz w:val="17"/>
          <w:szCs w:val="17"/>
          <w:color w:val="auto"/>
        </w:rPr>
        <w:t>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We have adopted an insider trading policy and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w:t>
      </w:r>
    </w:p>
    <w:p>
      <w:pPr>
        <w:spacing w:after="0" w:line="117" w:lineRule="exact"/>
        <w:rPr>
          <w:sz w:val="20"/>
          <w:szCs w:val="20"/>
          <w:color w:val="auto"/>
        </w:rPr>
      </w:pPr>
    </w:p>
    <w:p>
      <w:pPr>
        <w:ind w:right="360" w:firstLine="510"/>
        <w:spacing w:after="0" w:line="342" w:lineRule="auto"/>
        <w:rPr>
          <w:sz w:val="20"/>
          <w:szCs w:val="20"/>
          <w:color w:val="auto"/>
        </w:rPr>
      </w:pPr>
      <w:r>
        <w:rPr>
          <w:rFonts w:ascii="Arial" w:cs="Arial" w:eastAsia="Arial" w:hAnsi="Arial"/>
          <w:sz w:val="16"/>
          <w:szCs w:val="16"/>
          <w:color w:val="auto"/>
        </w:rPr>
        <w:t>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24"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29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 or expand our internal efforts and growth.</w:t>
      </w:r>
    </w:p>
    <w:p>
      <w:pPr>
        <w:spacing w:after="0" w:line="6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future drug development programs and the potential commercialization of our future product candidates, if any, will require substantial additional cash to fund expenses. For our future product candidates, if any, we may decide to collaborate with pharmaceutical and biotechnology companies for the development and potential commercialization of those product candidates in some or all markets.</w:t>
      </w:r>
    </w:p>
    <w:p>
      <w:pPr>
        <w:spacing w:after="0" w:line="184" w:lineRule="exact"/>
        <w:rPr>
          <w:sz w:val="20"/>
          <w:szCs w:val="20"/>
          <w:color w:val="auto"/>
        </w:rPr>
      </w:pPr>
    </w:p>
    <w:p>
      <w:pPr>
        <w:ind w:right="100" w:firstLine="510"/>
        <w:spacing w:after="0" w:line="289"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for any future product candidates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applicable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future product candidates, if any. The terms of any collaboration or other arrangements that we may establish may not be favorable to us.</w:t>
      </w:r>
    </w:p>
    <w:p>
      <w:pPr>
        <w:spacing w:after="0" w:line="166" w:lineRule="exact"/>
        <w:rPr>
          <w:sz w:val="20"/>
          <w:szCs w:val="20"/>
          <w:color w:val="auto"/>
        </w:rPr>
      </w:pPr>
    </w:p>
    <w:p>
      <w:pPr>
        <w:ind w:right="420" w:firstLine="510"/>
        <w:spacing w:after="0" w:line="286" w:lineRule="auto"/>
        <w:rPr>
          <w:sz w:val="20"/>
          <w:szCs w:val="20"/>
          <w:color w:val="auto"/>
        </w:rPr>
      </w:pPr>
      <w:r>
        <w:rPr>
          <w:rFonts w:ascii="Arial" w:cs="Arial" w:eastAsia="Arial" w:hAnsi="Arial"/>
          <w:sz w:val="17"/>
          <w:szCs w:val="17"/>
          <w:color w:val="auto"/>
        </w:rPr>
        <w:t>We may also be restricted under existing license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5"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We may not be able to negotiate collaborations on a timely basis, on acceptable terms, or at all. If we are unable or unwilling to do so, we may have to curtail the development of our future product candidates for which we are seeking to collaborate, reduce or delay our development program or one or more of our other development programs, delay potential commercialization in some or all markets or reduce the scope of any sales or marketing activities, or increase our expenditures and undertake development or commercialization activities at our own expense, including potentially increasing our infrastructure and investment outside the United States. If we elect to increase our expenditures to fund development or commercialization activities on our own, we will need to obtain additional capital, which may not be available to us on acceptable terms or at all. If we do not have sufficient funds, we may not be able to further develop our future product candidates, if any, or bring them to market and generate product revenue. In addition, such efforts may require diversion of a disproportionate amount of our attention away from other day-to-day activities and require devotion of a substantial amount of our time to managing these expansion activities.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ind w:right="20" w:firstLine="510"/>
        <w:spacing w:after="0" w:line="291" w:lineRule="auto"/>
        <w:rPr>
          <w:sz w:val="20"/>
          <w:szCs w:val="20"/>
          <w:color w:val="auto"/>
        </w:rPr>
      </w:pPr>
      <w:r>
        <w:rPr>
          <w:rFonts w:ascii="Arial" w:cs="Arial" w:eastAsia="Arial" w:hAnsi="Arial"/>
          <w:sz w:val="16"/>
          <w:szCs w:val="16"/>
          <w:color w:val="auto"/>
        </w:rPr>
        <w:t>In addition, any future collaborations that we enter into for our future product candidates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not be able to comply with all applicable listing requirements or standards of the NASDAQ Global Market and Nasdaq could delist our common stock.</w:t>
      </w:r>
    </w:p>
    <w:p>
      <w:pPr>
        <w:spacing w:after="0" w:line="170" w:lineRule="exact"/>
        <w:rPr>
          <w:sz w:val="20"/>
          <w:szCs w:val="20"/>
          <w:color w:val="auto"/>
        </w:rPr>
      </w:pPr>
    </w:p>
    <w:p>
      <w:pPr>
        <w:ind w:right="160" w:firstLine="510"/>
        <w:spacing w:after="0" w:line="275" w:lineRule="auto"/>
        <w:rPr>
          <w:sz w:val="20"/>
          <w:szCs w:val="20"/>
          <w:color w:val="auto"/>
        </w:rPr>
      </w:pPr>
      <w:r>
        <w:rPr>
          <w:rFonts w:ascii="Arial" w:cs="Arial" w:eastAsia="Arial" w:hAnsi="Arial"/>
          <w:sz w:val="17"/>
          <w:szCs w:val="17"/>
          <w:color w:val="auto"/>
        </w:rPr>
        <w:t>Our common stock is currently listed on the NASDAQ Global Market. In order to maintain that listing, we must satisfy minimum financial and other continued listing requirements and standards. One such requirement is that we maintain a minimum bid price of at least $1.00 per share for our common stock. For example, in April 2020, we received a letter from the Listing Qualifications Department of the Nasdaq advising us that for 30 consecutive trading days preceding the date of the Notice, the bid price of our common stock had closed below the $1.00 per share minimum required for continued listing on Nasdaq pursuant to Nasdaq Listing Rule 5450(a)(1), or the Minimum Bid Price Requirement.</w:t>
      </w:r>
    </w:p>
    <w:p>
      <w:pPr>
        <w:spacing w:after="0" w:line="176"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Under Nasdaq Listing Rule 5810(c)(3)(A), if during the 180 calendar day period following the date of the Notice the closing bid price of our common stock is at or above $1.00 for a minimum of 10 consecutive business days, we will regain compliance with the Minimum Bid Price Requirement and our common stock will continue to be eligible for listing on Nasdaq, absent noncompliance with any other requirement for continued listing. On April 16, 2020, Nasdaq announced it was providing temporary relief from continued listing bid price requirements through June 30, 2020. Under the relief we will have additional time to regain compliance with the listing bid price requirements with the compliance period beginning July 1, 2020. As such, the compliance period for us will expire on December 28, 2020.</w:t>
      </w:r>
    </w:p>
    <w:p>
      <w:pPr>
        <w:spacing w:after="0" w:line="19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If we do not regain compliance with the Minimum Bid Price Requirement within an allotted grace period, then under Nasdaq Listing Rule 5810(c) (3)(A)(i) we may transfer to The Nasdaq Capital Market, provided that we meet the applicable market value of the publicly held shares requirement for continued listing as well as all other standards for initial listing of our common stock on The Nasdaq Capital Market and we notify Nasdaq of our intention to cure the deficiency during a second grace period. Following a transfer to The Nasdaq Capital Market, we may be afforded an additional 180-days to regain compliance with the Minimum Bid Price Requirement. If we do not regain compliance with the Minimum Bid Price Requirement within the allotted grace period, our shares of common stock would be subject to delisting. In the event that our common stock is not eligible for continued listing on Nasdaq or another national securities exchange, trading of our common stock could be conducted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security analysts and the news media, which could cause the price of our common stock to decline further. Also, it may be difficult for us to raise additional capital if our stock is not listed on a major exchange.</w:t>
      </w:r>
    </w:p>
    <w:p>
      <w:pPr>
        <w:spacing w:after="0" w:line="182"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In September 2019, we received a similar Notice that we were not in compliance with the minimum bid price requirements set forth in Nasdaq Listing Rule 5550(a)(1) for continued listing on Nasdaq. Prior to the expiration of the then compliance period, we came into compliance with the minimum bid price requirements and we were notified by Nasdaq of such compliance and the matter was closed.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We expect that our stock price will continue to fluctuate significantly.</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market price of shares of our common stock, similar to the market price of shares of common stock of other biopharmaceutical companies, is subject to wide fluctuations. From January 1, 2020 to March 31, 2020 the daily closing price of our common stock on the NASDAQ Global Market ranged from a high of $1.49 to a low of $0.66 and will continue to be subject to wide fluctuations in response to many risk factors listed in this section, and others beyond our control, including:</w:t>
      </w:r>
    </w:p>
    <w:p>
      <w:pPr>
        <w:spacing w:after="0" w:line="79"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COVID-19 pandemic and its global economic impact;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plans and expectations regarding the merger with Chondrial, including the expected completion of the merger;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studies and clinical trials of our future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failure of the FDA to permit an investigational new drug application, or IND, to go into effect for our future product candidates, if any;</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failure of the FDA or the European Medicines Agency, or EMA, to approve our future product candidates, if any;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 adequate safety margin and profile for our future product candidates, if any;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our future product candidates, if successfully developed and approved, to achieve commercial success;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2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addition, the stock market in general, and NASDAQ listed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instituted securities class action litigation against the company that issued the stock.</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Our executive officers, directors, and principal stockholders exercise significant control over our company.</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As of April 30, 2020, the existing holdings of our executive officers, directors, principal stockholders and their affiliates, including investment funds affiliated with Atlas Ventures, 683 Capital Management, LLC, AIGH Capital Management, LLC, Renaissance Technologies LLC, Sphera Funds Management Ltd., and Sio Capital Management, LLC, represent beneficial ownership, in the aggregate, of approximately 48.5% of our common stock. As a result, these stockholders, if they act together, are able to influence our management and affairs and control the outcome of matters submitted to our stockholders for approval, including the election of directors and any sale, merger, consolidation, or sale of all or substantially all of our assets. The concentration of voting power among these stockholders may have an adverse effect on the price of our common stock. In addition, this concentration of ownership might adversely affect the market price of our common stock by:</w:t>
      </w:r>
    </w:p>
    <w:p>
      <w:pPr>
        <w:spacing w:after="0" w:line="69"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delaying, deferring or preventing our change of control;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w:t>
      </w:r>
    </w:p>
    <w:p>
      <w:pPr>
        <w:spacing w:after="0" w:line="117" w:lineRule="exact"/>
        <w:rPr>
          <w:sz w:val="20"/>
          <w:szCs w:val="20"/>
          <w:color w:val="auto"/>
        </w:rPr>
      </w:pPr>
    </w:p>
    <w:p>
      <w:pPr>
        <w:ind w:right="120" w:firstLine="510"/>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an increased risk of securities class action litigation.</w:t>
      </w:r>
    </w:p>
    <w:p>
      <w:pPr>
        <w:spacing w:after="0" w:line="117"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Historically, securities class action litigation has often been brought against a company following a decline in the market price of its securities. This risk is especially relevant for us because biotechnology and pharmaceutical companies, including us, have experienced significant stock price volatility in the past.</w:t>
      </w:r>
    </w:p>
    <w:p>
      <w:pPr>
        <w:spacing w:after="0" w:line="2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have availed ourselves of reduced disclosure requirements applicable to smaller reporting companies, which could make our common stock less attractive to investors.</w:t>
      </w:r>
    </w:p>
    <w:p>
      <w:pPr>
        <w:spacing w:after="0" w:line="170"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We are a smaller reporting company, and we will remain a smaller reporting company as long as our voting and non-voting common shares held by non-affiliates is less than $75 million measured on the last business day of our second fiscal quarter; or our annual revenues are less than $100 million during the most recently completed fiscal year and our voting and non-voting common shares held by non-affiliates is less than $700 million measured on the last business day of our second fiscal quarter.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178" w:lineRule="exact"/>
        <w:rPr>
          <w:sz w:val="20"/>
          <w:szCs w:val="20"/>
          <w:color w:val="auto"/>
        </w:rPr>
      </w:pPr>
    </w:p>
    <w:p>
      <w:pPr>
        <w:jc w:val="both"/>
        <w:ind w:right="340" w:firstLine="510"/>
        <w:spacing w:after="0" w:line="286" w:lineRule="auto"/>
        <w:rPr>
          <w:sz w:val="20"/>
          <w:szCs w:val="20"/>
          <w:color w:val="auto"/>
        </w:rPr>
      </w:pPr>
      <w:r>
        <w:rPr>
          <w:rFonts w:ascii="Arial" w:cs="Arial" w:eastAsia="Arial" w:hAnsi="Arial"/>
          <w:sz w:val="17"/>
          <w:szCs w:val="17"/>
          <w:color w:val="auto"/>
        </w:rPr>
        <w:t>We may choose to take advantage of some, but not all, of the available exemptions for smaller reporting companies. We cannot predict whether investors will find our common stock less attractive if we rely on these exemptions. If some investors find our common stock less attractive as a result, there may be a less active trading market for our common stock and our shares price may be more volatile.</w:t>
      </w:r>
    </w:p>
    <w:p>
      <w:pPr>
        <w:spacing w:after="0" w:line="27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We have never paid dividends on our common stock and we do not anticipate paying any dividends in the foreseeable future. Consequently, any gains from an investment in our common stock will likely depend on whether the price of our common stock increases.</w:t>
      </w:r>
    </w:p>
    <w:p>
      <w:pPr>
        <w:spacing w:after="0" w:line="16"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We have not paid dividends on any of our common stock to date and we currently intend to retain all of our future earnings, if any, to fund the development and growth of our business. As a result, capital appreciation, if any, of our common stock will be the sole source of gains for our common stockholders for the foreseeable future. Consequently, in the foreseeable future, our common stockholders will likely only experience a gain from their investment in our common stock if the price of our common stock increases.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9" w:name="page40"/>
    <w:bookmarkEnd w:id="39"/>
    <w:p>
      <w:pPr>
        <w:ind w:right="26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continue to publish research or reports about our business or if they issue unfavorable commentary or downgrade our common stock, the price of our common stock could decline.</w:t>
      </w:r>
    </w:p>
    <w:p>
      <w:pPr>
        <w:spacing w:after="0" w:line="62"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analysts downgrade our common stock or if analysts issue other unfavorable commentary or cease publishing reports about us or our business.</w:t>
      </w:r>
    </w:p>
    <w:p>
      <w:pPr>
        <w:spacing w:after="0" w:line="2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62"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which could have the effect of rendering more difficult, delaying or preventing an acquisition deemed undesirable by our board of directors. Our corporate governance documents include provisions:</w:t>
      </w:r>
    </w:p>
    <w:p>
      <w:pPr>
        <w:spacing w:after="0" w:line="76"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creating a classified board of directors whose members serve staggered three-year terms;</w:t>
      </w:r>
    </w:p>
    <w:p>
      <w:pPr>
        <w:spacing w:after="0" w:line="117"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117"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of directors and stockholder meetings; and</w:t>
      </w:r>
    </w:p>
    <w:p>
      <w:pPr>
        <w:spacing w:after="0" w:line="117" w:lineRule="exact"/>
        <w:rPr>
          <w:rFonts w:ascii="Arial" w:cs="Arial" w:eastAsia="Arial" w:hAnsi="Arial"/>
          <w:sz w:val="18"/>
          <w:szCs w:val="18"/>
          <w:color w:val="auto"/>
        </w:rPr>
      </w:pPr>
    </w:p>
    <w:p>
      <w:pPr>
        <w:ind w:left="1000" w:right="72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providing our board of directors with the express power to postpone previously scheduled annual meetings and to cancel previously scheduled special meetings.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both"/>
        <w:ind w:right="380" w:firstLine="510"/>
        <w:spacing w:after="0" w:line="263"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8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cannot be certain that we will be able to successfully complete clinical trials for our future product candidates, if any, obtain regulatory approval for any product candidates or successfully commercialize any product candidates, if approved.</w:t>
      </w:r>
    </w:p>
    <w:p>
      <w:pPr>
        <w:spacing w:after="0" w:line="62" w:lineRule="exact"/>
        <w:rPr>
          <w:sz w:val="20"/>
          <w:szCs w:val="20"/>
          <w:color w:val="auto"/>
        </w:rPr>
      </w:pPr>
    </w:p>
    <w:p>
      <w:pPr>
        <w:ind w:right="280" w:firstLine="510"/>
        <w:spacing w:after="0" w:line="296" w:lineRule="auto"/>
        <w:rPr>
          <w:sz w:val="20"/>
          <w:szCs w:val="20"/>
          <w:color w:val="auto"/>
        </w:rPr>
      </w:pPr>
      <w:r>
        <w:rPr>
          <w:rFonts w:ascii="Arial" w:cs="Arial" w:eastAsia="Arial" w:hAnsi="Arial"/>
          <w:sz w:val="16"/>
          <w:szCs w:val="16"/>
          <w:color w:val="auto"/>
        </w:rPr>
        <w:t>Before our future product candidates, if any, can be marketed, our IND application or other comparable regulatory approvals must go into effect permitting the conduct of clinical trials, and we must then successfully complete human testing. The FDA and other comparable foreign regulatory agencies must approve our New Drug Application, or NDA, or comparable regulatory submissions. Even after successful completion of clinical testing, there is a risk that the FDA or other regulatory agencies may request further information from us, disagree with our findings or otherwise undertake a lengthy review of our submission. Even if the FDA approves our NDA, we may be unable to successfully commercialize our product candidates.</w:t>
      </w:r>
    </w:p>
    <w:p>
      <w:pPr>
        <w:spacing w:after="0" w:line="161"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It is possible that the FDA or other regulatory agencies will not approve any application that we may submit. It is possible that our future product candidates, if any, may not obtain appropriate regulatory approvals necessary for us to commence clinical trials for our future product candidates, if any. Any delay or failure in obtaining required approvals could have a material adverse effect on our business. This process can take many years and will likely require the expenditure of substantial resources beyond the proceeds we currently have on hand.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0" w:name="page41"/>
    <w:bookmarkEnd w:id="40"/>
    <w:p>
      <w:pPr>
        <w:ind w:right="340"/>
        <w:spacing w:after="0" w:line="277" w:lineRule="auto"/>
        <w:rPr>
          <w:sz w:val="20"/>
          <w:szCs w:val="20"/>
          <w:color w:val="auto"/>
        </w:rPr>
      </w:pPr>
      <w:r>
        <w:rPr>
          <w:rFonts w:ascii="Arial" w:cs="Arial" w:eastAsia="Arial" w:hAnsi="Arial"/>
          <w:sz w:val="18"/>
          <w:szCs w:val="18"/>
          <w:b w:val="1"/>
          <w:bCs w:val="1"/>
          <w:i w:val="1"/>
          <w:iCs w:val="1"/>
          <w:color w:val="auto"/>
        </w:rPr>
        <w:t>Favorable results from nonclinical studies and clinical trials to date are not necessarily predictive of the results of additional nonclinical studies or later-stage clinical trials of our future product candidates, if any.</w:t>
      </w:r>
    </w:p>
    <w:p>
      <w:pPr>
        <w:spacing w:after="0" w:line="62"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Favorable results from our nonclinical studies may not necessarily be predictive of the results from clinical trials. Many companies in the pharmaceutical and biotechnology industries have suffered significant setbacks in clinical trials after achieving positive results in nonclinical and early-stage clinical development. In particular, we have suffered significant setbacks in later-stage clinical trials of our former lead product candidates, beloranib and ZGN-1061, after achieving positive results in nonclinical and clinical development, and we cannot be certain that we will not face similar setbacks in our development of our future product candidates, if any. The setbacks in later-stage clinical development have been caused by, among other things, nonclinical findings made while clinical trials were underway or safety or efficacy observations made in clinical trials, including previously unreported or understood adverse events. Moreover, nonclinical and clinical data are often susceptible to varying interpretations and analyses, and many companies that believed their product candidates performed satisfactorily in nonclinical studies and clinical trials nonetheless failed to obtain FDA and/or EMA approval. If we fail to produce positive results in our later-stage clinical trials of any future product candidates, if any, the development timeline and regulatory approval and commercialization prospects for any future product candidates, if any, and, correspondingly, our business and financial prospects, would be materially adversely affected.</w:t>
      </w:r>
    </w:p>
    <w:p>
      <w:pPr>
        <w:spacing w:after="0" w:line="29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Our future product candidates, if any, may cause undesirable side effects that could delay or prevent their regulatory approval, limit the commercial profile of an approved label, or result in significant negative consequences following marketing approval, if any.</w:t>
      </w:r>
    </w:p>
    <w:p>
      <w:pPr>
        <w:spacing w:after="0" w:line="38"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Undesirable side effects caused by our future product candidates, if any, could cause us or regulatory authorities such as the FDA to interrupt, delay or halt clinical trials and could result in a more restrictive label or the delay or denial of regulatory approval by the FDA or other regulatory authorities.</w:t>
      </w:r>
    </w:p>
    <w:p>
      <w:pPr>
        <w:spacing w:after="0" w:line="124"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Further, if any future product candidates receive marketing approval and we or others identify undesirable side effects caused by the product (or any other similar product) after the approval, a number of potentially significant negative consequences could result, including:</w:t>
      </w:r>
    </w:p>
    <w:p>
      <w:pPr>
        <w:spacing w:after="0" w:line="62" w:lineRule="exact"/>
        <w:rPr>
          <w:sz w:val="20"/>
          <w:szCs w:val="20"/>
          <w:color w:val="auto"/>
        </w:rPr>
      </w:pPr>
    </w:p>
    <w:p>
      <w:pPr>
        <w:ind w:left="1000" w:right="1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authorities may request that we withdraw the product from the market or may limit their approval of the product through labeling or other means;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such as a “black box” warning or a contraindication or a precaution;</w:t>
      </w:r>
    </w:p>
    <w:p>
      <w:pPr>
        <w:spacing w:after="0" w:line="140" w:lineRule="exact"/>
        <w:rPr>
          <w:rFonts w:ascii="Arial" w:cs="Arial" w:eastAsia="Arial" w:hAnsi="Arial"/>
          <w:sz w:val="16"/>
          <w:szCs w:val="16"/>
          <w:color w:val="auto"/>
        </w:rPr>
      </w:pPr>
    </w:p>
    <w:p>
      <w:pPr>
        <w:ind w:left="1000" w:right="18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distributed or administered, conduct additional clinical trials or change the labeling of the product;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decide to remove the product from the marketplace;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w:t>
      </w:r>
    </w:p>
    <w:p>
      <w:pPr>
        <w:spacing w:after="0" w:line="2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Failures or delays in the commencement or completion of our clinical trials of our future product candidates could result in increased costs to us and could delay, prevent or limit our ability to generate revenue and continue our business.</w:t>
      </w:r>
    </w:p>
    <w:p>
      <w:pPr>
        <w:spacing w:after="0" w:line="62"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Despite the guidance we may receive from the FDA, the EMA, or other applicable regulatory authorities, any of these regulatory authorities can change their positions on the acceptability of our clinical trial designs or the clinical endpoints selected, which may require us to complete additional clinical trials or impose stricter approval conditions than we expect. Successful completion of such clinical trials is a prerequisite to submitting an NDA to the FDA and a Marketing Authorization Application to the EMA or other regulatory authorities and, consequently, the ultimate approval and commercial marketing of our future product candidates, if any. We do not know whether any clinical trials for our future product candidates will begin or be completed on schedule, if at all, as the commencement and completion of clinical trials can be delayed or prevented for a number of reasons, including, among others:</w:t>
      </w:r>
    </w:p>
    <w:p>
      <w:pPr>
        <w:spacing w:after="0" w:line="56" w:lineRule="exact"/>
        <w:rPr>
          <w:sz w:val="20"/>
          <w:szCs w:val="20"/>
          <w:color w:val="auto"/>
        </w:rPr>
      </w:pPr>
    </w:p>
    <w:p>
      <w:pPr>
        <w:ind w:left="100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applicable regulatory authorities, may deny permission to begin or continue clinical trials, including for certain indications, we want to conduct;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1" w:name="page42"/>
    <w:bookmarkEnd w:id="41"/>
    <w:p>
      <w:pPr>
        <w:ind w:left="1000" w:right="12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regulatory filings or receiving regulatory authorizations of IND applications, or clinical trial authorization applications that may be required;</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unfavorable results from our nonclinical studies, thus the FDA, or other applicable regulatory authorities, may require additional nonclinical studies;</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1000" w:right="68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inadequate quantity or quality of a product candidate or other materials necessary to conduct clinical trials, for example delays in the manufacturing of sufficient supply of finished drug product;</w:t>
      </w:r>
    </w:p>
    <w:p>
      <w:pPr>
        <w:spacing w:after="0" w:line="62"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and/or ethics committee approval to conduct a clinical trial at a prospective site or sites in the United States, or other country;</w:t>
      </w:r>
    </w:p>
    <w:p>
      <w:pPr>
        <w:spacing w:after="0" w:line="62" w:lineRule="exact"/>
        <w:rPr>
          <w:rFonts w:ascii="Arial" w:cs="Arial" w:eastAsia="Arial" w:hAnsi="Arial"/>
          <w:sz w:val="18"/>
          <w:szCs w:val="18"/>
          <w:color w:val="auto"/>
        </w:rPr>
      </w:pPr>
    </w:p>
    <w:p>
      <w:pPr>
        <w:ind w:left="1000" w:right="320" w:hanging="493"/>
        <w:spacing w:after="0" w:line="311"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challenges in recruiting and enrolling patients to participate in clinical trials, including the size and nature of the patient population, the proximity of patients to clinical trial sites, eligibility criteria for the clinical trial, the nature of the clinical trial protocol, the availability of approved effective treatments for the relevant disease and competition from other clinical trial programs for similar indications;</w:t>
      </w:r>
    </w:p>
    <w:p>
      <w:pPr>
        <w:spacing w:after="0" w:line="40" w:lineRule="exact"/>
        <w:rPr>
          <w:rFonts w:ascii="Arial" w:cs="Arial" w:eastAsia="Arial" w:hAnsi="Arial"/>
          <w:sz w:val="16"/>
          <w:szCs w:val="16"/>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retaining or recruiting clinical investigators and/or patients in our future clinical trials;</w:t>
      </w:r>
    </w:p>
    <w:p>
      <w:pPr>
        <w:spacing w:after="0" w:line="117"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screening and monitoring measures, personal issues or loss of interest;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w:t>
      </w:r>
    </w:p>
    <w:p>
      <w:pPr>
        <w:spacing w:after="0" w:line="117" w:lineRule="exact"/>
        <w:rPr>
          <w:rFonts w:ascii="Arial" w:cs="Arial" w:eastAsia="Arial" w:hAnsi="Arial"/>
          <w:sz w:val="18"/>
          <w:szCs w:val="18"/>
          <w:color w:val="auto"/>
        </w:rPr>
      </w:pPr>
    </w:p>
    <w:p>
      <w:pPr>
        <w:ind w:left="1000" w:right="100" w:hanging="493"/>
        <w:spacing w:after="0" w:line="308"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FDA or the applicable regulatory authorities, may disagree with our clinical trial designs, our interpretation of data from clinical trials, or may change the requirements for approval even after it has reviewed and commented on the design for our clinical trials; and</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therapies that raise safety or efficacy concerns.</w:t>
      </w:r>
    </w:p>
    <w:p>
      <w:pPr>
        <w:spacing w:after="0" w:line="225"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other regulatory authorities, the IRBs or ethics committees, at the sites where the IRBs or ethics committees are overseeing a clinical trial, a data monitoring committee overseeing the clinical trial at issue or other regulatory authorities due to a number of factors, including, among others:</w:t>
      </w:r>
    </w:p>
    <w:p>
      <w:pPr>
        <w:spacing w:after="0" w:line="79"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a result of disruptions related to COVID-19;</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17" w:lineRule="exact"/>
        <w:rPr>
          <w:rFonts w:ascii="Arial" w:cs="Arial" w:eastAsia="Arial" w:hAnsi="Arial"/>
          <w:sz w:val="18"/>
          <w:szCs w:val="18"/>
          <w:color w:val="auto"/>
        </w:rPr>
      </w:pPr>
    </w:p>
    <w:p>
      <w:pPr>
        <w:ind w:left="1000" w:right="540" w:hanging="493"/>
        <w:spacing w:after="0" w:line="342"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inspection of the clinical trial operations or trial sites by the FDA or other applicable regulatory authorities, that reveals deficiencies or violations that require us to undertake corrective action, including the imposition of a partial clinical hold or a full clinical hold;</w:t>
      </w:r>
    </w:p>
    <w:p>
      <w:pPr>
        <w:spacing w:after="0" w:line="15" w:lineRule="exact"/>
        <w:rPr>
          <w:rFonts w:ascii="Arial" w:cs="Arial" w:eastAsia="Arial" w:hAnsi="Arial"/>
          <w:sz w:val="16"/>
          <w:szCs w:val="16"/>
          <w:color w:val="auto"/>
        </w:rPr>
      </w:pPr>
    </w:p>
    <w:p>
      <w:pPr>
        <w:ind w:left="1000" w:right="18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safety issues, including any that could be identified in our nonclinical studies or in the clinical studies of drugs in the same class as our future product candidates, adverse side effects or lack of effectiveness;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problems with clinical supply materials;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33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Changes in regulatory requirements, FDA guidance or guidance from other regulatory agencies or unanticipated events during our clinical trials of our future product candidates, may occur, which may result in changes to clinical trial protocols or additional clinical trial requirements, which could result in increased costs to us and could delay our development timeline.</w:t>
      </w:r>
    </w:p>
    <w:p>
      <w:pPr>
        <w:spacing w:after="0" w:line="76"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Changes in regulatory requirements, FDA guidance or guidance from EMA or unanticipated events during our future clinical trials, if any, may force us to adjust our clinical program. The FDA, the EMA, or the applicable regulatory authorities may impose additional clinical trial and/or nonclinical study requirements. Amendments to our future clinical trial protocols would require resubmission to the FDA or other applicable regulatory authorities as well as IRBs and ethics committees for review and approval, which may adversely impact the cost, timing or successful completion of a clinical trial. If we experience delays completing, or if we terminate, any of our clinical trials, or if we are required to conduct additional clinical trials and/or nonclinical studies, the commercial prospects for our future product candidates may be harmed and our ability to generate product revenue will be delayed.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jc w:val="both"/>
        <w:ind w:right="280"/>
        <w:spacing w:after="0" w:line="311" w:lineRule="auto"/>
        <w:rPr>
          <w:sz w:val="20"/>
          <w:szCs w:val="20"/>
          <w:color w:val="auto"/>
        </w:rPr>
      </w:pPr>
      <w:r>
        <w:rPr>
          <w:rFonts w:ascii="Arial" w:cs="Arial" w:eastAsia="Arial" w:hAnsi="Arial"/>
          <w:sz w:val="16"/>
          <w:szCs w:val="16"/>
          <w:b w:val="1"/>
          <w:bCs w:val="1"/>
          <w:i w:val="1"/>
          <w:iCs w:val="1"/>
          <w:color w:val="auto"/>
        </w:rPr>
        <w:t>We have relied on, and expect that we will continue to rely, on third parties to conduct any future clinical trials for our future product candidates, if any. If these third parties do not successfully carry out their contractual duties or meet expected deadlines, we may not be able to develop and obtain regulatory approval for or commercialize any future product candidates, and our business could be substantially harmed.</w:t>
      </w:r>
    </w:p>
    <w:p>
      <w:pPr>
        <w:spacing w:after="0" w:line="4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entered into agreements with third-party CROs to provide monitors for and to manage data for our prior clinical trials. We relied heavily on these parties for execution of past clinical trials and may continue to rely on these parties for clinical trials for our future product candidates, if any, but we only control certain aspects of their activities. As a result, we have less direct control over the conduct, timing and completion of these clinical trials and the management of data developed through the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53"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have disruptions, delays or difficulties as a result of and related to COVID-19;</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clinical trials in the future, if any, and may subject us to unexpected cost increases that are beyond our control. Nevertheless, we are responsible for ensuring that each of our clinical trials is conducted in accordance with the applicable protocol, legal and regulatory requirements and scientific standards, and our reliance on CROs does not relieve us of our regulatory responsibilities. We and our CROs must comply with requirements for Good Clinical Practice, or GCPs, which are legal requirements enforced by the FDA, the Competent Authorities of the Member States of the European Economic Area and comparable foreign regulatory authorities for any products in clinical development. The FDA enforces these GCP regulations through periodic inspections of clinical trial sponsors, principal investigators and clinical trial sites, IRBs, and other vendors that may be involved in the clinical development of new products. If we or our investigators or CROs fail to comply with applicable GCPs, the clinical data generated in our future clinical trials, if any,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comply with GCPs. In addition, our future clinical trials, if any, must be conducted with products produced under current Good Manufacturing Practices, or cGMPs, regulations to assure the identity, strength, quality, and purity of our drug product candidates being used in the clinical trials, as well as the to-be-marketed formulation and product. Our failure or the failure of our CROs and/or contract manufacturing organizations, or CMOs, to comply with these regulations may require us to repeat clinical trials, which would delay the regulatory approval process and could also subject us to enforcement action, up to and including, civil and criminal penalties.</w:t>
      </w:r>
    </w:p>
    <w:p>
      <w:pPr>
        <w:spacing w:after="0" w:line="171" w:lineRule="exact"/>
        <w:rPr>
          <w:sz w:val="20"/>
          <w:szCs w:val="20"/>
          <w:color w:val="auto"/>
        </w:rPr>
      </w:pPr>
    </w:p>
    <w:p>
      <w:pPr>
        <w:ind w:right="140" w:firstLine="510"/>
        <w:spacing w:after="0" w:line="289" w:lineRule="auto"/>
        <w:rPr>
          <w:sz w:val="20"/>
          <w:szCs w:val="20"/>
          <w:color w:val="auto"/>
        </w:rPr>
      </w:pPr>
      <w:r>
        <w:rPr>
          <w:rFonts w:ascii="Arial" w:cs="Arial" w:eastAsia="Arial" w:hAnsi="Arial"/>
          <w:sz w:val="16"/>
          <w:szCs w:val="16"/>
          <w:color w:val="auto"/>
        </w:rPr>
        <w:t>Although we design our clinical trials, in the past, investigators and CROs have conducted all of our clinical trials. As a result, many important aspects of our drug development programs have been outside of our direct control. In addition, the investigators or CROs may not perform all of their obligations under arrangements with us or in compliance with regulatory requirements, but we remain responsible and are subject to enforcement action that may include civil penalties up to and including criminal prosecution for any violations of FDA or comparable foreign laws and regulations during the conduct of our clinical trials. If the investigators or CROs do not perform clinical trials in a satisfactory manner, breach their obligations to us, or fail to comply with regulatory requirements, the development and commercialization of our future product candidates may be delayed or our development program materially and irreversibly harmed. We cannot control the amount and timing of resources these investigators or CROs will devote to our future product candidates. If we are unable to rely on clinical data collected by our investigators or CROs, we could be required to repeat, extend the duration of, or increase the size of our clinical trials and this could significantly delay commercialization and require significantly greater expenditures.</w:t>
      </w:r>
    </w:p>
    <w:p>
      <w:pPr>
        <w:spacing w:after="0" w:line="166"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If any of our relationships with these third-party investigators or CROs terminate, we may not be able to enter into arrangements with alternative investigators or CROs in a timely manner, or at all. If investigators or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such clinical trials may be extended, delayed or terminated, and we may not be able to obtain regulatory approval for or successfully commercialize our future product candidates. As a result, our financial results and the commercial prospects for our future product candidates in the subject indications would be harmed, our costs could increase and our ability to generate revenue could be delayed.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ind w:right="100"/>
        <w:spacing w:after="0" w:line="259" w:lineRule="auto"/>
        <w:rPr>
          <w:sz w:val="20"/>
          <w:szCs w:val="20"/>
          <w:color w:val="auto"/>
        </w:rPr>
      </w:pPr>
      <w:r>
        <w:rPr>
          <w:rFonts w:ascii="Arial" w:cs="Arial" w:eastAsia="Arial" w:hAnsi="Arial"/>
          <w:sz w:val="18"/>
          <w:szCs w:val="18"/>
          <w:b w:val="1"/>
          <w:bCs w:val="1"/>
          <w:i w:val="1"/>
          <w:iCs w:val="1"/>
          <w:color w:val="auto"/>
        </w:rPr>
        <w:t>We have no experience manufacturing our product candidates on a large clinical or commercial scale and have no manufacturing facility. As a result, we are dependent on third-party manufacturers, as well as on third parties for our supply chain, and if we experience problems with any third parties, or the actual demand for our future product candidates, if any, exceed our forecasts, the manufacture of adequate supplies of our future product candidates or products could be delayed.</w:t>
      </w:r>
    </w:p>
    <w:p>
      <w:pPr>
        <w:spacing w:after="0" w:line="187" w:lineRule="exact"/>
        <w:rPr>
          <w:sz w:val="20"/>
          <w:szCs w:val="20"/>
          <w:color w:val="auto"/>
        </w:rPr>
      </w:pPr>
    </w:p>
    <w:p>
      <w:pPr>
        <w:ind w:right="120" w:firstLine="510"/>
        <w:spacing w:after="0" w:line="269" w:lineRule="auto"/>
        <w:rPr>
          <w:sz w:val="20"/>
          <w:szCs w:val="20"/>
          <w:color w:val="auto"/>
        </w:rPr>
      </w:pPr>
      <w:r>
        <w:rPr>
          <w:rFonts w:ascii="Arial" w:cs="Arial" w:eastAsia="Arial" w:hAnsi="Arial"/>
          <w:sz w:val="17"/>
          <w:szCs w:val="17"/>
          <w:color w:val="auto"/>
        </w:rPr>
        <w:t>We do not own or operate facilities for the manufacture of our future product candidates, if any. We currently have no plans to build our own manufacturing facilities for clinical or commercial operations. We have in the past relied on contract manufacturing organizations, or CMOs, for the chemical manufacture of active pharmaceutical ingredient and for the production of final product formulation and packaging for clinical trials, and expect to rely on CMOs for any future product candidate we are able to advance into clinical development. Although alternative third party suppliers with the necessary manufacturing and regulatory expertise and facilities exist, it could be expensive and take a significant amount of time to arrange for alternative suppliers should we commence clinical development of any future product candidate. We may encounter technical difficulties or delays in the transfer of manufacturing on a commercial scale to third party manufacturers. We may be unable to enter into agreements for commercial supply with third party manufacturers, or may be unable to do so on acceptable terms. If we are unable to arrange for alternative third-party manufacturing sources, or to do so on commercially reasonable terms or in a timely manner, we may not be able to complete development of any future product candidates, or market or distribute them.</w:t>
      </w:r>
    </w:p>
    <w:p>
      <w:pPr>
        <w:spacing w:after="0" w:line="185" w:lineRule="exact"/>
        <w:rPr>
          <w:sz w:val="20"/>
          <w:szCs w:val="20"/>
          <w:color w:val="auto"/>
        </w:rPr>
      </w:pPr>
    </w:p>
    <w:p>
      <w:pPr>
        <w:ind w:firstLine="510"/>
        <w:spacing w:after="0" w:line="217" w:lineRule="exact"/>
        <w:rPr>
          <w:sz w:val="20"/>
          <w:szCs w:val="20"/>
          <w:color w:val="auto"/>
        </w:rPr>
      </w:pPr>
      <w:r>
        <w:rPr>
          <w:rFonts w:ascii="Arial" w:cs="Arial" w:eastAsia="Arial" w:hAnsi="Arial"/>
          <w:sz w:val="17"/>
          <w:szCs w:val="17"/>
          <w:color w:val="auto"/>
        </w:rPr>
        <w:t>Reliance on third party manufacturers entails risks to which we would not be subject if we manufactured product candidates or products ourselves,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or any products we may eventually commercialize in accordance with our specifications, and the possibility of termination or nonrenewal of the agreement by the third party, based on its own business priorities, at a time that is costly or damaging to us. In addition, the FDA and other regulatory authorities require that our product candidates and any products that we may eventually commercialize be manufactured according to cGMP and similar foreign standards.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 and could cause us to incur higher costs and prevent us from commercializing our product candidates successfully. In addition, such failure could be the basis for the FDA to issue a warning letter, withdraw approvals for product candidates previously granted to us, or take other regulatory or legal action, including recall or seizure of outside supplies of the product candidate, total or partial suspension of production, suspension of ongoing clinical trials, refusal to approve pending applications or supplemental applications, detention of products, refusal to permit the import or export of products, injunction, or imposing civil and criminal penalties. We are also unable to predict how changing global economic conditions or potential global health concerns such as COVID</w:t>
      </w:r>
      <w:r>
        <w:rPr>
          <w:rFonts w:ascii="MS PGothic" w:cs="MS PGothic" w:eastAsia="MS PGothic" w:hAnsi="MS PGothic"/>
          <w:sz w:val="17"/>
          <w:szCs w:val="17"/>
          <w:color w:val="auto"/>
        </w:rPr>
        <w:t>‑</w:t>
      </w:r>
      <w:r>
        <w:rPr>
          <w:rFonts w:ascii="Arial" w:cs="Arial" w:eastAsia="Arial" w:hAnsi="Arial"/>
          <w:sz w:val="17"/>
          <w:szCs w:val="17"/>
          <w:color w:val="auto"/>
        </w:rPr>
        <w:t>19 will affect our third-party suppliers and manufacturers. Any negative impact of such matters on our third-party suppliers and manufacturers may also have an adverse impact on our results of operations or financial condition.</w:t>
      </w:r>
    </w:p>
    <w:p>
      <w:pPr>
        <w:spacing w:after="0" w:line="206" w:lineRule="exact"/>
        <w:rPr>
          <w:sz w:val="20"/>
          <w:szCs w:val="20"/>
          <w:color w:val="auto"/>
        </w:rPr>
      </w:pPr>
    </w:p>
    <w:p>
      <w:pPr>
        <w:ind w:right="200" w:firstLine="510"/>
        <w:spacing w:after="0" w:line="254" w:lineRule="auto"/>
        <w:rPr>
          <w:sz w:val="20"/>
          <w:szCs w:val="20"/>
          <w:color w:val="auto"/>
        </w:rPr>
      </w:pPr>
      <w:r>
        <w:rPr>
          <w:rFonts w:ascii="Arial" w:cs="Arial" w:eastAsia="Arial" w:hAnsi="Arial"/>
          <w:sz w:val="18"/>
          <w:szCs w:val="18"/>
          <w:color w:val="auto"/>
        </w:rPr>
        <w:t>Any significant disruption in our supplier relationships could harm our business. Any significant delay in the supply of a product candidate or its key materials for a clinical trial could considerably delay completion of our clinical trials, product testing and potential regulatory approval of our future product candidates. If our manufacturers or we are unable to purchase these key materials after regulatory approval has been obtained for our product candidates, the commercial launch of our product candidates would be delayed or there would be a shortage in supply, which would impair our ability to generate revenues from the sale of our product candidates. If our CMOs cannot manufacture sufficient quantity to meet the demand for our product candidates after regulatory approval, there would be a shortage in supply which would negatively impact our revenue from the sale of our product candidates. It may take several years to establish an alternative source of supply for our product candidates and to have any such new source approved by the FDA.</w:t>
      </w:r>
    </w:p>
    <w:p>
      <w:pPr>
        <w:spacing w:after="0" w:line="30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a product candidate in the United States, we may never receive regulatory approval to market such product candidate outside of the United States.</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may pursue marketing approval for certain of our future product candidates in the United States, the EU and in other countries worldwide. In order to market any product outside of the United States, we must establish and comply with the numerous and varying safety, efficacy and other regulatory requirements of other countries, including potential additional clinical trials and/or nonclinical studies.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In addition, on January 31, 2020, the United Kingdom government completed the process to leave the EU, or Brexit. The effects of Brexit will depend on any agreements the United Kingdom makes to retain access to EU markets either during a transitional period or more permanently. Brexit could lead to legal uncertainty and potentially divergent national laws and regulation as the United Kingdom determines which EU laws to replace or replicate. Marketing approval in one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ind w:right="60"/>
        <w:spacing w:after="0" w:line="279" w:lineRule="auto"/>
        <w:rPr>
          <w:sz w:val="20"/>
          <w:szCs w:val="20"/>
          <w:color w:val="auto"/>
        </w:rPr>
      </w:pPr>
      <w:r>
        <w:rPr>
          <w:rFonts w:ascii="Arial" w:cs="Arial" w:eastAsia="Arial" w:hAnsi="Arial"/>
          <w:sz w:val="17"/>
          <w:szCs w:val="17"/>
          <w:color w:val="auto"/>
        </w:rPr>
        <w:t>country does not necessarily ensure marketing approval in another, but a failure or delay in obtaining marketing approval in one country may have a negative effect on the regulatory process or commercial activities in others. Failure to obtain marketing approval in other countries or any delay or other setback in obtaining such approval would impair our ability to market a product candidate in such foreign markets. Any such impairment would reduce the size of our potential market, which could have a material adverse impact on our business, results of operations and prospects.</w:t>
      </w:r>
    </w:p>
    <w:p>
      <w:pPr>
        <w:spacing w:after="0" w:line="2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a product candidate, it may not achieve broad market acceptance, which would limit the revenue that we generate from its sales.</w:t>
      </w:r>
    </w:p>
    <w:p>
      <w:pPr>
        <w:spacing w:after="0" w:line="62"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The commercial success of a product candidate, if developed and approved for marketing by the FDA or EMA or other applicable regulatory authorities, will depend upon the awareness and acceptance of our future product candidates, if any, among the medical community, including physicians, patients, advocacy groups and healthcare payors. Market acceptance of a product candidate, if approved, will depend on a number of factors, including, among others:</w:t>
      </w:r>
    </w:p>
    <w:p>
      <w:pPr>
        <w:spacing w:after="0" w:line="79"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our future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a product candidate;</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a product candidate by the FDA, EMA, or other regulatory authorities, such as a “black box” warning;</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pricing;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increase awareness of a product candidate through marketing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sufficient third party coverage or reimbursement;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 party coverage; and</w:t>
      </w:r>
    </w:p>
    <w:p>
      <w:pPr>
        <w:spacing w:after="0" w:line="117" w:lineRule="exact"/>
        <w:rPr>
          <w:rFonts w:ascii="Arial" w:cs="Arial" w:eastAsia="Arial" w:hAnsi="Arial"/>
          <w:sz w:val="18"/>
          <w:szCs w:val="18"/>
          <w:color w:val="auto"/>
        </w:rPr>
      </w:pPr>
    </w:p>
    <w:p>
      <w:pPr>
        <w:ind w:left="1000" w:right="40" w:hanging="493"/>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likelihood that the FDA may require development of a Risk Evaluation and Mitigation Strategies, or REMS, as a condition of approval or post-approval or may not agree with our proposed REMS or may impose additional requirements that limit the promotion, advertising, distribution or sales of our product candidates.</w:t>
      </w:r>
    </w:p>
    <w:p>
      <w:pPr>
        <w:spacing w:after="0" w:line="184"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If a product candidate is approved but does not achieve an adequate level of acceptance by patients, advocacy groups, physicians and payors, we may not generate sufficient revenue from a product candidate to become or remain profitable. Before granting reimbursement approval, healthcare payors may require us to demonstrate that a product candidate also provides incremental health benefits to patients. Our efforts to educate the medical community and third-party payors about the benefits of a product candidate may require significant resources and may never be successful.</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a product candidate, we may not be able to generate any revenue.</w:t>
      </w:r>
    </w:p>
    <w:p>
      <w:pPr>
        <w:spacing w:after="0" w:line="62"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We do not currently have an established infrastructure for the sales, marketing and distribution of pharmaceutical products. In order to market any future product candidate, if approved by the FDA or any other regulatory body, we must build our sales, marketing, managerial and other non-technical capabilities or make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we receive marketing approval for any future product candidate, we may still face future development and regulatory difficulties.</w:t>
      </w:r>
    </w:p>
    <w:p>
      <w:pPr>
        <w:spacing w:after="0" w:line="129"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Even if we receive marketing approval for a future product candidate, if any, regulatory authorities may still impose significant restrictions on the indicated uses or marketing of our product candidates, or may impose ongoing requirements for potentially costly post-approval studies. A product candidate will also be subject to ongoing FDA and EMA requirements governing the labeling,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5" w:name="page46"/>
    <w:bookmarkEnd w:id="45"/>
    <w:p>
      <w:pPr>
        <w:ind w:right="80"/>
        <w:spacing w:after="0" w:line="254" w:lineRule="auto"/>
        <w:rPr>
          <w:sz w:val="20"/>
          <w:szCs w:val="20"/>
          <w:color w:val="auto"/>
        </w:rPr>
      </w:pPr>
      <w:r>
        <w:rPr>
          <w:rFonts w:ascii="Arial" w:cs="Arial" w:eastAsia="Arial" w:hAnsi="Arial"/>
          <w:sz w:val="18"/>
          <w:szCs w:val="18"/>
          <w:color w:val="auto"/>
        </w:rPr>
        <w:t>packaging, storage and promotion of the product and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drug. The FDA also has the authority to require, as part of an NDA or post-approval, the submission of a REMS. Any REMS required by the FDA may lead to increased costs to assure compliance with post-approval regulatory requirements and potential requirements or restrictions on the sale of approved products, all of which could lead to lower sales volume and revenue. Additionally, the FDA may require post-marketing studies and/or post-marketing requirements that could represent and result in additional restrictions and/or limitations for the product.</w:t>
      </w:r>
    </w:p>
    <w:p>
      <w:pPr>
        <w:spacing w:after="0" w:line="19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Manufacturers of drug products and their facilities are subject to continual review and periodic inspections by the FDA and other regulatory authorities for compliance with cGMPs and other regulations. If we or a regulatory agency discover problems with any future product candidate, such as adverse events of unanticipated severity or frequency, or problems with the facility where any future product candidate is manufactured, a regulatory agency may impose restrictions on a product candidate, the manufacturer or us, including requiring withdrawal of any future product candidate from the market or suspension of manufacturing. If we or the manufacturing facilities for a product candidate fail to comply with applicable regulatory requirements, a regulatory agency may, among other things:</w:t>
      </w:r>
    </w:p>
    <w:p>
      <w:pPr>
        <w:spacing w:after="0" w:line="84"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request that we initiate a product recall.</w:t>
      </w:r>
    </w:p>
    <w:p>
      <w:pPr>
        <w:spacing w:after="0" w:line="225"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The FDA’s policies may change and additional government regulations may be enacted.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are not able to maintain regulatory compliance, we may lose any marketing approval that may have been obtained and we may not achieve or sustain profitability, which would adversely affect our business.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p>
      <w:pPr>
        <w:ind w:right="80"/>
        <w:spacing w:after="0" w:line="277"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w:t>
      </w:r>
    </w:p>
    <w:p>
      <w:pPr>
        <w:spacing w:after="0" w:line="62"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Our future profitability will depend, in part, on our ability to commercialize a product candidate in foreign markets for which we may rely on collaborations with third parties. If we commercialize a product candidate in foreign markets, we would be subject to additional risks and uncertainties, including:</w:t>
      </w:r>
    </w:p>
    <w:p>
      <w:pPr>
        <w:spacing w:after="0" w:line="76"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a product candidate in foreign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Foreign sales of a product candidate could also be adversely affected by the imposition of governmental controls, political and economic instability, trade restrictions and changes in tariffs.</w:t>
      </w:r>
    </w:p>
    <w:p>
      <w:pPr>
        <w:spacing w:after="0" w:line="2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subject to healthcare laws and regulations, and health information privacy and security laws, which could expose us to criminal sanctions, civil penalties, contractual damages, reputational harm and diminished profits and future earnings.</w:t>
      </w:r>
    </w:p>
    <w:p>
      <w:pPr>
        <w:spacing w:after="0" w:line="62"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Healthcare providers, physicians and others will play a primary role in the recommendation and prescription of any future product candidates, if approved. Our future arrangements with third party payors will expose us to broadly applicable fraud and abuse and other healthcare laws and regulations that may constrain the business or financial arrangements and relationships through which we market, sell and distribute our future product candidates, if any, and if we obtain marketing approval. In addition, we may be subject to patient privacy regulation by both the federal government and the states in which we conduct our business. Restrictions under applicable federal and state healthcare laws and regulations include the following:</w:t>
      </w:r>
    </w:p>
    <w:p>
      <w:pPr>
        <w:spacing w:after="0" w:line="53" w:lineRule="exact"/>
        <w:rPr>
          <w:sz w:val="20"/>
          <w:szCs w:val="20"/>
          <w:color w:val="auto"/>
        </w:rPr>
      </w:pPr>
    </w:p>
    <w:p>
      <w:pPr>
        <w:ind w:left="1000" w:right="80" w:hanging="493"/>
        <w:spacing w:after="0" w:line="259"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paying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78" w:lineRule="exact"/>
        <w:rPr>
          <w:rFonts w:ascii="Arial" w:cs="Arial" w:eastAsia="Arial" w:hAnsi="Arial"/>
          <w:sz w:val="18"/>
          <w:szCs w:val="18"/>
          <w:color w:val="auto"/>
        </w:rPr>
      </w:pPr>
    </w:p>
    <w:p>
      <w:pPr>
        <w:ind w:left="1000" w:right="100" w:hanging="493"/>
        <w:spacing w:after="0" w:line="259"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false claims laws impose criminal and civil penalties, including those from civil whistleblower or qui tam actions pursuant to the federal False Claims Act,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1000" w:right="20" w:hanging="493"/>
        <w:spacing w:after="0" w:line="259"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8" w:lineRule="exact"/>
        <w:rPr>
          <w:rFonts w:ascii="Arial" w:cs="Arial" w:eastAsia="Arial" w:hAnsi="Arial"/>
          <w:sz w:val="18"/>
          <w:szCs w:val="18"/>
          <w:color w:val="auto"/>
        </w:rPr>
      </w:pPr>
    </w:p>
    <w:p>
      <w:pPr>
        <w:ind w:left="1000" w:right="380" w:hanging="493"/>
        <w:spacing w:after="0" w:line="308"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1000" w:right="20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to report to the Department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47" w:name="page48"/>
    <w:bookmarkEnd w:id="47"/>
    <w:p>
      <w:pPr>
        <w:ind w:left="1000" w:right="760"/>
        <w:spacing w:after="0" w:line="277" w:lineRule="auto"/>
        <w:rPr>
          <w:sz w:val="20"/>
          <w:szCs w:val="20"/>
          <w:color w:val="auto"/>
        </w:rPr>
      </w:pPr>
      <w:r>
        <w:rPr>
          <w:rFonts w:ascii="Arial" w:cs="Arial" w:eastAsia="Arial" w:hAnsi="Arial"/>
          <w:sz w:val="18"/>
          <w:szCs w:val="18"/>
          <w:color w:val="auto"/>
        </w:rPr>
        <w:t>of Health and Human Services information related to physician payments and other transfers of value and physician ownership and investment interests;</w:t>
      </w:r>
    </w:p>
    <w:p>
      <w:pPr>
        <w:spacing w:after="0" w:line="62" w:lineRule="exact"/>
        <w:rPr>
          <w:sz w:val="20"/>
          <w:szCs w:val="20"/>
          <w:color w:val="auto"/>
        </w:rPr>
      </w:pPr>
    </w:p>
    <w:p>
      <w:pPr>
        <w:ind w:left="1000" w:right="20" w:hanging="493"/>
        <w:spacing w:after="0" w:line="279"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63" w:lineRule="exact"/>
        <w:rPr>
          <w:rFonts w:ascii="Arial" w:cs="Arial" w:eastAsia="Arial" w:hAnsi="Arial"/>
          <w:sz w:val="17"/>
          <w:szCs w:val="17"/>
          <w:color w:val="auto"/>
        </w:rPr>
      </w:pPr>
    </w:p>
    <w:p>
      <w:pPr>
        <w:ind w:left="1000" w:right="22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ind w:left="1000" w:hanging="493"/>
        <w:spacing w:after="0" w:line="296"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w:t>
      </w:r>
    </w:p>
    <w:p>
      <w:pPr>
        <w:spacing w:after="0" w:line="161"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92"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In addition, regulators globally are also imposing greater monetary fines for privacy violations. For example, in 2016, the EU adopted a new regulation governing data practices and privacy called the General Data Protection Regulation, or GDPR, which became effective on May 25, 2018. The GDPR applies to any company established in the EU as well as to those outside the EU if they collect and use personal data in connection with the offering of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 providers. Non-compliance with the GDPR may result in monetary penalties of up to €20 million or 4% of worldwide revenue, whichever is higher. The GDPR and other changes in laws or regulations associated with the enhanced protection of certain types of personal data, such as healthcare data or other sensitive information, could greatly increase our cost of providing our products and services or even prevent us from offering certain services in jurisdictions that we operate.</w:t>
      </w:r>
    </w:p>
    <w:p>
      <w:pPr>
        <w:spacing w:after="0" w:line="27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6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If we receive marketing approval for our future product candidates physicians may prescribe our product candidates, if any,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and required that they enter into corporate integrity agreements with the Office of Inspector General of the Department of Health and Human Services. The FDA has also requested that companies enter into consent decrees or permanent injunctions under which specified promotional conduct is changed or curtailed. If we cannot successfully manage the promotion of our future product candidates, if approved, we could become subject to significant liability, which would materially adversely affect our business and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product candidates, if any, that we elect to sell on our own.</w:t>
      </w:r>
    </w:p>
    <w:p>
      <w:pPr>
        <w:spacing w:after="0" w:line="11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If approved by regulatory authorities, market acceptance and sales of product candidates, if any, that we elect to sell on our own will depend on reimbursement policies and may be affected by healthcare reform measures. Government authorities and third party payors, such as private health insurers and health maintenance organizations, decide which medications they will pay for and establish reimbursement levels for those medications. Cost containment is a primary concern in the U.S. healthcare industry and elsewhere.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ind w:right="140"/>
        <w:spacing w:after="0" w:line="257" w:lineRule="auto"/>
        <w:rPr>
          <w:sz w:val="20"/>
          <w:szCs w:val="20"/>
          <w:color w:val="auto"/>
        </w:rPr>
      </w:pPr>
      <w:r>
        <w:rPr>
          <w:rFonts w:ascii="Arial" w:cs="Arial" w:eastAsia="Arial" w:hAnsi="Arial"/>
          <w:sz w:val="18"/>
          <w:szCs w:val="18"/>
          <w:color w:val="auto"/>
        </w:rPr>
        <w:t>Government authorities and these third party payors have attempted to control costs by limiting coverage and the amount of reimbursement for particular medications. We cannot be sure that reimbursement will be available for product candidates that we elect to sell on our own and, if reimbursement is available, the level of such reimbursement. Reimbursement may impact the demand for, or the price of, product candidates, if any, that we elect to sell on our own. If reimbursement is not available or is available only at limited levels, we may not be able to successfully commercialize product candidates that we elect to sell on our own.</w:t>
      </w:r>
    </w:p>
    <w:p>
      <w:pPr>
        <w:spacing w:after="0" w:line="188"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 some foreign countries, particularly in Canada and European countries, the pricing of prescription pharmaceuticals is subject to strict governmental control. In these countries, pricing negotiations with governmental authorities can take six to twelve months or longer after the receipt of regulatory approval and product launch. To obtain favorable reimbursement for the indications sought or pricing approval in some countries, we may be required to conduct a clinical trial that compares the cost-effectiveness of product candidates that we elect to sell on our own with other available therapies. If reimbursement for product candidates that we elect to sell on our own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30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regulatory approval of and commercialize our future drug candidates, if any, and affect the prices we may obtain.</w:t>
      </w:r>
    </w:p>
    <w:p>
      <w:pPr>
        <w:spacing w:after="0" w:line="62"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Affordable Care Act, or the ACA, has a significant impact on the healthcare industry.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The current presidential administration has indicated that enacting changes to the ACA is a legislative priority and has alternatively discussed repealing and replacing the ACA. While Congress has not passed repeal legislation to date, the 2017 Tax Reform Act includes a provision repealing the individual mandate, effective January 1, 2019.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In addition, the Centers for Medicare and Medicaid Services, or CMS, has proposed regulations that would give states greater flexibility in setting benchmarks for insurers in the individual and small group marketplaces, which may have the effect of relaxing the essential health benefits required under the ACA for plans sold through these marketplaces. Congress will likely consider other legislation to replace elements of the ACA. We do not know at this time what implications these changes and other, proposed changes, if enacted, would have on the ACA’s current requirements or on our future business. Changes to the ACA or other existing health care regulations could significantly impact our business and the pharmaceutical industry.</w:t>
      </w:r>
    </w:p>
    <w:p>
      <w:pPr>
        <w:spacing w:after="0" w:line="2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Facilitated regulatory pathways, such as but not limited to Breakthrough Therapy Designation, Fast Track Designation, Regenerative Medicine Advanced Therapy Designation, Priority Review, Accelerated Approval, PRIME, or regulatory incentives, such as but not limited to orphan drug designation, are pathways and incentives that may not be accepted/granted, and even if granted for any of our future product candidates, may not lead to a faster development period, regulatory review or approval process, do not increase the likelihood that any of our future product candidates will receive marketing approval, and do not increase the likelihood of receiving benefits or exclusivities associated with any of these designations or pathways.</w:t>
      </w:r>
    </w:p>
    <w:p>
      <w:pPr>
        <w:spacing w:after="0" w:line="8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may seek one or more facilitated regulatory pathways in the US, EU or other countries for some of our future product candidates. None of these pathways change the standards for product approval in any country. These facilitated regulatory pathways may allow for increased interaction and communication between the health authorities (e.g., FDA and EMA) and the sponsor of clinical trials, may help to identify the most efficient path for clinical development while minimizing the number of patients placed in ineffective control regimens, and may allow for priority review and accelerated approval. Health authorities may not grant the requested designations, expedited pathways or other regulatory incentives. Even if granted, the receipt of the designations or the health authority support for expedited pathways or incentives may not result in a faster development process, review or approval compared to therapies considered for approval under conventional health authority procedures and does not guarantee approval in any country nor does it guarantee granting of any associated exclusivities or other benefits. In addition, even if one or more of our future product candidates qualify for any facilitated regulatory pathways or regulatory incentives, the health authority may later decide that such product candidates no longer meet the conditions for qualification, may decide that the time period for review or approval will not be shortened or may decide that the criteria for receiving exclusivity or other benefits were not adequately met.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9" w:name="page50"/>
    <w:bookmarkEnd w:id="49"/>
    <w:p>
      <w:pPr>
        <w:spacing w:after="0"/>
        <w:rPr>
          <w:sz w:val="20"/>
          <w:szCs w:val="20"/>
          <w:color w:val="auto"/>
        </w:rPr>
      </w:pPr>
      <w:r>
        <w:rPr>
          <w:rFonts w:ascii="Arial" w:cs="Arial" w:eastAsia="Arial" w:hAnsi="Arial"/>
          <w:sz w:val="15"/>
          <w:szCs w:val="15"/>
          <w:b w:val="1"/>
          <w:bCs w:val="1"/>
          <w:i w:val="1"/>
          <w:iCs w:val="1"/>
          <w:color w:val="auto"/>
        </w:rPr>
        <w:t>Our development programs for our future product candidates, if any, may require substantial financial resources and may ultimately be unsuccessful.</w:t>
      </w:r>
    </w:p>
    <w:p>
      <w:pPr>
        <w:spacing w:after="0" w:line="152"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Satisfaction of FDA and certain European regulatory requirements will entail substantial time, effort and financial resources. We may never satisfy these requirements. We believe that our cash, cash equivalents and marketable debt securities will be sufficient to fund operations for a period of at least one year from the issuance date of this Quarterly Report, but we will need to raise more funds to continue development and commercialization of our future product candidates, if any, which may not be easily available. Furthermore, we may never commence clinical trials of such development programs despite expending significant resources in pursuit of their development. If we do commence clinical trials of any future potential product candidates, such product candidates may never be approved by the FDA or other regulatory authorities.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not generated any revenue from product sales. We have incurred significant operating losses since our inception and anticipate that we will incur continued losses for the foreseeable future.</w:t>
      </w:r>
    </w:p>
    <w:p>
      <w:pPr>
        <w:spacing w:after="0" w:line="62"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Biopharmaceutical product development is a highly speculative undertaking and involves a substantial degree of risk. Our operations to date have been limited primarily to organizing and staffing our company and conducting research and development activities for ZGN-1061, ZGN-1258, ZGN-1345, beloranib, ZGN-839 and additional MetAP2 inhibitors. We have never generated any revenue from product sales. We have not obtained regulatory approvals for any of our product candidates.</w:t>
      </w:r>
    </w:p>
    <w:p>
      <w:pPr>
        <w:spacing w:after="0" w:line="79" w:lineRule="exact"/>
        <w:rPr>
          <w:sz w:val="20"/>
          <w:szCs w:val="20"/>
          <w:color w:val="auto"/>
        </w:rPr>
      </w:pPr>
    </w:p>
    <w:p>
      <w:pPr>
        <w:ind w:right="40" w:firstLine="510"/>
        <w:spacing w:after="0" w:line="285" w:lineRule="auto"/>
        <w:rPr>
          <w:sz w:val="20"/>
          <w:szCs w:val="20"/>
          <w:color w:val="auto"/>
        </w:rPr>
      </w:pPr>
      <w:r>
        <w:rPr>
          <w:rFonts w:ascii="Arial" w:cs="Arial" w:eastAsia="Arial" w:hAnsi="Arial"/>
          <w:sz w:val="16"/>
          <w:szCs w:val="16"/>
          <w:color w:val="auto"/>
        </w:rPr>
        <w:t xml:space="preserve">Since our inception and until July 2016, we focused substantially all of our efforts and financial resources on developing beloranib, which was in Phase 3 clinical development for our lead indication of the treatment of hyperphagia and obesity in patients with Prader Willi Syndrome and Phase 2 clinical development for the treatment of obesity in patients with hypothalamic injury-associated obesity. In December 2015, the FDA put the beloranib IND application on full clinical hold. Due to the uncertainties, costs and risks associated with the development of beloranib, in July 2016, we suspended further development of beloranib and directed our efforts and financial resources to developing ZGN-1061. In October 2016, we suspended our development of ZGN-839 in order to focus all of our resources to developing ZGN-1061 and the discovery and development of novel and highly differentiated MetAP2 inhibitors. In November 2018, we received a letter from the FDA placing a full clinical hold on our IND for the first U.S. clinical trial of ZGN-1061. The FDA cited the possibility of cardiovascular safety risks based on similar results seen in our prior compound. In July 2019, we reached agreement with the FDA on an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animal study design and protocol to establish relevant safety margins for ZGN-1061. The study was designed to translate the data from our newly developed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of human endothelial cells and assessment of tissue factor expression with endothelial cells, along with other supportive assays, as we worked toward resolving the full clinical hold. Based on the preliminary results from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study, on September 5, 2019, we announced that we believe there is a low probability of resolving the clinical hold in the near-term. Subsequently, all further development activities of MetAP2 inhibitors were halted and we withdrew the IND for ZGN-1061 in September 2019. Therefore, we have determined that it is in the best interest of stockholders to expand our internal corporate development efforts and formally evaluate strategic alternatives. Following an extensive process of evaluating strategic alternatives and identifying and reviewing potential candidates for a strategic acquisition or other transaction, on December 17, 2019, we entered into an Agreement and Plan of Merger, or the Merger Agreement, with Chondrial, pursuant to which a wholly owned subsidiary of the Company will merge with and into Chondrial, with Chondrial continuing as the surviving corporation and a wholly owned subsidiary of the Company and the combined publicly traded, clinical-stage biopharmaceutical company will operate under a new name, Larimar Therapeutics, Inc. We expect to devote significant time and resources to completion of this proposed transaction.</w:t>
      </w:r>
    </w:p>
    <w:p>
      <w:pPr>
        <w:spacing w:after="0" w:line="169"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We have funded our operations to date through proceeds from sales of redeemable convertible preferred stock, convertible debt and proceeds from our IPO and follow-on public offerings, and have incurred losses in each year since our inception. In July 2018, we sold 9,200,000 shares of our common stock at a price of $7.50 per share. Our net loss as of March 31, 2020 was $3.6 million. As of March 31, 2020, we had an accumulated deficit of $399.9 million. Substantially all of our operating losses resulted from costs incurred in connection with our development programs for ZGN-1061, ZGN-1258, ZGN-1345, beloranib, ZGN-839, early research activities, licensing milestone fees and from general and administrative costs associated with our operations. Our prior losses, combined with expected future losses, have had and will continue to have an adverse effect on our stockholders’ equity and working capital. In addition, if and when we obtain marketing approval for a future product candidate, we will incur significant sales, marketing and manufacturing expenses. We will continue to incur additional costs associated with operating as a public company. As a result, we expect to continue to incur significant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ind w:right="40" w:firstLine="510"/>
        <w:spacing w:after="0" w:line="259"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any of our product candidates, and we do not know when, or if, we will generate any revenue. We do not expect to generate significant revenue unless and until we obtain marketing approval of, and begin to sell, our product candidates. Our ability to generate revenue depends on a number of factors, including, but not limited to, our ability to:</w:t>
      </w:r>
    </w:p>
    <w:p>
      <w:pPr>
        <w:spacing w:after="0" w:line="79" w:lineRule="exact"/>
        <w:rPr>
          <w:sz w:val="20"/>
          <w:szCs w:val="20"/>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successfully submit IND applications that go into effect with the FDA to initiate clinical trials for our future product candidates;</w:t>
      </w:r>
    </w:p>
    <w:p>
      <w:pPr>
        <w:spacing w:after="0" w:line="11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future product candidates in the indications we are pursuing;</w:t>
      </w:r>
    </w:p>
    <w:p>
      <w:pPr>
        <w:spacing w:after="0" w:line="62" w:lineRule="exact"/>
        <w:rPr>
          <w:rFonts w:ascii="Arial" w:cs="Arial" w:eastAsia="Arial" w:hAnsi="Arial"/>
          <w:sz w:val="18"/>
          <w:szCs w:val="18"/>
          <w:color w:val="auto"/>
        </w:rPr>
      </w:pPr>
    </w:p>
    <w:p>
      <w:pPr>
        <w:ind w:left="1000" w:right="44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commercialize our product candidates, if developed and approved, by developing a sales force or entering into collaborations with third parties;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25" w:lineRule="exact"/>
        <w:rPr>
          <w:sz w:val="20"/>
          <w:szCs w:val="20"/>
          <w:color w:val="auto"/>
        </w:rPr>
      </w:pPr>
    </w:p>
    <w:p>
      <w:pPr>
        <w:ind w:right="200" w:firstLine="510"/>
        <w:spacing w:after="0" w:line="275" w:lineRule="auto"/>
        <w:rPr>
          <w:sz w:val="20"/>
          <w:szCs w:val="20"/>
          <w:color w:val="auto"/>
        </w:rPr>
      </w:pPr>
      <w:r>
        <w:rPr>
          <w:rFonts w:ascii="Arial" w:cs="Arial" w:eastAsia="Arial" w:hAnsi="Arial"/>
          <w:sz w:val="17"/>
          <w:szCs w:val="17"/>
          <w:color w:val="auto"/>
        </w:rPr>
        <w:t>Absent our entering into a collaboration or partnership agreement, we expect to incur significant sales and marketing costs when we prepare to commercialize our product candidates. Even if we initiate and successfully complete our clinical trials of our future product candidates, if any, and any product candidates are approved for commercial sale our product candidates, if any, may not be commercially successful drugs. Despite expending these costs, we may not achieve profitability soon after generating product sales, if ever. If we are unable to generate sufficient product revenue, we will not become profitable and may be unable to continue operations without continued funding.</w:t>
      </w:r>
    </w:p>
    <w:p>
      <w:pPr>
        <w:spacing w:after="0" w:line="284"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38" w:lineRule="exact"/>
        <w:rPr>
          <w:sz w:val="20"/>
          <w:szCs w:val="20"/>
          <w:color w:val="auto"/>
        </w:rPr>
      </w:pPr>
    </w:p>
    <w:p>
      <w:pPr>
        <w:ind w:right="420" w:firstLine="510"/>
        <w:spacing w:after="0" w:line="259" w:lineRule="auto"/>
        <w:rPr>
          <w:sz w:val="20"/>
          <w:szCs w:val="20"/>
          <w:color w:val="auto"/>
        </w:rPr>
      </w:pPr>
      <w:r>
        <w:rPr>
          <w:rFonts w:ascii="Arial" w:cs="Arial" w:eastAsia="Arial" w:hAnsi="Arial"/>
          <w:sz w:val="18"/>
          <w:szCs w:val="18"/>
          <w:color w:val="auto"/>
        </w:rPr>
        <w:t>Developing drugs is expensive. Depending on the status of regulatory approval or, if approved, commercialization of any of our future product candidates, as well as the progress we make in selling any of our future product candidates, we will require additional capital to fund operating needs thereafter. We may also need to raise additional funds sooner if we choose to pursue additional indications and/or geographies for our future product candidates or otherwise expand more rapidly than we anticipate.</w:t>
      </w:r>
    </w:p>
    <w:p>
      <w:pPr>
        <w:spacing w:after="0" w:line="18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As of March 31, 2020, our cash, cash equivalents and marketable debt securities were $63.9 million and we have a Term Loan with an outstanding principal balance of $12.7 million. The Term Loan is collateralized by substantially all of our personal property, other than our intellectual property. Additionally, we, as the borrower, are required to maintain a minimum unrestricted cash, cash equivalents and marketable debt securities balance at Silicon Valley Bank of no less than 105% of the total outstanding principal balance of the Term Loan, which as of March 31, 2020 and December 31, 2019 was $13.4 million and $15.3 million, respectively.</w:t>
      </w:r>
    </w:p>
    <w:p>
      <w:pPr>
        <w:spacing w:after="0" w:line="188"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Further, as part of the requirements of the Term Loan, we must maintain a balance of unrestricted cash, cash equivalents and marketable debt securities at Silicon Valley Bank in an amount not less than the greater of (i) $55.0 million and (ii) sixty-five percent (65%) of all of our cash, cash equivalents and marketable debt securities. If we do not meet this requirement it will not be considered an event of default provided we immediately secure 87.5% of the principal balance in a restricted cash account. There are negative covenants restricting our activities, including limitations on dispositions, mergers or acquisitions, encumbering or granting a security interest in our intellectual property, incurring indebtedness or liens, paying dividends, making certain investments, limiting the aggregate value of cash maintained by our Australian subsidiary not to exceed $4.0 million and certain other business transactions. The Term Loan also includes events of default, the occurrence and continuation of any of which provides the lenders the right to exercise remedies against us and the collateral securing the amounts due under the Term Loan, including cash in the amount of the outstanding balance. These events of default include, among other things, failure to pay any amounts due under the Term Loan, insolvency, the occurrence of a material adverse event, the occurrence of any default under certain other indebtedness and a final judgment against us in an amount greater than $0.3 million. We have estimated that the risk of subjective acceleration under the material adverse events clause is reasonably possible, however not probable and therefore have classified the outstanding principal in current and long-term liabilities based on contractually scheduled principal payments. However, the assessment of such probability of the debt holder calling the debt is subjective and their actions and/or our related assessment could change in the future, which in turn would impact the classification of the debt balances.</w:t>
      </w:r>
    </w:p>
    <w:p>
      <w:pPr>
        <w:spacing w:after="0" w:line="184"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 expect that our cash, cash equivalents and marketable debt securities will be sufficient to fund our current operations for a period of at least one year from the issuance date of this Quarterly Report. We expect to devote significant time and resources to completion of the proposed merger with Chondrial. However, there can be no assurance that such activities will result in the completion of the Merger. Further, the completion of the Merger ultimately may not deliver the anticipated benefits or enhance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1" w:name="page52"/>
    <w:bookmarkEnd w:id="51"/>
    <w:p>
      <w:pPr>
        <w:ind w:right="200"/>
        <w:spacing w:after="0" w:line="273" w:lineRule="auto"/>
        <w:rPr>
          <w:sz w:val="20"/>
          <w:szCs w:val="20"/>
          <w:color w:val="auto"/>
        </w:rPr>
      </w:pPr>
      <w:r>
        <w:rPr>
          <w:rFonts w:ascii="Arial" w:cs="Arial" w:eastAsia="Arial" w:hAnsi="Arial"/>
          <w:sz w:val="17"/>
          <w:szCs w:val="17"/>
          <w:color w:val="auto"/>
        </w:rPr>
        <w:t>shareholder value. In addition,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In any event, we will require additional capital to obtain regulatory approval for, and to commercialize, our future product candidates.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78"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future product candidates. In addition, we cannot guarantee that future financing will be available in sufficient amounts or on terms acceptable to us, if at all. In addition, the COVID-19 pandemic and its economic impacts could adversely affect our ability to obtain financing and could affect the terms on which financing is secured.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72"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w:t>
      </w:r>
    </w:p>
    <w:p>
      <w:pPr>
        <w:spacing w:after="0" w:line="11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may seek additional capital through a combination of private and public equity offerings, debt financings, collaborations and strategic and licensing arrangements. On July 2, 2018, we completed a public offering of our common stock, which resulted in the sale of 9,200,000 shares at a price of $7.50 per share, resulting in net proceeds of approximately $64.6 million after deducting underwriting discounts and commissions, as well as offering costs. On November 9, 2018, we entered into a sales agreement, or the Sales Agreement, with Cowen and Company, LLC, or Cowen, to sell shares of our common stock, with aggregate gross sales proceeds of up to $50.0 million, from time to time, through an at-the-market equity offering program under which Cowen will act as our sales agent. Through March 31, 2020 we have not sold any shares under the Sales Agreement. To the extent that we raise additional capital through the sale of common stock or securities convertible or exchangeable into common stock, a stockholder’s ownership interest in our company will be diluted. In addition, the terms of any such securities may include liquidation or other preferences that materially adversely affect the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rights to our future product candidates, our intellectual property, future revenue streams or grant licenses on terms that are not favorable to us.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maintain issued patents which are sufficient to protect our future product candidates, if any, others could compete against us more directly, which would have a material adverse impact on our business, results of operations, financial condition and prospects.</w:t>
      </w:r>
    </w:p>
    <w:p>
      <w:pPr>
        <w:spacing w:after="0" w:line="76"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Because we expect to complete the proposed merger with Chondrial, we are not pursuing additional patents and are not continuing to maintain issued patents or other intellectual property rights in the United States and elsewhere directed to MetAP2 inhibitors.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187"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As of April 30, 2020, we own thirty-eight issued U.S. patents, all of which relate to our internal efforts to discover and discover MetAP2 inhibitors.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ind w:firstLine="510"/>
        <w:spacing w:after="0" w:line="289" w:lineRule="auto"/>
        <w:rPr>
          <w:sz w:val="20"/>
          <w:szCs w:val="20"/>
          <w:color w:val="auto"/>
        </w:rPr>
      </w:pPr>
      <w:r>
        <w:rPr>
          <w:rFonts w:ascii="Arial" w:cs="Arial" w:eastAsia="Arial" w:hAnsi="Arial"/>
          <w:sz w:val="16"/>
          <w:szCs w:val="16"/>
          <w:color w:val="auto"/>
        </w:rPr>
        <w:t>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ex parte reexamination, or inter partes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our future product candidates.</w:t>
      </w:r>
    </w:p>
    <w:p>
      <w:pPr>
        <w:spacing w:after="0" w:line="166"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potential future sales.</w:t>
      </w:r>
    </w:p>
    <w:p>
      <w:pPr>
        <w:spacing w:after="0" w:line="192" w:lineRule="exact"/>
        <w:rPr>
          <w:sz w:val="20"/>
          <w:szCs w:val="20"/>
          <w:color w:val="auto"/>
        </w:rPr>
      </w:pPr>
    </w:p>
    <w:p>
      <w:pPr>
        <w:ind w:right="280" w:firstLine="510"/>
        <w:spacing w:after="0" w:line="275" w:lineRule="auto"/>
        <w:rPr>
          <w:sz w:val="20"/>
          <w:szCs w:val="20"/>
          <w:color w:val="auto"/>
        </w:rPr>
      </w:pPr>
      <w:r>
        <w:rPr>
          <w:rFonts w:ascii="Arial" w:cs="Arial" w:eastAsia="Arial" w:hAnsi="Arial"/>
          <w:sz w:val="17"/>
          <w:szCs w:val="17"/>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76"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future product candidates, are invalidated or found unenforceable, our financial position and results of operations would be materially and adversely impacted. In addition, if a court found that valid, enforceable patents held by third parties covered our future product candidates, our financial position and results of operations would also be materially and adversely impacted.</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117" w:lineRule="exact"/>
        <w:rPr>
          <w:sz w:val="20"/>
          <w:szCs w:val="20"/>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of our patents include claims having a scope sufficient to protect our future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will be able to successfully develop and commercialize any future product candidates, if approved, before our relevant patents expire;</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of our patents will be found to ultimately be valid and enforceable;</w:t>
      </w:r>
    </w:p>
    <w:p>
      <w:pPr>
        <w:spacing w:after="0" w:line="117" w:lineRule="exact"/>
        <w:rPr>
          <w:rFonts w:ascii="Arial" w:cs="Arial" w:eastAsia="Arial" w:hAnsi="Arial"/>
          <w:sz w:val="18"/>
          <w:szCs w:val="18"/>
          <w:color w:val="auto"/>
        </w:rPr>
      </w:pPr>
    </w:p>
    <w:p>
      <w:pPr>
        <w:ind w:left="1000" w:right="74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our commercial activities or products, if any, will not infringe upon the patents of others.</w:t>
      </w:r>
    </w:p>
    <w:p>
      <w:pPr>
        <w:spacing w:after="0" w:line="225"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We rely upon unpatented trade secrets, unpatented know-how and continuing technological innovation to develop and maintain our competitive position, which we seek to protect, in part, by confidentiality agreements with our employees and our collaborators and consultants. We also have agreements with our employees and selected consultants that obligate them to assign their inventions to us and have non-compete agreements with some, but not all, of our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3" w:name="page54"/>
    <w:bookmarkEnd w:id="53"/>
    <w:p>
      <w:pPr>
        <w:ind w:right="40"/>
        <w:spacing w:after="0" w:line="277" w:lineRule="auto"/>
        <w:rPr>
          <w:sz w:val="20"/>
          <w:szCs w:val="20"/>
          <w:color w:val="auto"/>
        </w:rPr>
      </w:pPr>
      <w:r>
        <w:rPr>
          <w:rFonts w:ascii="Arial" w:cs="Arial" w:eastAsia="Arial" w:hAnsi="Arial"/>
          <w:sz w:val="18"/>
          <w:szCs w:val="18"/>
          <w:color w:val="auto"/>
        </w:rPr>
        <w:t>breach or violation, and we could lose our trade secrets through such breaches or violations. Further, our trade secrets could otherwise become known or be independently discovered by our competitors.</w:t>
      </w:r>
    </w:p>
    <w:p>
      <w:pPr>
        <w:spacing w:after="0" w:line="278" w:lineRule="exact"/>
        <w:rPr>
          <w:sz w:val="20"/>
          <w:szCs w:val="20"/>
          <w:color w:val="auto"/>
        </w:rPr>
      </w:pPr>
    </w:p>
    <w:p>
      <w:pPr>
        <w:ind w:right="1180"/>
        <w:spacing w:after="0" w:line="308" w:lineRule="auto"/>
        <w:rPr>
          <w:sz w:val="20"/>
          <w:szCs w:val="20"/>
          <w:color w:val="auto"/>
        </w:rPr>
      </w:pPr>
      <w:r>
        <w:rPr>
          <w:rFonts w:ascii="Arial" w:cs="Arial" w:eastAsia="Arial" w:hAnsi="Arial"/>
          <w:sz w:val="17"/>
          <w:szCs w:val="17"/>
          <w:b w:val="1"/>
          <w:bCs w:val="1"/>
          <w:i w:val="1"/>
          <w:iCs w:val="1"/>
          <w:color w:val="auto"/>
        </w:rPr>
        <w:t>We may infringe the intellectual property rights of others, which may prevent or delay our product development efforts and stop us from commercializing or increase the costs of commercializing any future product candidates, if approved.</w:t>
      </w:r>
    </w:p>
    <w:p>
      <w:pPr>
        <w:spacing w:after="0" w:line="38"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46"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pharmaceutical industry is characterized by extensive litigation regarding patents and other intellectual property rights. Other parties may allege that our future product candidates, if any, or the use of our technologies infringes patent claims or other intellectual property rights held by them or that we are employing their proprietary technology without authorization. 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were successfully asserted against us and we could not obtain such a license, we may be forced to stop or delay developing, manufacturing, selling or otherwise commercializing our future product candidates, if any.</w:t>
      </w:r>
    </w:p>
    <w:p>
      <w:pPr>
        <w:spacing w:after="0" w:line="17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80"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future product candidates, if any;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cease preparations or developing of any future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obtain a license from the holder of the asserted intellectual property, which license may not be available on reasonable terms, if at all; and</w:t>
      </w:r>
    </w:p>
    <w:p>
      <w:pPr>
        <w:spacing w:after="0" w:line="140" w:lineRule="exact"/>
        <w:rPr>
          <w:rFonts w:ascii="Arial" w:cs="Arial" w:eastAsia="Arial" w:hAnsi="Arial"/>
          <w:sz w:val="16"/>
          <w:szCs w:val="16"/>
          <w:color w:val="auto"/>
        </w:rPr>
      </w:pPr>
    </w:p>
    <w:p>
      <w:pPr>
        <w:ind w:left="1000" w:right="780" w:hanging="493"/>
        <w:spacing w:after="0" w:line="342"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the case of trademark claims, redesign or rename the trademarks or trade names of our product candidates to avoid infringing the intellectual property rights of third parties, which may not be possible and, even if possible, could be costly and time-consuming.</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We may also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4"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right="580" w:firstLine="510"/>
        <w:spacing w:after="0" w:line="263" w:lineRule="auto"/>
        <w:rPr>
          <w:sz w:val="20"/>
          <w:szCs w:val="20"/>
          <w:color w:val="auto"/>
        </w:rPr>
      </w:pPr>
      <w:r>
        <w:rPr>
          <w:rFonts w:ascii="Arial" w:cs="Arial" w:eastAsia="Arial" w:hAnsi="Arial"/>
          <w:sz w:val="18"/>
          <w:szCs w:val="18"/>
          <w:color w:val="auto"/>
        </w:rPr>
        <w:t>The U.S. Patent and Trademark Office, or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color w:val="auto"/>
        </w:rPr>
        <w:t>rights in the relevant jurisdiction. In such an event, competitors might be able to enter the market earlier than would otherwise have been the case.</w:t>
      </w:r>
    </w:p>
    <w:p>
      <w:pPr>
        <w:spacing w:after="0" w:line="34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62"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76" w:lineRule="exact"/>
        <w:rPr>
          <w:sz w:val="20"/>
          <w:szCs w:val="20"/>
          <w:color w:val="auto"/>
        </w:rPr>
      </w:pPr>
    </w:p>
    <w:p>
      <w:pPr>
        <w:ind w:right="240" w:firstLine="510"/>
        <w:spacing w:after="0" w:line="273" w:lineRule="auto"/>
        <w:rPr>
          <w:sz w:val="20"/>
          <w:szCs w:val="20"/>
          <w:color w:val="auto"/>
        </w:rPr>
      </w:pPr>
      <w:r>
        <w:rPr>
          <w:rFonts w:ascii="Arial" w:cs="Arial" w:eastAsia="Arial" w:hAnsi="Arial"/>
          <w:sz w:val="17"/>
          <w:szCs w:val="17"/>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78"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future product candidates, if any, could be found invalid or unenforceable if challenged in court.</w:t>
      </w:r>
    </w:p>
    <w:p>
      <w:pPr>
        <w:spacing w:after="0" w:line="11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If we or one of our licensing partners initiated legal proceedings against a third party to enforce a patent covering our product candidate,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act,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2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62"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78"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5" w:name="page56"/>
    <w:bookmarkEnd w:id="55"/>
    <w:p>
      <w:pPr>
        <w:ind w:right="80"/>
        <w:spacing w:after="0" w:line="270" w:lineRule="auto"/>
        <w:rPr>
          <w:sz w:val="20"/>
          <w:szCs w:val="20"/>
          <w:color w:val="auto"/>
        </w:rPr>
      </w:pPr>
      <w:r>
        <w:rPr>
          <w:rFonts w:ascii="Arial" w:cs="Arial" w:eastAsia="Arial" w:hAnsi="Arial"/>
          <w:sz w:val="17"/>
          <w:szCs w:val="17"/>
          <w:color w:val="auto"/>
        </w:rPr>
        <w:t>and other intellectual property protection, particularly those relating to biopharmaceuticals, which could make it difficult for us to stop the infringement of our patents or marketing of competing products in violation of our proprietary rights generally. For example, an April 2014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9"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We may become dependent on licensed intellectual property for early-stage product candidates. If we were to lose our rights to licensed intellectual property, we may not be able to continue developing or commercializing such product candidates, if approved.</w:t>
      </w:r>
    </w:p>
    <w:p>
      <w:pPr>
        <w:spacing w:after="0" w:line="38"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We had an exclusive license with Children’s Medical Center Corporation, which we elected to terminate in the first quarter of 2020, pursuant to which we exclusively licensed certain patent rights relating to decreasing the growth of fat tissue, on a worldwide basis. We may enter into additional licenses for third-party intellectual property that are necessary or useful to our business. Current or future licensors may also allege that we have breached our license agreement and may accordingly seek to terminate our license with them. In addition, current or future licensors may decide to terminate our license at will. If successful, this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3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not yet registered trademarks for a commercial trade name for our future product candidates, if any, and failure to secure such registrations could adversely affect our business.</w:t>
      </w:r>
    </w:p>
    <w:p>
      <w:pPr>
        <w:spacing w:after="0" w:line="62"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We have not yet registered trademarks for a commercial trade name for our future product candidates, if any. Any future trademark applications may be rejected during trademark registration proceedings. Although we would be given an opportunity to respond to those rejections, we may be unable to overcome such rejections. In addition, in the U.S. 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27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future product candidates, our business may be materially harmed.</w:t>
      </w:r>
    </w:p>
    <w:p>
      <w:pPr>
        <w:spacing w:after="0" w:line="62"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color w:val="auto"/>
        </w:rPr>
        <w:t>Depending upon the timing, duration and specifics of development and FDA marketing approval of our future product candidates, if any, one or more of our U.S. patents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United States could increase the uncertainties and costs surrounding the prosecution of patent applications and the enforcement or defense of issued patents. Patent reform legislation in the United States and other countries, including the Leahy-Smith America</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6" w:name="page57"/>
    <w:bookmarkEnd w:id="56"/>
    <w:p>
      <w:pPr>
        <w:ind w:right="60"/>
        <w:spacing w:after="0" w:line="269" w:lineRule="auto"/>
        <w:rPr>
          <w:sz w:val="20"/>
          <w:szCs w:val="20"/>
          <w:color w:val="auto"/>
        </w:rPr>
      </w:pPr>
      <w:r>
        <w:rPr>
          <w:rFonts w:ascii="Arial" w:cs="Arial" w:eastAsia="Arial" w:hAnsi="Arial"/>
          <w:sz w:val="17"/>
          <w:szCs w:val="17"/>
          <w:color w:val="auto"/>
        </w:rPr>
        <w:t>Invents Act, or the Leahy-Smith Act, signed into law in September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For example, the Leahy-Smith Act allows third-party submission of prior art to the U.S. PTO during patent prosecution and additional procedures to attack the validity of a patent by U.S. PTO administered post-grant proceedings, including post-grant review, inter partes review, and derivation proceedings. In addition, the Leahy-Smith Act has transformed the U.S. patent system from a “first-to-invent” system to a “first-to-file” system in which, assuming that other requirements for patentability are met, the first inventor to file a patent application will be entitled to the patent on an invention regardless of whether a third party was the first to invent the claimed invention.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or our collaboration partners’ patent applications and the enforcement or defense of our or our collaboration partners’ issued patents, all of which could harm our business, results of operations, financial condition and prospects.</w:t>
      </w:r>
    </w:p>
    <w:p>
      <w:pPr>
        <w:spacing w:after="0" w:line="179"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proprietary technology. Depending on future actions by the U.S. Congress, the U.S. courts, the U.S. 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30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62"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Our employees have been previously employed, and may be employed in the future, at other biotechnology or pharmaceutical companies, including our competitors or potential competitors. Although we are not aware of any claims currently pending against us, we may be subject to claims that these employees or we have inadvertently or otherwise used or disclosed trade secrets or other proprietary information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claims, we may lose valuable intellectual property rights or personnel. A loss of key personnel or their work product could hamper or prevent our ability to develop and commercialize our future product candidates, which would materially adversely affect our business, financial condition and results of operations.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7" w:name="page58"/>
    <w:bookmarkEnd w:id="57"/>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filed as part of this Quarterly Report are set forth on the Exhibit Index, which is incorporated herein by reference.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80" w:type="dxa"/>
            <w:vAlign w:val="bottom"/>
            <w:gridSpan w:val="10"/>
          </w:tcPr>
          <w:p>
            <w:pPr>
              <w:ind w:left="1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80" w:type="dxa"/>
            <w:vAlign w:val="bottom"/>
            <w:gridSpan w:val="9"/>
            <w:vMerge w:val="restart"/>
          </w:tcPr>
          <w:p>
            <w:pPr>
              <w:ind w:left="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No.</w:t>
            </w:r>
          </w:p>
        </w:tc>
        <w:tc>
          <w:tcPr>
            <w:tcW w:w="2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8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2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9940" w:type="dxa"/>
            <w:vAlign w:val="bottom"/>
            <w:tcBorders>
              <w:top w:val="single" w:sz="8" w:color="auto"/>
            </w:tcBorders>
            <w:gridSpan w:val="13"/>
          </w:tcPr>
          <w:p>
            <w:pPr>
              <w:spacing w:after="0"/>
              <w:rPr>
                <w:rFonts w:ascii="Arial" w:cs="Arial" w:eastAsia="Arial" w:hAnsi="Arial"/>
                <w:sz w:val="18"/>
                <w:szCs w:val="18"/>
                <w:color w:val="0000EE"/>
                <w:w w:val="93"/>
              </w:rPr>
            </w:pPr>
            <w:hyperlink r:id="rId80">
              <w:r>
                <w:rPr>
                  <w:rFonts w:ascii="Arial" w:cs="Arial" w:eastAsia="Arial" w:hAnsi="Arial"/>
                  <w:sz w:val="18"/>
                  <w:szCs w:val="18"/>
                  <w:color w:val="0000EE"/>
                  <w:w w:val="93"/>
                </w:rPr>
                <w:t>Amendment No. 1 to Agreement and Plan of Merger, dated as of March 6, 2020, by and among Zafgen, Inc., Chondrial Therapeutics,</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13"/>
          </w:tcPr>
          <w:p>
            <w:pPr>
              <w:spacing w:after="0" w:line="196" w:lineRule="exact"/>
              <w:rPr>
                <w:rFonts w:ascii="Arial" w:cs="Arial" w:eastAsia="Arial" w:hAnsi="Arial"/>
                <w:sz w:val="18"/>
                <w:szCs w:val="18"/>
                <w:color w:val="0000EE"/>
                <w:w w:val="93"/>
              </w:rPr>
            </w:pPr>
            <w:hyperlink r:id="rId80">
              <w:r>
                <w:rPr>
                  <w:rFonts w:ascii="Arial" w:cs="Arial" w:eastAsia="Arial" w:hAnsi="Arial"/>
                  <w:sz w:val="18"/>
                  <w:szCs w:val="18"/>
                  <w:color w:val="0000EE"/>
                  <w:w w:val="93"/>
                </w:rPr>
                <w:t>Inc., Chondrial Therapeutics Holdings, LLC, and Zordich Merger Sub, Inc. (incorporated by reference to Exhibit 2.1 of the Registrant’s</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r:id="rId80">
              <w:r>
                <w:rPr>
                  <w:rFonts w:ascii="Arial" w:cs="Arial" w:eastAsia="Arial" w:hAnsi="Arial"/>
                  <w:sz w:val="18"/>
                  <w:szCs w:val="18"/>
                  <w:color w:val="0000EE"/>
                  <w:w w:val="93"/>
                </w:rPr>
                <w:t>Form 8-K filed on March 9, 2020)</w:t>
              </w:r>
            </w:hyperlink>
          </w:p>
        </w:tc>
        <w:tc>
          <w:tcPr>
            <w:tcW w:w="7280" w:type="dxa"/>
            <w:vAlign w:val="bottom"/>
            <w:tcBorders>
              <w:top w:val="single" w:sz="8" w:color="0000EE"/>
            </w:tcBorders>
            <w:gridSpan w:val="9"/>
          </w:tcPr>
          <w:p>
            <w:pPr>
              <w:spacing w:after="0"/>
              <w:rPr>
                <w:sz w:val="17"/>
                <w:szCs w:val="17"/>
                <w:color w:val="auto"/>
              </w:rPr>
            </w:pP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1120" w:type="dxa"/>
            <w:vAlign w:val="bottom"/>
          </w:tcPr>
          <w:p>
            <w:pPr>
              <w:ind w:left="22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2"/>
                <w:szCs w:val="22"/>
                <w:color w:val="auto"/>
              </w:rPr>
            </w:pPr>
          </w:p>
        </w:tc>
        <w:tc>
          <w:tcPr>
            <w:tcW w:w="9680" w:type="dxa"/>
            <w:vAlign w:val="bottom"/>
            <w:tcBorders>
              <w:bottom w:val="single" w:sz="8" w:color="0000EE"/>
            </w:tcBorders>
            <w:gridSpan w:val="9"/>
          </w:tcPr>
          <w:p>
            <w:pPr>
              <w:spacing w:after="0"/>
              <w:rPr>
                <w:rFonts w:ascii="Arial" w:cs="Arial" w:eastAsia="Arial" w:hAnsi="Arial"/>
                <w:sz w:val="18"/>
                <w:szCs w:val="18"/>
                <w:color w:val="0000EE"/>
                <w:w w:val="91"/>
              </w:rPr>
            </w:pPr>
            <w:hyperlink r:id="rId81">
              <w:r>
                <w:rPr>
                  <w:rFonts w:ascii="Arial" w:cs="Arial" w:eastAsia="Arial" w:hAnsi="Arial"/>
                  <w:sz w:val="18"/>
                  <w:szCs w:val="18"/>
                  <w:color w:val="0000EE"/>
                  <w:w w:val="91"/>
                </w:rPr>
                <w:t>Ninth Amended and Restated Certificate of Incorporation of the Registrant, as currently in effect (incorporated by reference to Exhibit</w:t>
              </w:r>
            </w:hyperlink>
          </w:p>
        </w:tc>
        <w:tc>
          <w:tcPr>
            <w:tcW w:w="26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13"/>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3.</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of the Registrant’s Form 8-K filed on June 24, 2014)</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Pr>
          <w:p>
            <w:pPr>
              <w:ind w:left="2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1"/>
                <w:szCs w:val="21"/>
                <w:color w:val="auto"/>
              </w:rPr>
            </w:pPr>
          </w:p>
        </w:tc>
        <w:tc>
          <w:tcPr>
            <w:tcW w:w="9920" w:type="dxa"/>
            <w:vAlign w:val="bottom"/>
            <w:tcBorders>
              <w:bottom w:val="single" w:sz="8" w:color="0000EE"/>
            </w:tcBorders>
            <w:gridSpan w:val="12"/>
          </w:tcPr>
          <w:p>
            <w:pPr>
              <w:spacing w:after="0"/>
              <w:rPr>
                <w:rFonts w:ascii="Arial" w:cs="Arial" w:eastAsia="Arial" w:hAnsi="Arial"/>
                <w:sz w:val="18"/>
                <w:szCs w:val="18"/>
                <w:color w:val="0000EE"/>
                <w:w w:val="91"/>
              </w:rPr>
            </w:pPr>
            <w:hyperlink r:id="rId82">
              <w:r>
                <w:rPr>
                  <w:rFonts w:ascii="Arial" w:cs="Arial" w:eastAsia="Arial" w:hAnsi="Arial"/>
                  <w:sz w:val="18"/>
                  <w:szCs w:val="18"/>
                  <w:color w:val="0000EE"/>
                  <w:w w:val="91"/>
                </w:rPr>
                <w:t>Amended and Restated By-laws of the Registrant, as currently in effect (incorporated by reference to Exhibit 3.2 of the Registrant’s Form</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8-K filed on June 24, 2014)</w:t>
              </w:r>
            </w:hyperlink>
          </w:p>
        </w:tc>
        <w:tc>
          <w:tcPr>
            <w:tcW w:w="79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ind w:left="22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956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Certification of Principal Executive Officer pursuant to Rule 13a-14(a) or Rule 15d-14(a) of the Securities Exchange Act of 1934, as</w:t>
              </w:r>
            </w:hyperlink>
          </w:p>
        </w:tc>
        <w:tc>
          <w:tcPr>
            <w:tcW w:w="3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13"/>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2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9940" w:type="dxa"/>
            <w:vAlign w:val="bottom"/>
            <w:gridSpan w:val="13"/>
          </w:tcPr>
          <w:p>
            <w:pPr>
              <w:spacing w:after="0"/>
              <w:rPr>
                <w:rFonts w:ascii="Arial" w:cs="Arial" w:eastAsia="Arial" w:hAnsi="Arial"/>
                <w:sz w:val="18"/>
                <w:szCs w:val="18"/>
                <w:color w:val="0000EE"/>
                <w:w w:val="95"/>
              </w:rPr>
            </w:pPr>
            <w:hyperlink w:anchor="page61">
              <w:r>
                <w:rPr>
                  <w:rFonts w:ascii="Arial" w:cs="Arial" w:eastAsia="Arial" w:hAnsi="Arial"/>
                  <w:sz w:val="18"/>
                  <w:szCs w:val="18"/>
                  <w:color w:val="0000EE"/>
                  <w:w w:val="95"/>
                </w:rPr>
                <w:t>Certification of Principal Financial Officer pursuant to Rule 13a-14(a) or Rule 15d-14(a) of the Securities Exchange Act of 1934, as</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5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adopted pursuant to Section 302 of the Sarbanes-Oxley Act of 2002.</w:t>
              </w:r>
            </w:hyperlink>
          </w:p>
        </w:tc>
        <w:tc>
          <w:tcPr>
            <w:tcW w:w="4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gridSpan w:val="3"/>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2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9940" w:type="dxa"/>
            <w:vAlign w:val="bottom"/>
            <w:gridSpan w:val="13"/>
          </w:tcPr>
          <w:p>
            <w:pPr>
              <w:spacing w:after="0"/>
              <w:rPr>
                <w:rFonts w:ascii="Arial" w:cs="Arial" w:eastAsia="Arial" w:hAnsi="Arial"/>
                <w:sz w:val="18"/>
                <w:szCs w:val="18"/>
                <w:color w:val="0000EE"/>
                <w:w w:val="93"/>
              </w:rPr>
            </w:pPr>
            <w:hyperlink w:anchor="page62">
              <w:r>
                <w:rPr>
                  <w:rFonts w:ascii="Arial" w:cs="Arial" w:eastAsia="Arial" w:hAnsi="Arial"/>
                  <w:sz w:val="18"/>
                  <w:szCs w:val="18"/>
                  <w:color w:val="0000EE"/>
                  <w:w w:val="93"/>
                </w:rPr>
                <w:t>Certification of Principal Executive Officer and Principal Financial Officer pursuant to 18 U.S.C. Section 1350, as adopted pursuant to</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7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Section 906 of the Sarbanes-Oxley Act of 2002.</w:t>
              </w:r>
            </w:hyperlink>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300" w:type="dxa"/>
            <w:vAlign w:val="bottom"/>
            <w:gridSpan w:val="2"/>
          </w:tcPr>
          <w:p>
            <w:pPr>
              <w:ind w:left="140"/>
              <w:spacing w:after="0"/>
              <w:rPr>
                <w:sz w:val="20"/>
                <w:szCs w:val="20"/>
                <w:color w:val="auto"/>
              </w:rPr>
            </w:pPr>
            <w:r>
              <w:rPr>
                <w:rFonts w:ascii="Arial" w:cs="Arial" w:eastAsia="Arial" w:hAnsi="Arial"/>
                <w:sz w:val="18"/>
                <w:szCs w:val="18"/>
                <w:color w:val="auto"/>
              </w:rPr>
              <w:t>101.INS*</w:t>
            </w:r>
          </w:p>
        </w:tc>
        <w:tc>
          <w:tcPr>
            <w:tcW w:w="34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64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300" w:type="dxa"/>
            <w:vAlign w:val="bottom"/>
            <w:gridSpan w:val="2"/>
          </w:tcPr>
          <w:p>
            <w:pPr>
              <w:ind w:left="140"/>
              <w:spacing w:after="0"/>
              <w:rPr>
                <w:sz w:val="20"/>
                <w:szCs w:val="20"/>
                <w:color w:val="auto"/>
              </w:rPr>
            </w:pPr>
            <w:r>
              <w:rPr>
                <w:rFonts w:ascii="Arial" w:cs="Arial" w:eastAsia="Arial" w:hAnsi="Arial"/>
                <w:sz w:val="18"/>
                <w:szCs w:val="18"/>
                <w:color w:val="auto"/>
              </w:rPr>
              <w:t>101.SCH*</w:t>
            </w:r>
          </w:p>
        </w:tc>
        <w:tc>
          <w:tcPr>
            <w:tcW w:w="994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300" w:type="dxa"/>
            <w:vAlign w:val="bottom"/>
            <w:gridSpan w:val="2"/>
          </w:tcPr>
          <w:p>
            <w:pPr>
              <w:ind w:left="140"/>
              <w:spacing w:after="0"/>
              <w:rPr>
                <w:sz w:val="20"/>
                <w:szCs w:val="20"/>
                <w:color w:val="auto"/>
              </w:rPr>
            </w:pPr>
            <w:r>
              <w:rPr>
                <w:rFonts w:ascii="Arial" w:cs="Arial" w:eastAsia="Arial" w:hAnsi="Arial"/>
                <w:sz w:val="18"/>
                <w:szCs w:val="18"/>
                <w:color w:val="auto"/>
              </w:rPr>
              <w:t>101.CAL*</w:t>
            </w:r>
          </w:p>
        </w:tc>
        <w:tc>
          <w:tcPr>
            <w:tcW w:w="994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Document.</w:t>
            </w:r>
          </w:p>
        </w:tc>
        <w:tc>
          <w:tcPr>
            <w:tcW w:w="0" w:type="dxa"/>
            <w:vAlign w:val="bottom"/>
          </w:tcPr>
          <w:p>
            <w:pPr>
              <w:spacing w:after="0"/>
              <w:rPr>
                <w:sz w:val="1"/>
                <w:szCs w:val="1"/>
                <w:color w:val="auto"/>
              </w:rPr>
            </w:pPr>
          </w:p>
        </w:tc>
      </w:tr>
      <w:tr>
        <w:trPr>
          <w:trHeight w:val="338"/>
        </w:trPr>
        <w:tc>
          <w:tcPr>
            <w:tcW w:w="1300" w:type="dxa"/>
            <w:vAlign w:val="bottom"/>
            <w:gridSpan w:val="2"/>
          </w:tcPr>
          <w:p>
            <w:pPr>
              <w:ind w:left="140"/>
              <w:spacing w:after="0"/>
              <w:rPr>
                <w:sz w:val="20"/>
                <w:szCs w:val="20"/>
                <w:color w:val="auto"/>
              </w:rPr>
            </w:pPr>
            <w:r>
              <w:rPr>
                <w:rFonts w:ascii="Arial" w:cs="Arial" w:eastAsia="Arial" w:hAnsi="Arial"/>
                <w:sz w:val="18"/>
                <w:szCs w:val="18"/>
                <w:color w:val="auto"/>
              </w:rPr>
              <w:t>101.DEF*</w:t>
            </w:r>
          </w:p>
        </w:tc>
        <w:tc>
          <w:tcPr>
            <w:tcW w:w="994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300" w:type="dxa"/>
            <w:vAlign w:val="bottom"/>
            <w:gridSpan w:val="2"/>
          </w:tcPr>
          <w:p>
            <w:pPr>
              <w:ind w:left="140"/>
              <w:spacing w:after="0"/>
              <w:rPr>
                <w:sz w:val="20"/>
                <w:szCs w:val="20"/>
                <w:color w:val="auto"/>
              </w:rPr>
            </w:pPr>
            <w:r>
              <w:rPr>
                <w:rFonts w:ascii="Arial" w:cs="Arial" w:eastAsia="Arial" w:hAnsi="Arial"/>
                <w:sz w:val="18"/>
                <w:szCs w:val="18"/>
                <w:color w:val="auto"/>
              </w:rPr>
              <w:t>101.LAB*</w:t>
            </w:r>
          </w:p>
        </w:tc>
        <w:tc>
          <w:tcPr>
            <w:tcW w:w="9940" w:type="dxa"/>
            <w:vAlign w:val="bottom"/>
            <w:gridSpan w:val="13"/>
          </w:tcPr>
          <w:p>
            <w:pPr>
              <w:spacing w:after="0"/>
              <w:rPr>
                <w:sz w:val="20"/>
                <w:szCs w:val="20"/>
                <w:color w:val="auto"/>
              </w:rPr>
            </w:pPr>
            <w:r>
              <w:rPr>
                <w:rFonts w:ascii="Arial" w:cs="Arial" w:eastAsia="Arial" w:hAnsi="Arial"/>
                <w:sz w:val="18"/>
                <w:szCs w:val="18"/>
                <w:color w:val="auto"/>
              </w:rPr>
              <w:t>XBRL Taxonomy Extension Labels Linkbase Document.</w:t>
            </w:r>
          </w:p>
        </w:tc>
        <w:tc>
          <w:tcPr>
            <w:tcW w:w="0" w:type="dxa"/>
            <w:vAlign w:val="bottom"/>
          </w:tcPr>
          <w:p>
            <w:pPr>
              <w:spacing w:after="0"/>
              <w:rPr>
                <w:sz w:val="1"/>
                <w:szCs w:val="1"/>
                <w:color w:val="auto"/>
              </w:rPr>
            </w:pPr>
          </w:p>
        </w:tc>
      </w:tr>
      <w:tr>
        <w:trPr>
          <w:trHeight w:val="338"/>
        </w:trPr>
        <w:tc>
          <w:tcPr>
            <w:tcW w:w="1300" w:type="dxa"/>
            <w:vAlign w:val="bottom"/>
            <w:gridSpan w:val="2"/>
          </w:tcPr>
          <w:p>
            <w:pPr>
              <w:ind w:left="140"/>
              <w:spacing w:after="0"/>
              <w:rPr>
                <w:sz w:val="20"/>
                <w:szCs w:val="20"/>
                <w:color w:val="auto"/>
              </w:rPr>
            </w:pPr>
            <w:r>
              <w:rPr>
                <w:rFonts w:ascii="Arial" w:cs="Arial" w:eastAsia="Arial" w:hAnsi="Arial"/>
                <w:sz w:val="18"/>
                <w:szCs w:val="18"/>
                <w:color w:val="auto"/>
              </w:rPr>
              <w:t>101.PRE*</w:t>
            </w:r>
          </w:p>
        </w:tc>
        <w:tc>
          <w:tcPr>
            <w:tcW w:w="994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5540" w:right="3340" w:hanging="5532"/>
        <w:spacing w:after="0" w:line="511" w:lineRule="auto"/>
        <w:tabs>
          <w:tab w:leader="none" w:pos="513"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confidential portions (indicated by brackets and asterisks) have been omitted from this exhibit.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7800" w:type="dxa"/>
            <w:vAlign w:val="bottom"/>
            <w:gridSpan w:val="3"/>
          </w:tcPr>
          <w:p>
            <w:pPr>
              <w:ind w:left="2200"/>
              <w:spacing w:after="0"/>
              <w:rPr>
                <w:sz w:val="20"/>
                <w:szCs w:val="20"/>
                <w:color w:val="auto"/>
              </w:rPr>
            </w:pPr>
            <w:r>
              <w:rPr>
                <w:rFonts w:ascii="Arial" w:cs="Arial" w:eastAsia="Arial" w:hAnsi="Arial"/>
                <w:sz w:val="18"/>
                <w:szCs w:val="18"/>
                <w:color w:val="auto"/>
              </w:rPr>
              <w:t>ZAFGEN, INC.</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May 7, 2020</w:t>
            </w:r>
          </w:p>
        </w:tc>
        <w:tc>
          <w:tcPr>
            <w:tcW w:w="2580" w:type="dxa"/>
            <w:vAlign w:val="bottom"/>
          </w:tcPr>
          <w:p>
            <w:pPr>
              <w:ind w:left="220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Jeffrey Hatfield</w:t>
            </w:r>
          </w:p>
        </w:tc>
      </w:tr>
      <w:tr>
        <w:trPr>
          <w:trHeight w:val="195"/>
        </w:trPr>
        <w:tc>
          <w:tcPr>
            <w:tcW w:w="34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Jeffrey Hatfield</w:t>
            </w:r>
          </w:p>
        </w:tc>
      </w:tr>
      <w:tr>
        <w:trPr>
          <w:trHeight w:val="216"/>
        </w:trPr>
        <w:tc>
          <w:tcPr>
            <w:tcW w:w="3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20" w:type="dxa"/>
            <w:vAlign w:val="bottom"/>
            <w:gridSpan w:val="2"/>
          </w:tcPr>
          <w:p>
            <w:pPr>
              <w:ind w:left="100"/>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May 7, 2020</w:t>
            </w:r>
          </w:p>
        </w:tc>
        <w:tc>
          <w:tcPr>
            <w:tcW w:w="2580" w:type="dxa"/>
            <w:vAlign w:val="bottom"/>
          </w:tcPr>
          <w:p>
            <w:pPr>
              <w:ind w:left="220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Patricia L. Allen</w:t>
            </w:r>
          </w:p>
        </w:tc>
      </w:tr>
      <w:tr>
        <w:trPr>
          <w:trHeight w:val="195"/>
        </w:trPr>
        <w:tc>
          <w:tcPr>
            <w:tcW w:w="34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Patricia L. Allen</w:t>
            </w:r>
          </w:p>
        </w:tc>
      </w:tr>
      <w:tr>
        <w:trPr>
          <w:trHeight w:val="216"/>
        </w:trPr>
        <w:tc>
          <w:tcPr>
            <w:tcW w:w="3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823"/>
        </w:trPr>
        <w:tc>
          <w:tcPr>
            <w:tcW w:w="3440" w:type="dxa"/>
            <w:vAlign w:val="bottom"/>
          </w:tcPr>
          <w:p>
            <w:pPr>
              <w:spacing w:after="0"/>
              <w:rPr>
                <w:sz w:val="24"/>
                <w:szCs w:val="24"/>
                <w:color w:val="auto"/>
              </w:rPr>
            </w:pPr>
          </w:p>
        </w:tc>
        <w:tc>
          <w:tcPr>
            <w:tcW w:w="2580" w:type="dxa"/>
            <w:vAlign w:val="bottom"/>
          </w:tcPr>
          <w:p>
            <w:pPr>
              <w:jc w:val="right"/>
              <w:ind w:right="2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4"/>
                <w:szCs w:val="24"/>
                <w:color w:val="auto"/>
              </w:rPr>
            </w:pPr>
          </w:p>
        </w:tc>
        <w:tc>
          <w:tcPr>
            <w:tcW w:w="51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Jeffrey Hatfield, certify that:</w:t>
      </w:r>
    </w:p>
    <w:p>
      <w:pPr>
        <w:spacing w:after="0" w:line="117"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2020 of Zafgen, Inc.;</w:t>
      </w:r>
    </w:p>
    <w:p>
      <w:pPr>
        <w:spacing w:after="0" w:line="117"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240" w:firstLine="597"/>
        <w:spacing w:after="0" w:line="263" w:lineRule="auto"/>
        <w:tabs>
          <w:tab w:leader="none" w:pos="833"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597"/>
        <w:spacing w:after="0" w:line="263" w:lineRule="auto"/>
        <w:tabs>
          <w:tab w:leader="none" w:pos="843"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720" w:firstLine="597"/>
        <w:spacing w:after="0" w:line="342" w:lineRule="auto"/>
        <w:tabs>
          <w:tab w:leader="none" w:pos="833"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220" w:firstLine="597"/>
        <w:spacing w:after="0" w:line="263" w:lineRule="auto"/>
        <w:tabs>
          <w:tab w:leader="none" w:pos="843"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140" w:firstLine="597"/>
        <w:spacing w:after="0" w:line="277" w:lineRule="auto"/>
        <w:tabs>
          <w:tab w:leader="none" w:pos="83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00" w:firstLine="597"/>
        <w:spacing w:after="0" w:line="277" w:lineRule="auto"/>
        <w:tabs>
          <w:tab w:leader="none" w:pos="84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Hatfield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5"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Patricia Allen, certify that:</w:t>
      </w:r>
    </w:p>
    <w:p>
      <w:pPr>
        <w:spacing w:after="0" w:line="117"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2020 of Zafgen, Inc.;</w:t>
      </w:r>
    </w:p>
    <w:p>
      <w:pPr>
        <w:spacing w:after="0" w:line="117"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80" w:firstLine="8"/>
        <w:spacing w:after="0" w:line="263" w:lineRule="auto"/>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240" w:firstLine="597"/>
        <w:spacing w:after="0" w:line="263" w:lineRule="auto"/>
        <w:tabs>
          <w:tab w:leader="none" w:pos="833"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597"/>
        <w:spacing w:after="0" w:line="263" w:lineRule="auto"/>
        <w:tabs>
          <w:tab w:leader="none" w:pos="843"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720" w:firstLine="597"/>
        <w:spacing w:after="0" w:line="342" w:lineRule="auto"/>
        <w:tabs>
          <w:tab w:leader="none" w:pos="833"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220" w:firstLine="597"/>
        <w:spacing w:after="0" w:line="263" w:lineRule="auto"/>
        <w:tabs>
          <w:tab w:leader="none" w:pos="843"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280" w:firstLine="8"/>
        <w:spacing w:after="0" w:line="308" w:lineRule="auto"/>
        <w:tabs>
          <w:tab w:leader="none" w:pos="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140" w:firstLine="597"/>
        <w:spacing w:after="0" w:line="277" w:lineRule="auto"/>
        <w:tabs>
          <w:tab w:leader="none" w:pos="83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00" w:firstLine="597"/>
        <w:spacing w:after="0" w:line="277" w:lineRule="auto"/>
        <w:tabs>
          <w:tab w:leader="none" w:pos="84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Patricia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5"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connection with the Quarterly Report on Form 10-Q of Zafgen, Inc. (the “Company”) for the period ended March 31, 2020, as filed with the Securities and Exchange Commission on the date hereof (the “Report”), each of the undersigned officers hereby certify, pursuant to Section 906 of the Sarbanes-Oxley Act of 2002, 18 U.S.C. Section 1350, that to his or her knowledge:</w:t>
      </w:r>
    </w:p>
    <w:p>
      <w:pPr>
        <w:spacing w:after="0" w:line="76" w:lineRule="exact"/>
        <w:rPr>
          <w:sz w:val="20"/>
          <w:szCs w:val="20"/>
          <w:color w:val="auto"/>
        </w:rPr>
      </w:pPr>
    </w:p>
    <w:p>
      <w:pPr>
        <w:ind w:left="500" w:right="40" w:hanging="492"/>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Dated: May 7, 2020</w:t>
            </w:r>
          </w:p>
        </w:tc>
        <w:tc>
          <w:tcPr>
            <w:tcW w:w="5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Jeffrey Hatfield</w:t>
            </w:r>
          </w:p>
        </w:tc>
      </w:tr>
      <w:tr>
        <w:trPr>
          <w:trHeight w:val="195"/>
        </w:trPr>
        <w:tc>
          <w:tcPr>
            <w:tcW w:w="6140" w:type="dxa"/>
            <w:vAlign w:val="bottom"/>
          </w:tcPr>
          <w:p>
            <w:pPr>
              <w:spacing w:after="0"/>
              <w:rPr>
                <w:sz w:val="16"/>
                <w:szCs w:val="16"/>
                <w:color w:val="auto"/>
              </w:rPr>
            </w:pPr>
          </w:p>
        </w:tc>
        <w:tc>
          <w:tcPr>
            <w:tcW w:w="5100" w:type="dxa"/>
            <w:vAlign w:val="bottom"/>
          </w:tcPr>
          <w:p>
            <w:pPr>
              <w:ind w:left="80"/>
              <w:spacing w:after="0" w:line="195" w:lineRule="exact"/>
              <w:rPr>
                <w:sz w:val="20"/>
                <w:szCs w:val="20"/>
                <w:color w:val="auto"/>
              </w:rPr>
            </w:pPr>
            <w:r>
              <w:rPr>
                <w:rFonts w:ascii="Arial" w:cs="Arial" w:eastAsia="Arial" w:hAnsi="Arial"/>
                <w:sz w:val="18"/>
                <w:szCs w:val="18"/>
                <w:color w:val="auto"/>
              </w:rPr>
              <w:t>Jeffrey Hatfield</w:t>
            </w:r>
          </w:p>
        </w:tc>
      </w:tr>
      <w:tr>
        <w:trPr>
          <w:trHeight w:val="216"/>
        </w:trPr>
        <w:tc>
          <w:tcPr>
            <w:tcW w:w="6140" w:type="dxa"/>
            <w:vAlign w:val="bottom"/>
          </w:tcPr>
          <w:p>
            <w:pPr>
              <w:spacing w:after="0"/>
              <w:rPr>
                <w:sz w:val="18"/>
                <w:szCs w:val="18"/>
                <w:color w:val="auto"/>
              </w:rPr>
            </w:pPr>
          </w:p>
        </w:tc>
        <w:tc>
          <w:tcPr>
            <w:tcW w:w="5100" w:type="dxa"/>
            <w:vAlign w:val="bottom"/>
          </w:tcPr>
          <w:p>
            <w:pPr>
              <w:ind w:left="80"/>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6140" w:type="dxa"/>
            <w:vAlign w:val="bottom"/>
          </w:tcPr>
          <w:p>
            <w:pPr>
              <w:spacing w:after="0"/>
              <w:rPr>
                <w:sz w:val="20"/>
                <w:szCs w:val="20"/>
                <w:color w:val="auto"/>
              </w:rPr>
            </w:pPr>
          </w:p>
        </w:tc>
        <w:tc>
          <w:tcPr>
            <w:tcW w:w="510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6140" w:type="dxa"/>
            <w:vAlign w:val="bottom"/>
          </w:tcPr>
          <w:p>
            <w:pPr>
              <w:spacing w:after="0"/>
              <w:rPr>
                <w:sz w:val="20"/>
                <w:szCs w:val="20"/>
                <w:color w:val="auto"/>
              </w:rPr>
            </w:pPr>
            <w:r>
              <w:rPr>
                <w:rFonts w:ascii="Arial" w:cs="Arial" w:eastAsia="Arial" w:hAnsi="Arial"/>
                <w:sz w:val="18"/>
                <w:szCs w:val="18"/>
                <w:color w:val="auto"/>
              </w:rPr>
              <w:t>Dated: May 7, 2020</w:t>
            </w:r>
          </w:p>
        </w:tc>
        <w:tc>
          <w:tcPr>
            <w:tcW w:w="5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Patricia Allen</w:t>
            </w:r>
          </w:p>
        </w:tc>
      </w:tr>
      <w:tr>
        <w:trPr>
          <w:trHeight w:val="195"/>
        </w:trPr>
        <w:tc>
          <w:tcPr>
            <w:tcW w:w="6140" w:type="dxa"/>
            <w:vAlign w:val="bottom"/>
          </w:tcPr>
          <w:p>
            <w:pPr>
              <w:spacing w:after="0"/>
              <w:rPr>
                <w:sz w:val="16"/>
                <w:szCs w:val="16"/>
                <w:color w:val="auto"/>
              </w:rPr>
            </w:pPr>
          </w:p>
        </w:tc>
        <w:tc>
          <w:tcPr>
            <w:tcW w:w="5100" w:type="dxa"/>
            <w:vAlign w:val="bottom"/>
          </w:tcPr>
          <w:p>
            <w:pPr>
              <w:ind w:left="80"/>
              <w:spacing w:after="0" w:line="195" w:lineRule="exact"/>
              <w:rPr>
                <w:sz w:val="20"/>
                <w:szCs w:val="20"/>
                <w:color w:val="auto"/>
              </w:rPr>
            </w:pPr>
            <w:r>
              <w:rPr>
                <w:rFonts w:ascii="Arial" w:cs="Arial" w:eastAsia="Arial" w:hAnsi="Arial"/>
                <w:sz w:val="18"/>
                <w:szCs w:val="18"/>
                <w:color w:val="auto"/>
              </w:rPr>
              <w:t>Patricia Allen</w:t>
            </w:r>
          </w:p>
        </w:tc>
      </w:tr>
      <w:tr>
        <w:trPr>
          <w:trHeight w:val="216"/>
        </w:trPr>
        <w:tc>
          <w:tcPr>
            <w:tcW w:w="6140" w:type="dxa"/>
            <w:vAlign w:val="bottom"/>
          </w:tcPr>
          <w:p>
            <w:pPr>
              <w:spacing w:after="0"/>
              <w:rPr>
                <w:sz w:val="18"/>
                <w:szCs w:val="18"/>
                <w:color w:val="auto"/>
              </w:rPr>
            </w:pPr>
          </w:p>
        </w:tc>
        <w:tc>
          <w:tcPr>
            <w:tcW w:w="510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6140" w:type="dxa"/>
            <w:vAlign w:val="bottom"/>
          </w:tcPr>
          <w:p>
            <w:pPr>
              <w:spacing w:after="0"/>
              <w:rPr>
                <w:sz w:val="20"/>
                <w:szCs w:val="20"/>
                <w:color w:val="auto"/>
              </w:rPr>
            </w:pPr>
          </w:p>
        </w:tc>
        <w:tc>
          <w:tcPr>
            <w:tcW w:w="5100" w:type="dxa"/>
            <w:vAlign w:val="bottom"/>
          </w:tcPr>
          <w:p>
            <w:pPr>
              <w:ind w:left="8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1."/>
      <w:numFmt w:val="decimal"/>
      <w:start w:val="3"/>
    </w:lvl>
  </w:abstractNum>
  <w:abstractNum w:abstractNumId="5">
    <w:nsid w:val="333AB105"/>
    <w:multiLevelType w:val="hybridMultilevel"/>
    <w:lvl w:ilvl="0">
      <w:lvlJc w:val="left"/>
      <w:lvlText w:val="%1."/>
      <w:numFmt w:val="decimal"/>
      <w:start w:val="7"/>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0" Type="http://schemas.openxmlformats.org/officeDocument/2006/relationships/hyperlink" Target="http://www.sec.gov/Archives/edgar/data/1374690/000119312520065288/d846972dex21.htm" TargetMode="External"/><Relationship Id="rId81" Type="http://schemas.openxmlformats.org/officeDocument/2006/relationships/hyperlink" Target="http://www.sec.gov/Archives/edgar/data/1374690/000119312514247362/d747935dex31.htm" TargetMode="External"/><Relationship Id="rId82" Type="http://schemas.openxmlformats.org/officeDocument/2006/relationships/hyperlink" Target="http://www.sec.gov/Archives/edgar/data/1374690/000119312514247362/d74793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2020-05-07T16:00:44Z</dcterms:created>
  <dcterms:modified xsi:type="dcterms:W3CDTF">2020-05-07T16:00:44Z</dcterms:modified>
</cp:coreProperties>
</file>