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March 14, 2019</w:t>
      </w:r>
    </w:p>
    <w:p>
      <w:pPr>
        <w:spacing w:after="0" w:line="50" w:lineRule="exact"/>
        <w:rPr>
          <w:sz w:val="24"/>
          <w:szCs w:val="24"/>
          <w:color w:val="auto"/>
        </w:rPr>
      </w:pPr>
    </w:p>
    <w:p>
      <w:pPr>
        <w:ind w:left="866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8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6997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ZAFGEN,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6997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229" w:right="419" w:bottom="1440" w:gutter="0" w:footer="0" w:header="0"/>
        </w:sectPr>
      </w:pPr>
    </w:p>
    <w:p>
      <w:pPr>
        <w:spacing w:after="0" w:line="340"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20-3857670</w:t>
      </w:r>
    </w:p>
    <w:p>
      <w:pPr>
        <w:spacing w:after="0" w:line="31" w:lineRule="exact"/>
        <w:rPr>
          <w:sz w:val="24"/>
          <w:szCs w:val="24"/>
          <w:color w:val="auto"/>
        </w:rPr>
      </w:pPr>
    </w:p>
    <w:p>
      <w:pPr>
        <w:sectPr>
          <w:pgSz w:w="11900" w:h="16838" w:orient="portrait"/>
          <w:cols w:equalWidth="0" w:num="2">
            <w:col w:w="7200" w:space="720"/>
            <w:col w:w="3120"/>
          </w:cols>
          <w:pgMar w:left="440" w:top="229" w:right="419" w:bottom="1440" w:gutter="0" w:footer="0" w:header="0"/>
          <w:type w:val="continuous"/>
        </w:sectPr>
      </w:pPr>
    </w:p>
    <w:p>
      <w:pPr>
        <w:spacing w:after="0" w:line="12" w:lineRule="exact"/>
        <w:rPr>
          <w:sz w:val="24"/>
          <w:szCs w:val="24"/>
          <w:color w:val="auto"/>
        </w:rPr>
      </w:pPr>
    </w:p>
    <w:p>
      <w:pPr>
        <w:ind w:left="1860"/>
        <w:spacing w:after="0"/>
        <w:rPr>
          <w:sz w:val="20"/>
          <w:szCs w:val="20"/>
          <w:color w:val="auto"/>
        </w:rPr>
      </w:pPr>
      <w:r>
        <w:rPr>
          <w:rFonts w:ascii="Arial" w:cs="Arial" w:eastAsia="Arial" w:hAnsi="Arial"/>
          <w:sz w:val="13"/>
          <w:szCs w:val="13"/>
          <w:b w:val="1"/>
          <w:bCs w:val="1"/>
          <w:color w:val="auto"/>
        </w:rPr>
        <w:t>(State or Other Jurisdiction of</w:t>
      </w:r>
    </w:p>
    <w:p>
      <w:pPr>
        <w:ind w:left="18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260"/>
          </w:cols>
          <w:pgMar w:left="440" w:top="229" w:right="419" w:bottom="1440" w:gutter="0" w:footer="0" w:header="0"/>
          <w:type w:val="continuous"/>
        </w:sectPr>
      </w:pP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175 Portland Street, 4th Floor</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Boston, Massachusetts 02114</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(617) 622-4003</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(Address of Principal Executive Offices)</w:t>
      </w:r>
    </w:p>
    <w:p>
      <w:pPr>
        <w:sectPr>
          <w:pgSz w:w="11900" w:h="16838" w:orient="portrait"/>
          <w:cols w:equalWidth="0" w:num="1">
            <w:col w:w="11040"/>
          </w:cols>
          <w:pgMar w:left="440" w:top="229" w:right="419" w:bottom="1440" w:gutter="0" w:footer="0" w:header="0"/>
          <w:type w:val="continuous"/>
        </w:sectPr>
      </w:pPr>
    </w:p>
    <w:p>
      <w:pPr>
        <w:spacing w:after="0" w:line="21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Zafgen, Inc. 2014 Stock Option and Incentive Plan</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(Full Title of the Plans)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Jeffrey Hatfield</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Zafgen, Inc.</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175 Portland Street, 4th Floor</w:t>
      </w:r>
    </w:p>
    <w:p>
      <w:pPr>
        <w:spacing w:after="0" w:line="9"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Boston, Massachusetts 02114</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6997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Copy to:</w:t>
      </w:r>
    </w:p>
    <w:p>
      <w:pPr>
        <w:spacing w:after="0" w:line="11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Mitchell S. Bloom, Esq.</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Danielle Lauzon, Esq.</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Goodwin Procter LLP</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100 Northern Avenue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Boston, Massachusetts 02210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(617) 570-1000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80"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00" w:type="dxa"/>
            <w:vAlign w:val="bottom"/>
          </w:tcPr>
          <w:p>
            <w:pPr>
              <w:ind w:left="86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gridSpan w:val="2"/>
          </w:tcPr>
          <w:p>
            <w:pPr>
              <w:ind w:left="1780"/>
              <w:spacing w:after="0"/>
              <w:rPr>
                <w:sz w:val="20"/>
                <w:szCs w:val="20"/>
                <w:color w:val="auto"/>
              </w:rPr>
            </w:pPr>
            <w:r>
              <w:rPr>
                <w:rFonts w:ascii="Arial" w:cs="Arial" w:eastAsia="Arial" w:hAnsi="Arial"/>
                <w:sz w:val="18"/>
                <w:szCs w:val="18"/>
                <w:color w:val="auto"/>
              </w:rPr>
              <w:t>Accelerated filer</w:t>
            </w:r>
          </w:p>
        </w:tc>
        <w:tc>
          <w:tcPr>
            <w:tcW w:w="24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Non-accelerated filer</w:t>
            </w:r>
          </w:p>
        </w:tc>
        <w:tc>
          <w:tcPr>
            <w:tcW w:w="2800" w:type="dxa"/>
            <w:vAlign w:val="bottom"/>
          </w:tcPr>
          <w:p>
            <w:pPr>
              <w:ind w:left="86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gridSpan w:val="2"/>
          </w:tcPr>
          <w:p>
            <w:pPr>
              <w:ind w:left="1780"/>
              <w:spacing w:after="0"/>
              <w:rPr>
                <w:sz w:val="20"/>
                <w:szCs w:val="20"/>
                <w:color w:val="auto"/>
              </w:rPr>
            </w:pPr>
            <w:r>
              <w:rPr>
                <w:rFonts w:ascii="Arial" w:cs="Arial" w:eastAsia="Arial" w:hAnsi="Arial"/>
                <w:sz w:val="18"/>
                <w:szCs w:val="18"/>
                <w:color w:val="auto"/>
              </w:rPr>
              <w:t>Smaller reporting company</w:t>
            </w:r>
          </w:p>
        </w:tc>
        <w:tc>
          <w:tcPr>
            <w:tcW w:w="24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8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800" w:type="dxa"/>
            <w:vAlign w:val="bottom"/>
          </w:tcPr>
          <w:p>
            <w:pPr>
              <w:ind w:left="860"/>
              <w:spacing w:after="0" w:line="181" w:lineRule="exact"/>
              <w:rPr>
                <w:sz w:val="20"/>
                <w:szCs w:val="20"/>
                <w:color w:val="auto"/>
              </w:rPr>
            </w:pPr>
            <w:r>
              <w:rPr>
                <w:rFonts w:ascii="MS PGothic" w:cs="MS PGothic" w:eastAsia="MS PGothic" w:hAnsi="MS PGothic"/>
                <w:sz w:val="18"/>
                <w:szCs w:val="18"/>
                <w:color w:val="auto"/>
              </w:rPr>
              <w:t>☒</w:t>
            </w:r>
          </w:p>
        </w:tc>
        <w:tc>
          <w:tcPr>
            <w:tcW w:w="22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65"/>
        </w:trPr>
        <w:tc>
          <w:tcPr>
            <w:tcW w:w="10800" w:type="dxa"/>
            <w:vAlign w:val="bottom"/>
            <w:gridSpan w:val="4"/>
          </w:tcPr>
          <w:p>
            <w:pPr>
              <w:spacing w:after="0"/>
              <w:rPr>
                <w:sz w:val="20"/>
                <w:szCs w:val="20"/>
                <w:color w:val="auto"/>
              </w:rPr>
            </w:pPr>
            <w:r>
              <w:rPr>
                <w:rFonts w:ascii="Arial" w:cs="Arial" w:eastAsia="Arial" w:hAnsi="Arial"/>
                <w:sz w:val="18"/>
                <w:szCs w:val="18"/>
                <w:color w:val="auto"/>
                <w:w w:val="91"/>
              </w:rPr>
              <w:t>If an emerging growth company, indicate by check mark if the registrant has elected not to use the extended transition period for complying with any</w:t>
            </w:r>
          </w:p>
        </w:tc>
        <w:tc>
          <w:tcPr>
            <w:tcW w:w="240" w:type="dxa"/>
            <w:vAlign w:val="bottom"/>
          </w:tcPr>
          <w:p>
            <w:pPr>
              <w:spacing w:after="0"/>
              <w:rPr>
                <w:sz w:val="24"/>
                <w:szCs w:val="24"/>
                <w:color w:val="auto"/>
              </w:rPr>
            </w:pPr>
          </w:p>
        </w:tc>
      </w:tr>
      <w:tr>
        <w:trPr>
          <w:trHeight w:val="283"/>
        </w:trPr>
        <w:tc>
          <w:tcPr>
            <w:tcW w:w="7940" w:type="dxa"/>
            <w:vAlign w:val="bottom"/>
            <w:gridSpan w:val="3"/>
          </w:tcPr>
          <w:p>
            <w:pPr>
              <w:spacing w:after="0"/>
              <w:rPr>
                <w:sz w:val="20"/>
                <w:szCs w:val="20"/>
                <w:color w:val="auto"/>
              </w:rPr>
            </w:pPr>
            <w:r>
              <w:rPr>
                <w:rFonts w:ascii="Arial" w:cs="Arial" w:eastAsia="Arial" w:hAnsi="Arial"/>
                <w:sz w:val="18"/>
                <w:szCs w:val="18"/>
                <w:color w:val="auto"/>
                <w:w w:val="93"/>
              </w:rPr>
              <w:t>new or revised financial accounting standards provided pursuant to Section 7(a)(2)(B) of the Securities Act.</w:t>
            </w:r>
          </w:p>
        </w:tc>
        <w:tc>
          <w:tcPr>
            <w:tcW w:w="28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40" w:type="dxa"/>
            <w:vAlign w:val="bottom"/>
          </w:tcPr>
          <w:p>
            <w:pPr>
              <w:spacing w:after="0"/>
              <w:rPr>
                <w:sz w:val="24"/>
                <w:szCs w:val="24"/>
                <w:color w:val="auto"/>
              </w:rPr>
            </w:pPr>
          </w:p>
        </w:tc>
      </w:tr>
      <w:tr>
        <w:trPr>
          <w:trHeight w:val="156"/>
        </w:trPr>
        <w:tc>
          <w:tcPr>
            <w:tcW w:w="288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r>
    </w:tbl>
    <w:p>
      <w:pPr>
        <w:sectPr>
          <w:pgSz w:w="11900" w:h="16838" w:orient="portrait"/>
          <w:cols w:equalWidth="0" w:num="1">
            <w:col w:w="11040"/>
          </w:cols>
          <w:pgMar w:left="440" w:top="229" w:right="41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CALCULATION OF REGISTRATION FEE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640" w:type="dxa"/>
            <w:vAlign w:val="bottom"/>
            <w:tcBorders>
              <w:top w:val="single" w:sz="8" w:color="auto"/>
              <w:right w:val="single" w:sz="8" w:color="auto"/>
            </w:tcBorders>
          </w:tcPr>
          <w:p>
            <w:pPr>
              <w:spacing w:after="0"/>
              <w:rPr>
                <w:sz w:val="12"/>
                <w:szCs w:val="12"/>
                <w:color w:val="auto"/>
              </w:rPr>
            </w:pPr>
          </w:p>
        </w:tc>
        <w:tc>
          <w:tcPr>
            <w:tcW w:w="17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89"/>
              </w:rPr>
              <w:t>Proposed</w:t>
            </w:r>
          </w:p>
        </w:tc>
        <w:tc>
          <w:tcPr>
            <w:tcW w:w="154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89"/>
              </w:rPr>
              <w:t>Proposed</w:t>
            </w:r>
          </w:p>
        </w:tc>
        <w:tc>
          <w:tcPr>
            <w:tcW w:w="15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7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Borders>
              <w:right w:val="single" w:sz="8" w:color="auto"/>
            </w:tcBorders>
            <w:vMerge w:val="continue"/>
          </w:tcPr>
          <w:p>
            <w:pPr>
              <w:spacing w:after="0"/>
              <w:rPr>
                <w:sz w:val="12"/>
                <w:szCs w:val="12"/>
                <w:color w:val="auto"/>
              </w:rPr>
            </w:pPr>
          </w:p>
        </w:tc>
        <w:tc>
          <w:tcPr>
            <w:tcW w:w="178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to be Registered</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Registered (1)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$0.001 par value per share</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1,491,488 shares (2)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$2.89 (3)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$4,310,400.32</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$522.42</w:t>
            </w:r>
          </w:p>
        </w:tc>
        <w:tc>
          <w:tcPr>
            <w:tcW w:w="0" w:type="dxa"/>
            <w:vAlign w:val="bottom"/>
          </w:tcPr>
          <w:p>
            <w:pPr>
              <w:spacing w:after="0"/>
              <w:rPr>
                <w:sz w:val="1"/>
                <w:szCs w:val="1"/>
                <w:color w:val="auto"/>
              </w:rPr>
            </w:pPr>
          </w:p>
        </w:tc>
      </w:tr>
    </w:tbl>
    <w:p>
      <w:pPr>
        <w:ind w:left="440" w:right="160" w:hanging="436"/>
        <w:spacing w:after="0" w:line="250"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as amended (the “Securities Act”), this registration statement on Form S-8 (this “Registration Statement”) shall also cover any additional shares of common stock, par value $0.001 per share (the “Common Stock”), of Zafgen, Inc. (the “Registrant”), which become issuable under the Registrant’s 2014 Stock Option and Incentive Plan (the “Plan”) by reason of any stock dividend, stock split, recapitalization or any other similar transaction effected without the receipt of consideration which results in an increase in the number of the Registrant’s outstanding shares of Common Stock.</w:t>
      </w:r>
    </w:p>
    <w:p>
      <w:pPr>
        <w:spacing w:after="0" w:line="2" w:lineRule="exact"/>
        <w:rPr>
          <w:rFonts w:ascii="Arial" w:cs="Arial" w:eastAsia="Arial" w:hAnsi="Arial"/>
          <w:sz w:val="18"/>
          <w:szCs w:val="18"/>
          <w:color w:val="auto"/>
        </w:rPr>
      </w:pPr>
    </w:p>
    <w:p>
      <w:pPr>
        <w:ind w:left="440" w:right="100" w:hanging="436"/>
        <w:spacing w:after="0" w:line="265" w:lineRule="auto"/>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Represents an automatic increase to the number of shares available for issuance under the Plan, effective January 1, 2019. Shares available for issuance under the Plan were previously registered on registration statements on Form S-8 filed with the Securities and Exchange Commission on June 19, 2014 (Registration No. 333-196900), June 12, 2015 (Registration No. 333-204931), March 15, 2016 (Registration No. 333-210216), March 10, 2017 (Registration No. 333-216602), and March 9, 2018 (Registration No. 333-223561).</w:t>
      </w:r>
    </w:p>
    <w:p>
      <w:pPr>
        <w:ind w:left="440" w:right="220" w:hanging="436"/>
        <w:spacing w:after="0" w:line="323" w:lineRule="auto"/>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457(h) of the Securities Act, and based on the average of the high and low sale prices of the Registrant’s Common Stock, as quoted on the Nasdaq Global Select Market, on March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148590</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121" w:right="4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Registration Statement on Form S-8 registers additional shares of Common Stock under the Registrant’s 2014 Stock Option and Incentive Plan (the “Plan”). The number of shares of Common Stock reserved and available for issuance under the Plan is subject to an automatic annual increase on each January 1, beginning in 2015, by an amount equal to four percent of the number of shares of Common Stock issued and outstanding on the immediately preceding December 31 or such lesser number of shares of Common Stock as determined by the Compensation Committee of the Registrant’s Board of Directors. Accordingly, on January 1, 2019, the number of shares of Common Stock reserved and available for issuance under the plan increased by 1,491,488. This Registration Statement registers these additional 1,491,488 shares of Common Stock. The additional shares are of the same class as other securities relating to the Plan for which the Registrant’s registration statement filed on Form S-8 (Registration Nos. 333-196900, 333-204931,</w:t>
      </w:r>
    </w:p>
    <w:p>
      <w:pPr>
        <w:spacing w:after="0" w:line="3"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333-210216, 333-216602, and 333-223561) on June 19, 2014, June 12, 2015, March 15, 2016, March 10, 2017 and March 9, 2018 are effective. The information contained in the Registrant’s registration statements on Form S-8 (Registration Nos. 333-196900, 333-204931, 333-210216, 333-216602, and 333-223561) is hereby incorporated by reference pursuant to General Instruction E.</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See the Exhibit Index on the page immediately preceding the exhibits for a list of exhibits filed as part of this registration statement, which Exhibit Index is incorporated herein by reference.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20" w:type="dxa"/>
            <w:vAlign w:val="bottom"/>
            <w:gridSpan w:val="11"/>
          </w:tcPr>
          <w:p>
            <w:pPr>
              <w:ind w:left="4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gridSpan w:val="8"/>
            <w:vMerge w:val="restart"/>
          </w:tcPr>
          <w:p>
            <w:pPr>
              <w:ind w:left="2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54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60" w:type="dxa"/>
            <w:vAlign w:val="bottom"/>
            <w:tcBorders>
              <w:bottom w:val="single" w:sz="8" w:color="auto"/>
            </w:tcBorders>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60" w:type="dxa"/>
            <w:vAlign w:val="bottom"/>
            <w:gridSpan w:val="2"/>
          </w:tcPr>
          <w:p>
            <w:pPr>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2"/>
                <w:szCs w:val="22"/>
                <w:color w:val="auto"/>
              </w:rPr>
            </w:pPr>
          </w:p>
        </w:tc>
        <w:tc>
          <w:tcPr>
            <w:tcW w:w="9900" w:type="dxa"/>
            <w:vAlign w:val="bottom"/>
            <w:tcBorders>
              <w:bottom w:val="single" w:sz="8" w:color="0000EE"/>
            </w:tcBorders>
            <w:gridSpan w:val="14"/>
          </w:tcPr>
          <w:p>
            <w:pPr>
              <w:spacing w:after="0"/>
              <w:rPr>
                <w:rFonts w:ascii="Arial" w:cs="Arial" w:eastAsia="Arial" w:hAnsi="Arial"/>
                <w:sz w:val="18"/>
                <w:szCs w:val="18"/>
                <w:color w:val="0000EE"/>
                <w:w w:val="91"/>
              </w:rPr>
            </w:pPr>
            <w:hyperlink r:id="rId17">
              <w:r>
                <w:rPr>
                  <w:rFonts w:ascii="Arial" w:cs="Arial" w:eastAsia="Arial" w:hAnsi="Arial"/>
                  <w:sz w:val="18"/>
                  <w:szCs w:val="18"/>
                  <w:color w:val="0000EE"/>
                  <w:w w:val="91"/>
                </w:rPr>
                <w:t>Form of Common Stock certificate of the registrant (Incorporated by reference to Exhibit 4.1 to the registrant’s Registration Statement on</w:t>
              </w:r>
            </w:hyperlink>
          </w:p>
        </w:tc>
        <w:tc>
          <w:tcPr>
            <w:tcW w:w="14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40" w:type="dxa"/>
            <w:vAlign w:val="bottom"/>
            <w:gridSpan w:val="16"/>
          </w:tcPr>
          <w:p>
            <w:pPr>
              <w:spacing w:after="0" w:line="196" w:lineRule="exact"/>
              <w:rPr>
                <w:rFonts w:ascii="Arial" w:cs="Arial" w:eastAsia="Arial" w:hAnsi="Arial"/>
                <w:sz w:val="18"/>
                <w:szCs w:val="18"/>
                <w:color w:val="0000EE"/>
              </w:rPr>
            </w:pPr>
            <w:hyperlink r:id="rId17">
              <w:r>
                <w:rPr>
                  <w:rFonts w:ascii="Arial" w:cs="Arial" w:eastAsia="Arial" w:hAnsi="Arial"/>
                  <w:sz w:val="18"/>
                  <w:szCs w:val="18"/>
                  <w:color w:val="0000EE"/>
                </w:rPr>
                <w:t>Form S-1, as amended (File No. 333-195391)).</w:t>
              </w:r>
            </w:hyperlink>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4"/>
                <w:szCs w:val="24"/>
                <w:color w:val="auto"/>
              </w:rPr>
            </w:pPr>
          </w:p>
        </w:tc>
        <w:tc>
          <w:tcPr>
            <w:tcW w:w="10040" w:type="dxa"/>
            <w:vAlign w:val="bottom"/>
            <w:gridSpan w:val="16"/>
          </w:tcPr>
          <w:p>
            <w:pPr>
              <w:spacing w:after="0"/>
              <w:rPr>
                <w:rFonts w:ascii="Arial" w:cs="Arial" w:eastAsia="Arial" w:hAnsi="Arial"/>
                <w:sz w:val="18"/>
                <w:szCs w:val="18"/>
                <w:color w:val="0000EE"/>
                <w:w w:val="96"/>
              </w:rPr>
            </w:pPr>
            <w:hyperlink r:id="rId18">
              <w:r>
                <w:rPr>
                  <w:rFonts w:ascii="Arial" w:cs="Arial" w:eastAsia="Arial" w:hAnsi="Arial"/>
                  <w:sz w:val="18"/>
                  <w:szCs w:val="18"/>
                  <w:color w:val="0000EE"/>
                  <w:w w:val="96"/>
                </w:rPr>
                <w:t>Form of Amended and Restated Certificate of Incorporation (Incorporated by reference to Exhibit 3.2 to the registrant’s Registration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3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r:id="rId18">
              <w:r>
                <w:rPr>
                  <w:rFonts w:ascii="Arial" w:cs="Arial" w:eastAsia="Arial" w:hAnsi="Arial"/>
                  <w:sz w:val="18"/>
                  <w:szCs w:val="18"/>
                  <w:color w:val="0000EE"/>
                  <w:w w:val="89"/>
                </w:rPr>
                <w:t>Statement on Form S-1, as amended (File No. 333-195391)).</w:t>
              </w:r>
            </w:hyperlink>
          </w:p>
        </w:tc>
        <w:tc>
          <w:tcPr>
            <w:tcW w:w="5140" w:type="dxa"/>
            <w:vAlign w:val="bottom"/>
            <w:tcBorders>
              <w:top w:val="single" w:sz="8" w:color="0000EE"/>
            </w:tcBorders>
            <w:gridSpan w:val="3"/>
          </w:tcPr>
          <w:p>
            <w:pPr>
              <w:spacing w:after="0"/>
              <w:rPr>
                <w:sz w:val="17"/>
                <w:szCs w:val="17"/>
                <w:color w:val="auto"/>
              </w:rPr>
            </w:pPr>
          </w:p>
        </w:tc>
        <w:tc>
          <w:tcPr>
            <w:tcW w:w="5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24"/>
                <w:szCs w:val="24"/>
                <w:color w:val="auto"/>
              </w:rPr>
            </w:pPr>
          </w:p>
        </w:tc>
        <w:tc>
          <w:tcPr>
            <w:tcW w:w="9920" w:type="dxa"/>
            <w:vAlign w:val="bottom"/>
            <w:tcBorders>
              <w:bottom w:val="single" w:sz="8" w:color="0000EE"/>
            </w:tcBorders>
            <w:gridSpan w:val="15"/>
          </w:tcPr>
          <w:p>
            <w:pPr>
              <w:spacing w:after="0"/>
              <w:rPr>
                <w:rFonts w:ascii="Arial" w:cs="Arial" w:eastAsia="Arial" w:hAnsi="Arial"/>
                <w:sz w:val="18"/>
                <w:szCs w:val="18"/>
                <w:color w:val="0000EE"/>
                <w:w w:val="90"/>
              </w:rPr>
            </w:pPr>
            <w:hyperlink r:id="rId19">
              <w:r>
                <w:rPr>
                  <w:rFonts w:ascii="Arial" w:cs="Arial" w:eastAsia="Arial" w:hAnsi="Arial"/>
                  <w:sz w:val="18"/>
                  <w:szCs w:val="18"/>
                  <w:color w:val="0000EE"/>
                  <w:w w:val="90"/>
                </w:rPr>
                <w:t>Form of Amended and Restated By-laws (Incorporated by reference to Exhibit 3.4 to the registrant’s Registration Statement on Form S-1,</w:t>
              </w:r>
            </w:hyperlink>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40" w:type="dxa"/>
            <w:vAlign w:val="bottom"/>
            <w:gridSpan w:val="16"/>
          </w:tcPr>
          <w:p>
            <w:pPr>
              <w:spacing w:after="0" w:line="196" w:lineRule="exact"/>
              <w:rPr>
                <w:rFonts w:ascii="Arial" w:cs="Arial" w:eastAsia="Arial" w:hAnsi="Arial"/>
                <w:sz w:val="18"/>
                <w:szCs w:val="18"/>
                <w:color w:val="0000EE"/>
              </w:rPr>
            </w:pPr>
            <w:hyperlink r:id="rId19">
              <w:r>
                <w:rPr>
                  <w:rFonts w:ascii="Arial" w:cs="Arial" w:eastAsia="Arial" w:hAnsi="Arial"/>
                  <w:sz w:val="18"/>
                  <w:szCs w:val="18"/>
                  <w:color w:val="0000EE"/>
                </w:rPr>
                <w:t>as amended (File No. 333-195391)).</w:t>
              </w:r>
            </w:hyperlink>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4.4</w:t>
            </w:r>
          </w:p>
        </w:tc>
        <w:tc>
          <w:tcPr>
            <w:tcW w:w="540" w:type="dxa"/>
            <w:vAlign w:val="bottom"/>
          </w:tcPr>
          <w:p>
            <w:pPr>
              <w:spacing w:after="0"/>
              <w:rPr>
                <w:sz w:val="24"/>
                <w:szCs w:val="24"/>
                <w:color w:val="auto"/>
              </w:rPr>
            </w:pPr>
          </w:p>
        </w:tc>
        <w:tc>
          <w:tcPr>
            <w:tcW w:w="9360" w:type="dxa"/>
            <w:vAlign w:val="bottom"/>
            <w:tcBorders>
              <w:bottom w:val="single" w:sz="8" w:color="0000EE"/>
            </w:tcBorders>
            <w:gridSpan w:val="10"/>
          </w:tcPr>
          <w:p>
            <w:pPr>
              <w:spacing w:after="0"/>
              <w:rPr>
                <w:rFonts w:ascii="Arial" w:cs="Arial" w:eastAsia="Arial" w:hAnsi="Arial"/>
                <w:sz w:val="18"/>
                <w:szCs w:val="18"/>
                <w:color w:val="0000EE"/>
                <w:w w:val="90"/>
              </w:rPr>
            </w:pPr>
            <w:hyperlink r:id="rId20">
              <w:r>
                <w:rPr>
                  <w:rFonts w:ascii="Arial" w:cs="Arial" w:eastAsia="Arial" w:hAnsi="Arial"/>
                  <w:sz w:val="18"/>
                  <w:szCs w:val="18"/>
                  <w:color w:val="0000EE"/>
                  <w:w w:val="90"/>
                </w:rPr>
                <w:t>Third Amended and Restated Investors’ Rights Agreement by and among the registrant and certain of its stockholders, dated as of</w:t>
              </w:r>
            </w:hyperlink>
          </w:p>
        </w:tc>
        <w:tc>
          <w:tcPr>
            <w:tcW w:w="6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20">
              <w:r>
                <w:rPr>
                  <w:rFonts w:ascii="Arial" w:cs="Arial" w:eastAsia="Arial" w:hAnsi="Arial"/>
                  <w:sz w:val="18"/>
                  <w:szCs w:val="18"/>
                  <w:color w:val="0000EE"/>
                  <w:w w:val="90"/>
                </w:rPr>
                <w:t>November 25, 2013 (Incorporated by reference to Exhibit 4.2 to the registrant’s Registration Statement on Form S-1, as amended (File</w:t>
              </w:r>
            </w:hyperlink>
          </w:p>
        </w:tc>
        <w:tc>
          <w:tcPr>
            <w:tcW w:w="3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20">
              <w:r>
                <w:rPr>
                  <w:rFonts w:ascii="Arial" w:cs="Arial" w:eastAsia="Arial" w:hAnsi="Arial"/>
                  <w:sz w:val="18"/>
                  <w:szCs w:val="18"/>
                  <w:color w:val="0000EE"/>
                  <w:w w:val="90"/>
                </w:rPr>
                <w:t>No. 333-195391)).</w:t>
              </w:r>
            </w:hyperlink>
          </w:p>
        </w:tc>
        <w:tc>
          <w:tcPr>
            <w:tcW w:w="87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1004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Opinion of Goodwin Procter LLP.</w:t>
              </w:r>
            </w:hyperlink>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4"/>
                <w:szCs w:val="24"/>
                <w:color w:val="auto"/>
              </w:rPr>
            </w:pPr>
          </w:p>
        </w:tc>
        <w:tc>
          <w:tcPr>
            <w:tcW w:w="1004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Consent of PricewaterhouseCoopers LLP, independent registered public accounting firm.</w:t>
              </w:r>
            </w:hyperlink>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23.2*</w:t>
            </w:r>
          </w:p>
        </w:tc>
        <w:tc>
          <w:tcPr>
            <w:tcW w:w="540" w:type="dxa"/>
            <w:vAlign w:val="bottom"/>
          </w:tcPr>
          <w:p>
            <w:pPr>
              <w:spacing w:after="0"/>
              <w:rPr>
                <w:sz w:val="24"/>
                <w:szCs w:val="24"/>
                <w:color w:val="auto"/>
              </w:rPr>
            </w:pPr>
          </w:p>
        </w:tc>
        <w:tc>
          <w:tcPr>
            <w:tcW w:w="42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Consent of Goodwin Procter LLP (included in Exhibit 5.1).</w:t>
              </w:r>
            </w:hyperlink>
          </w:p>
        </w:tc>
        <w:tc>
          <w:tcPr>
            <w:tcW w:w="2120" w:type="dxa"/>
            <w:vAlign w:val="bottom"/>
            <w:tcBorders>
              <w:top w:val="single" w:sz="8" w:color="0000EE"/>
            </w:tcBorders>
            <w:gridSpan w:val="3"/>
          </w:tcPr>
          <w:p>
            <w:pPr>
              <w:spacing w:after="0"/>
              <w:rPr>
                <w:sz w:val="24"/>
                <w:szCs w:val="24"/>
                <w:color w:val="auto"/>
              </w:rPr>
            </w:pPr>
          </w:p>
        </w:tc>
        <w:tc>
          <w:tcPr>
            <w:tcW w:w="36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24.1*</w:t>
            </w:r>
          </w:p>
        </w:tc>
        <w:tc>
          <w:tcPr>
            <w:tcW w:w="540" w:type="dxa"/>
            <w:vAlign w:val="bottom"/>
          </w:tcPr>
          <w:p>
            <w:pPr>
              <w:spacing w:after="0"/>
              <w:rPr>
                <w:sz w:val="24"/>
                <w:szCs w:val="24"/>
                <w:color w:val="auto"/>
              </w:rPr>
            </w:pPr>
          </w:p>
        </w:tc>
        <w:tc>
          <w:tcPr>
            <w:tcW w:w="1004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Power of attorney (included on signature page).</w:t>
              </w:r>
            </w:hyperlink>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3420" w:type="dxa"/>
            <w:vAlign w:val="bottom"/>
            <w:gridSpan w:val="5"/>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400" w:type="dxa"/>
            <w:vAlign w:val="bottom"/>
            <w:gridSpan w:val="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9760" w:type="dxa"/>
            <w:vAlign w:val="bottom"/>
            <w:tcBorders>
              <w:bottom w:val="single" w:sz="8" w:color="0000EE"/>
            </w:tcBorders>
            <w:gridSpan w:val="13"/>
          </w:tcPr>
          <w:p>
            <w:pPr>
              <w:spacing w:after="0"/>
              <w:rPr>
                <w:rFonts w:ascii="Arial" w:cs="Arial" w:eastAsia="Arial" w:hAnsi="Arial"/>
                <w:sz w:val="18"/>
                <w:szCs w:val="18"/>
                <w:color w:val="0000EE"/>
                <w:w w:val="90"/>
              </w:rPr>
            </w:pPr>
            <w:hyperlink r:id="rId21">
              <w:r>
                <w:rPr>
                  <w:rFonts w:ascii="Arial" w:cs="Arial" w:eastAsia="Arial" w:hAnsi="Arial"/>
                  <w:sz w:val="18"/>
                  <w:szCs w:val="18"/>
                  <w:color w:val="0000EE"/>
                  <w:w w:val="90"/>
                </w:rPr>
                <w:t>2014 Stock Option and Incentive Plan and forms of agreements thereunder (Incorporated by reference to Exhibit 10.2 to the registrant’s</w:t>
              </w:r>
            </w:hyperlink>
          </w:p>
        </w:tc>
        <w:tc>
          <w:tcPr>
            <w:tcW w:w="2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40" w:type="dxa"/>
            <w:vAlign w:val="bottom"/>
            <w:gridSpan w:val="16"/>
          </w:tcPr>
          <w:p>
            <w:pPr>
              <w:spacing w:after="0" w:line="196" w:lineRule="exact"/>
              <w:rPr>
                <w:rFonts w:ascii="Arial" w:cs="Arial" w:eastAsia="Arial" w:hAnsi="Arial"/>
                <w:sz w:val="18"/>
                <w:szCs w:val="18"/>
                <w:color w:val="0000EE"/>
              </w:rPr>
            </w:pPr>
            <w:hyperlink r:id="rId21">
              <w:r>
                <w:rPr>
                  <w:rFonts w:ascii="Arial" w:cs="Arial" w:eastAsia="Arial" w:hAnsi="Arial"/>
                  <w:sz w:val="18"/>
                  <w:szCs w:val="18"/>
                  <w:color w:val="0000EE"/>
                </w:rPr>
                <w:t>Registration Statement on Form S-1 (File No. 333-195391)).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694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2" w:lineRule="exact"/>
        <w:rPr>
          <w:sz w:val="20"/>
          <w:szCs w:val="20"/>
          <w:color w:val="auto"/>
        </w:rPr>
      </w:pPr>
    </w:p>
    <w:p>
      <w:pPr>
        <w:ind w:left="440" w:hanging="436"/>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440" w:top="270" w:right="41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2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Boston, Commonwealth of Massachusetts, on the 14th day of March, 2019.</w:t>
      </w:r>
    </w:p>
    <w:p>
      <w:pPr>
        <w:spacing w:after="0" w:line="20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ZAFGEN,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Jeffrey Hatfield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Jeffrey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 AND SIGNATURES</w:t>
      </w:r>
    </w:p>
    <w:p>
      <w:pPr>
        <w:spacing w:after="0" w:line="12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KNOW ALL BY THESE PRESENT, that each individual whose signature appears below hereby constitutes and appoints each of Jeffrey Hatfield and Patricia L. Allen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on Form S-8,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9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 in the capacities and on the date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w:t>
            </w:r>
          </w:p>
        </w:tc>
        <w:tc>
          <w:tcPr>
            <w:tcW w:w="100" w:type="dxa"/>
            <w:vAlign w:val="bottom"/>
          </w:tcPr>
          <w:p>
            <w:pPr>
              <w:spacing w:after="0"/>
              <w:rPr>
                <w:sz w:val="20"/>
                <w:szCs w:val="20"/>
                <w:color w:val="auto"/>
              </w:rPr>
            </w:pPr>
          </w:p>
        </w:tc>
        <w:tc>
          <w:tcPr>
            <w:tcW w:w="4920" w:type="dxa"/>
            <w:vAlign w:val="bottom"/>
            <w:tcBorders>
              <w:bottom w:val="single" w:sz="8" w:color="auto"/>
            </w:tcBorders>
          </w:tcPr>
          <w:p>
            <w:pPr>
              <w:ind w:left="2280"/>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19"/>
        </w:trPr>
        <w:tc>
          <w:tcPr>
            <w:tcW w:w="4120" w:type="dxa"/>
            <w:vAlign w:val="bottom"/>
            <w:gridSpan w:val="2"/>
          </w:tcPr>
          <w:p>
            <w:pPr>
              <w:spacing w:after="0"/>
              <w:rPr>
                <w:sz w:val="20"/>
                <w:szCs w:val="20"/>
                <w:color w:val="auto"/>
              </w:rPr>
            </w:pPr>
            <w:r>
              <w:rPr>
                <w:rFonts w:ascii="Arial" w:cs="Arial" w:eastAsia="Arial" w:hAnsi="Arial"/>
                <w:sz w:val="18"/>
                <w:szCs w:val="18"/>
                <w:color w:val="auto"/>
              </w:rPr>
              <w:t>/s/ Jeffrey Hatfield</w:t>
            </w:r>
          </w:p>
        </w:tc>
        <w:tc>
          <w:tcPr>
            <w:tcW w:w="5240" w:type="dxa"/>
            <w:vAlign w:val="bottom"/>
            <w:gridSpan w:val="3"/>
          </w:tcPr>
          <w:p>
            <w:pPr>
              <w:ind w:left="100"/>
              <w:spacing w:after="0"/>
              <w:rPr>
                <w:sz w:val="20"/>
                <w:szCs w:val="20"/>
                <w:color w:val="auto"/>
              </w:rPr>
            </w:pPr>
            <w:r>
              <w:rPr>
                <w:rFonts w:ascii="Arial" w:cs="Arial" w:eastAsia="Arial" w:hAnsi="Arial"/>
                <w:sz w:val="18"/>
                <w:szCs w:val="18"/>
                <w:color w:val="auto"/>
              </w:rPr>
              <w:t>Chief Executive Officer and 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March 14, 2019</w:t>
            </w:r>
          </w:p>
        </w:tc>
      </w:tr>
      <w:tr>
        <w:trPr>
          <w:trHeight w:val="224"/>
        </w:trPr>
        <w:tc>
          <w:tcPr>
            <w:tcW w:w="20" w:type="dxa"/>
            <w:vAlign w:val="bottom"/>
          </w:tcPr>
          <w:p>
            <w:pPr>
              <w:spacing w:after="0"/>
              <w:rPr>
                <w:sz w:val="19"/>
                <w:szCs w:val="19"/>
                <w:color w:val="auto"/>
              </w:rPr>
            </w:pPr>
          </w:p>
        </w:tc>
        <w:tc>
          <w:tcPr>
            <w:tcW w:w="4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Jeffrey Hatfield</w:t>
            </w:r>
          </w:p>
        </w:tc>
        <w:tc>
          <w:tcPr>
            <w:tcW w:w="5240" w:type="dxa"/>
            <w:vAlign w:val="bottom"/>
            <w:gridSpan w:val="3"/>
          </w:tcPr>
          <w:p>
            <w:pPr>
              <w:ind w:left="100"/>
              <w:spacing w:after="0"/>
              <w:rPr>
                <w:sz w:val="20"/>
                <w:szCs w:val="20"/>
                <w:color w:val="auto"/>
              </w:rPr>
            </w:pPr>
            <w:r>
              <w:rPr>
                <w:rFonts w:ascii="Arial" w:cs="Arial" w:eastAsia="Arial" w:hAnsi="Arial"/>
                <w:sz w:val="18"/>
                <w:szCs w:val="18"/>
                <w:i w:val="1"/>
                <w:iCs w:val="1"/>
                <w:color w:val="auto"/>
              </w:rPr>
              <w:t>(Principal Executive Officer)</w:t>
            </w:r>
          </w:p>
        </w:tc>
        <w:tc>
          <w:tcPr>
            <w:tcW w:w="1680" w:type="dxa"/>
            <w:vAlign w:val="bottom"/>
          </w:tcPr>
          <w:p>
            <w:pPr>
              <w:spacing w:after="0"/>
              <w:rPr>
                <w:sz w:val="19"/>
                <w:szCs w:val="19"/>
                <w:color w:val="auto"/>
              </w:rPr>
            </w:pPr>
          </w:p>
        </w:tc>
      </w:tr>
      <w:tr>
        <w:trPr>
          <w:trHeight w:val="431"/>
        </w:trPr>
        <w:tc>
          <w:tcPr>
            <w:tcW w:w="4120" w:type="dxa"/>
            <w:vAlign w:val="bottom"/>
            <w:gridSpan w:val="2"/>
          </w:tcPr>
          <w:p>
            <w:pPr>
              <w:spacing w:after="0"/>
              <w:rPr>
                <w:sz w:val="20"/>
                <w:szCs w:val="20"/>
                <w:color w:val="auto"/>
              </w:rPr>
            </w:pPr>
            <w:r>
              <w:rPr>
                <w:rFonts w:ascii="Arial" w:cs="Arial" w:eastAsia="Arial" w:hAnsi="Arial"/>
                <w:sz w:val="18"/>
                <w:szCs w:val="18"/>
                <w:color w:val="auto"/>
              </w:rPr>
              <w:t>/s/ Patricia L. Allen</w:t>
            </w:r>
          </w:p>
        </w:tc>
        <w:tc>
          <w:tcPr>
            <w:tcW w:w="524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March 14, 2019</w:t>
            </w:r>
          </w:p>
        </w:tc>
      </w:tr>
      <w:tr>
        <w:trPr>
          <w:trHeight w:val="224"/>
        </w:trPr>
        <w:tc>
          <w:tcPr>
            <w:tcW w:w="20" w:type="dxa"/>
            <w:vAlign w:val="bottom"/>
          </w:tcPr>
          <w:p>
            <w:pPr>
              <w:spacing w:after="0"/>
              <w:rPr>
                <w:sz w:val="19"/>
                <w:szCs w:val="19"/>
                <w:color w:val="auto"/>
              </w:rPr>
            </w:pPr>
          </w:p>
        </w:tc>
        <w:tc>
          <w:tcPr>
            <w:tcW w:w="4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Patricia L. Allen</w:t>
            </w:r>
          </w:p>
        </w:tc>
        <w:tc>
          <w:tcPr>
            <w:tcW w:w="5240" w:type="dxa"/>
            <w:vAlign w:val="bottom"/>
            <w:gridSpan w:val="3"/>
          </w:tcPr>
          <w:p>
            <w:pPr>
              <w:ind w:left="100"/>
              <w:spacing w:after="0"/>
              <w:rPr>
                <w:sz w:val="20"/>
                <w:szCs w:val="20"/>
                <w:color w:val="auto"/>
              </w:rPr>
            </w:pPr>
            <w:r>
              <w:rPr>
                <w:rFonts w:ascii="Arial" w:cs="Arial" w:eastAsia="Arial" w:hAnsi="Arial"/>
                <w:sz w:val="18"/>
                <w:szCs w:val="18"/>
                <w:i w:val="1"/>
                <w:iCs w:val="1"/>
                <w:color w:val="auto"/>
              </w:rPr>
              <w:t>(Principal Financial and Accounting Officer)</w:t>
            </w:r>
          </w:p>
        </w:tc>
        <w:tc>
          <w:tcPr>
            <w:tcW w:w="1680" w:type="dxa"/>
            <w:vAlign w:val="bottom"/>
          </w:tcPr>
          <w:p>
            <w:pPr>
              <w:spacing w:after="0"/>
              <w:rPr>
                <w:sz w:val="19"/>
                <w:szCs w:val="19"/>
                <w:color w:val="auto"/>
              </w:rPr>
            </w:pPr>
          </w:p>
        </w:tc>
      </w:tr>
      <w:tr>
        <w:trPr>
          <w:trHeight w:val="431"/>
        </w:trPr>
        <w:tc>
          <w:tcPr>
            <w:tcW w:w="4120" w:type="dxa"/>
            <w:vAlign w:val="bottom"/>
            <w:gridSpan w:val="2"/>
          </w:tcPr>
          <w:p>
            <w:pPr>
              <w:spacing w:after="0"/>
              <w:rPr>
                <w:sz w:val="20"/>
                <w:szCs w:val="20"/>
                <w:color w:val="auto"/>
              </w:rPr>
            </w:pPr>
            <w:r>
              <w:rPr>
                <w:rFonts w:ascii="Arial" w:cs="Arial" w:eastAsia="Arial" w:hAnsi="Arial"/>
                <w:sz w:val="18"/>
                <w:szCs w:val="18"/>
                <w:color w:val="auto"/>
              </w:rPr>
              <w:t>/s/ Peter Barrett</w:t>
            </w:r>
          </w:p>
        </w:tc>
        <w:tc>
          <w:tcPr>
            <w:tcW w:w="5240" w:type="dxa"/>
            <w:vAlign w:val="bottom"/>
            <w:gridSpan w:val="3"/>
          </w:tcPr>
          <w:p>
            <w:pPr>
              <w:ind w:left="100"/>
              <w:spacing w:after="0"/>
              <w:rPr>
                <w:sz w:val="20"/>
                <w:szCs w:val="20"/>
                <w:color w:val="auto"/>
              </w:rPr>
            </w:pPr>
            <w:r>
              <w:rPr>
                <w:rFonts w:ascii="Arial" w:cs="Arial" w:eastAsia="Arial" w:hAnsi="Arial"/>
                <w:sz w:val="18"/>
                <w:szCs w:val="18"/>
                <w:color w:val="auto"/>
              </w:rPr>
              <w:t>Chairman of the Board of Directors</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March 14, 2019</w:t>
            </w:r>
          </w:p>
        </w:tc>
      </w:tr>
      <w:tr>
        <w:trPr>
          <w:trHeight w:val="224"/>
        </w:trPr>
        <w:tc>
          <w:tcPr>
            <w:tcW w:w="20" w:type="dxa"/>
            <w:vAlign w:val="bottom"/>
          </w:tcPr>
          <w:p>
            <w:pPr>
              <w:spacing w:after="0"/>
              <w:rPr>
                <w:sz w:val="19"/>
                <w:szCs w:val="19"/>
                <w:color w:val="auto"/>
              </w:rPr>
            </w:pPr>
          </w:p>
        </w:tc>
        <w:tc>
          <w:tcPr>
            <w:tcW w:w="4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Peter Barrett, Ph.D.</w:t>
            </w:r>
          </w:p>
        </w:tc>
        <w:tc>
          <w:tcPr>
            <w:tcW w:w="10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4120" w:type="dxa"/>
            <w:vAlign w:val="bottom"/>
            <w:gridSpan w:val="2"/>
          </w:tcPr>
          <w:p>
            <w:pPr>
              <w:spacing w:after="0"/>
              <w:rPr>
                <w:sz w:val="20"/>
                <w:szCs w:val="20"/>
                <w:color w:val="auto"/>
              </w:rPr>
            </w:pPr>
            <w:r>
              <w:rPr>
                <w:rFonts w:ascii="Arial" w:cs="Arial" w:eastAsia="Arial" w:hAnsi="Arial"/>
                <w:sz w:val="18"/>
                <w:szCs w:val="18"/>
                <w:color w:val="auto"/>
              </w:rPr>
              <w:t>/s/ Thomas O. Daniel</w:t>
            </w:r>
          </w:p>
        </w:tc>
        <w:tc>
          <w:tcPr>
            <w:tcW w:w="52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March 14, 2019</w:t>
            </w:r>
          </w:p>
        </w:tc>
      </w:tr>
      <w:tr>
        <w:trPr>
          <w:trHeight w:val="224"/>
        </w:trPr>
        <w:tc>
          <w:tcPr>
            <w:tcW w:w="20" w:type="dxa"/>
            <w:vAlign w:val="bottom"/>
          </w:tcPr>
          <w:p>
            <w:pPr>
              <w:spacing w:after="0"/>
              <w:rPr>
                <w:sz w:val="19"/>
                <w:szCs w:val="19"/>
                <w:color w:val="auto"/>
              </w:rPr>
            </w:pPr>
          </w:p>
        </w:tc>
        <w:tc>
          <w:tcPr>
            <w:tcW w:w="4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Thomas O. Daniel, M.D.</w:t>
            </w:r>
          </w:p>
        </w:tc>
        <w:tc>
          <w:tcPr>
            <w:tcW w:w="10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4120" w:type="dxa"/>
            <w:vAlign w:val="bottom"/>
            <w:gridSpan w:val="2"/>
          </w:tcPr>
          <w:p>
            <w:pPr>
              <w:spacing w:after="0"/>
              <w:rPr>
                <w:sz w:val="20"/>
                <w:szCs w:val="20"/>
                <w:color w:val="auto"/>
              </w:rPr>
            </w:pPr>
            <w:r>
              <w:rPr>
                <w:rFonts w:ascii="Arial" w:cs="Arial" w:eastAsia="Arial" w:hAnsi="Arial"/>
                <w:sz w:val="18"/>
                <w:szCs w:val="18"/>
                <w:color w:val="auto"/>
              </w:rPr>
              <w:t>/s/ Wendy Everett</w:t>
            </w:r>
          </w:p>
        </w:tc>
        <w:tc>
          <w:tcPr>
            <w:tcW w:w="52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March 14, 2019</w:t>
            </w:r>
          </w:p>
        </w:tc>
      </w:tr>
      <w:tr>
        <w:trPr>
          <w:trHeight w:val="224"/>
        </w:trPr>
        <w:tc>
          <w:tcPr>
            <w:tcW w:w="20" w:type="dxa"/>
            <w:vAlign w:val="bottom"/>
          </w:tcPr>
          <w:p>
            <w:pPr>
              <w:spacing w:after="0"/>
              <w:rPr>
                <w:sz w:val="19"/>
                <w:szCs w:val="19"/>
                <w:color w:val="auto"/>
              </w:rPr>
            </w:pPr>
          </w:p>
        </w:tc>
        <w:tc>
          <w:tcPr>
            <w:tcW w:w="4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Wendy Everett Sc.D.</w:t>
            </w:r>
          </w:p>
        </w:tc>
        <w:tc>
          <w:tcPr>
            <w:tcW w:w="10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4120" w:type="dxa"/>
            <w:vAlign w:val="bottom"/>
            <w:gridSpan w:val="2"/>
          </w:tcPr>
          <w:p>
            <w:pPr>
              <w:spacing w:after="0"/>
              <w:rPr>
                <w:sz w:val="20"/>
                <w:szCs w:val="20"/>
                <w:color w:val="auto"/>
              </w:rPr>
            </w:pPr>
            <w:r>
              <w:rPr>
                <w:rFonts w:ascii="Arial" w:cs="Arial" w:eastAsia="Arial" w:hAnsi="Arial"/>
                <w:sz w:val="18"/>
                <w:szCs w:val="18"/>
                <w:color w:val="auto"/>
              </w:rPr>
              <w:t>/s/ Robert J. Perez</w:t>
            </w:r>
          </w:p>
        </w:tc>
        <w:tc>
          <w:tcPr>
            <w:tcW w:w="52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March 14, 2019</w:t>
            </w:r>
          </w:p>
        </w:tc>
      </w:tr>
      <w:tr>
        <w:trPr>
          <w:trHeight w:val="224"/>
        </w:trPr>
        <w:tc>
          <w:tcPr>
            <w:tcW w:w="20" w:type="dxa"/>
            <w:vAlign w:val="bottom"/>
          </w:tcPr>
          <w:p>
            <w:pPr>
              <w:spacing w:after="0"/>
              <w:rPr>
                <w:sz w:val="19"/>
                <w:szCs w:val="19"/>
                <w:color w:val="auto"/>
              </w:rPr>
            </w:pPr>
          </w:p>
        </w:tc>
        <w:tc>
          <w:tcPr>
            <w:tcW w:w="4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Robert J. Perez</w:t>
            </w:r>
          </w:p>
        </w:tc>
        <w:tc>
          <w:tcPr>
            <w:tcW w:w="10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4120" w:type="dxa"/>
            <w:vAlign w:val="bottom"/>
            <w:gridSpan w:val="2"/>
          </w:tcPr>
          <w:p>
            <w:pPr>
              <w:spacing w:after="0"/>
              <w:rPr>
                <w:sz w:val="20"/>
                <w:szCs w:val="20"/>
                <w:color w:val="auto"/>
              </w:rPr>
            </w:pPr>
            <w:r>
              <w:rPr>
                <w:rFonts w:ascii="Arial" w:cs="Arial" w:eastAsia="Arial" w:hAnsi="Arial"/>
                <w:sz w:val="18"/>
                <w:szCs w:val="18"/>
                <w:color w:val="auto"/>
              </w:rPr>
              <w:t>/s/ John L. LaMattina</w:t>
            </w:r>
          </w:p>
        </w:tc>
        <w:tc>
          <w:tcPr>
            <w:tcW w:w="52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March 14, 2019</w:t>
            </w:r>
          </w:p>
        </w:tc>
      </w:tr>
      <w:tr>
        <w:trPr>
          <w:trHeight w:val="224"/>
        </w:trPr>
        <w:tc>
          <w:tcPr>
            <w:tcW w:w="20" w:type="dxa"/>
            <w:vAlign w:val="bottom"/>
          </w:tcPr>
          <w:p>
            <w:pPr>
              <w:spacing w:after="0"/>
              <w:rPr>
                <w:sz w:val="19"/>
                <w:szCs w:val="19"/>
                <w:color w:val="auto"/>
              </w:rPr>
            </w:pPr>
          </w:p>
        </w:tc>
        <w:tc>
          <w:tcPr>
            <w:tcW w:w="4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John L. LaMattina, Ph.D.</w:t>
            </w:r>
          </w:p>
        </w:tc>
        <w:tc>
          <w:tcPr>
            <w:tcW w:w="10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4120" w:type="dxa"/>
            <w:vAlign w:val="bottom"/>
            <w:gridSpan w:val="2"/>
          </w:tcPr>
          <w:p>
            <w:pPr>
              <w:spacing w:after="0"/>
              <w:rPr>
                <w:sz w:val="20"/>
                <w:szCs w:val="20"/>
                <w:color w:val="auto"/>
              </w:rPr>
            </w:pPr>
            <w:r>
              <w:rPr>
                <w:rFonts w:ascii="Arial" w:cs="Arial" w:eastAsia="Arial" w:hAnsi="Arial"/>
                <w:sz w:val="18"/>
                <w:szCs w:val="18"/>
                <w:color w:val="auto"/>
              </w:rPr>
              <w:t>/s/ Cameron Geoffrey McDonough</w:t>
            </w:r>
          </w:p>
        </w:tc>
        <w:tc>
          <w:tcPr>
            <w:tcW w:w="52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March 14, 2019</w:t>
            </w:r>
          </w:p>
        </w:tc>
      </w:tr>
      <w:tr>
        <w:trPr>
          <w:trHeight w:val="224"/>
        </w:trPr>
        <w:tc>
          <w:tcPr>
            <w:tcW w:w="20" w:type="dxa"/>
            <w:vAlign w:val="bottom"/>
          </w:tcPr>
          <w:p>
            <w:pPr>
              <w:spacing w:after="0"/>
              <w:rPr>
                <w:sz w:val="19"/>
                <w:szCs w:val="19"/>
                <w:color w:val="auto"/>
              </w:rPr>
            </w:pPr>
          </w:p>
        </w:tc>
        <w:tc>
          <w:tcPr>
            <w:tcW w:w="4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Cameron Geoffrey McDonough, M.D.</w:t>
            </w:r>
          </w:p>
        </w:tc>
        <w:tc>
          <w:tcPr>
            <w:tcW w:w="10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4120" w:type="dxa"/>
            <w:vAlign w:val="bottom"/>
            <w:gridSpan w:val="2"/>
          </w:tcPr>
          <w:p>
            <w:pPr>
              <w:spacing w:after="0"/>
              <w:rPr>
                <w:sz w:val="20"/>
                <w:szCs w:val="20"/>
                <w:color w:val="auto"/>
              </w:rPr>
            </w:pPr>
            <w:r>
              <w:rPr>
                <w:rFonts w:ascii="Arial" w:cs="Arial" w:eastAsia="Arial" w:hAnsi="Arial"/>
                <w:sz w:val="18"/>
                <w:szCs w:val="18"/>
                <w:color w:val="auto"/>
              </w:rPr>
              <w:t>/s/ Frank E. Thomas</w:t>
            </w:r>
          </w:p>
        </w:tc>
        <w:tc>
          <w:tcPr>
            <w:tcW w:w="52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March 14, 2019</w:t>
            </w:r>
          </w:p>
        </w:tc>
      </w:tr>
      <w:tr>
        <w:trPr>
          <w:trHeight w:val="224"/>
        </w:trPr>
        <w:tc>
          <w:tcPr>
            <w:tcW w:w="20" w:type="dxa"/>
            <w:vAlign w:val="bottom"/>
          </w:tcPr>
          <w:p>
            <w:pPr>
              <w:spacing w:after="0"/>
              <w:rPr>
                <w:sz w:val="19"/>
                <w:szCs w:val="19"/>
                <w:color w:val="auto"/>
              </w:rPr>
            </w:pPr>
          </w:p>
        </w:tc>
        <w:tc>
          <w:tcPr>
            <w:tcW w:w="4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Frank E. Thomas</w:t>
            </w:r>
          </w:p>
        </w:tc>
        <w:tc>
          <w:tcPr>
            <w:tcW w:w="10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728"/>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5020" w:type="dxa"/>
            <w:vAlign w:val="bottom"/>
            <w:gridSpan w:val="2"/>
          </w:tcPr>
          <w:p>
            <w:pPr>
              <w:ind w:left="134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1040"/>
          </w:cols>
          <w:pgMar w:left="440" w:top="270" w:right="41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March 14,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Zafgen,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175 Portland Street, 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02114</w:t>
      </w:r>
    </w:p>
    <w:p>
      <w:pPr>
        <w:spacing w:after="0" w:line="238"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Securities Being Registered under 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We have acted as counsel to you in connection with your filing of a Registration Statement on Form S-8 (the “Registration Statement”) pursuant to the Securities Act of 1933, as amended (the “Securities Act”), on or about the date hereof relating to an aggregate of 1,491,488 shares (the “Shares”) of Common Stock, $0.001 par value per share, of Zafgen, Inc., a Delaware corporation (the “Company”), that may be issued pursuant to the Company’s 2014 Stock Option and Incentive Plan (the “Plan”).</w:t>
      </w:r>
    </w:p>
    <w:p>
      <w:pPr>
        <w:spacing w:after="0" w:line="187"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ind w:right="600" w:firstLine="441"/>
        <w:spacing w:after="0" w:line="277" w:lineRule="auto"/>
        <w:rPr>
          <w:sz w:val="20"/>
          <w:szCs w:val="20"/>
          <w:color w:val="auto"/>
        </w:rPr>
      </w:pPr>
      <w:r>
        <w:rPr>
          <w:rFonts w:ascii="Arial" w:cs="Arial" w:eastAsia="Arial" w:hAnsi="Arial"/>
          <w:sz w:val="18"/>
          <w:szCs w:val="18"/>
          <w:color w:val="auto"/>
        </w:rPr>
        <w:t>For purposes of the opinion set forth below, we have assumed that a sufficient number of authorized but unissued shares of the Company’s Common Stock will be available for issuance when the Shares are issued.</w:t>
      </w:r>
    </w:p>
    <w:p>
      <w:pPr>
        <w:spacing w:after="0" w:line="170"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Based on the foregoing, we are of the opinion that the Shares have been duly authorized and, upon issuance and delivery against payment therefor in accordance with the terms of the Plan, will be validly issued, fully paid and nonassessable.</w:t>
      </w:r>
    </w:p>
    <w:p>
      <w:pPr>
        <w:spacing w:after="0" w:line="170" w:lineRule="exact"/>
        <w:rPr>
          <w:sz w:val="20"/>
          <w:szCs w:val="20"/>
          <w:color w:val="auto"/>
        </w:rPr>
      </w:pPr>
    </w:p>
    <w:p>
      <w:pPr>
        <w:ind w:right="60" w:firstLine="441"/>
        <w:spacing w:after="0" w:line="308" w:lineRule="auto"/>
        <w:rPr>
          <w:sz w:val="20"/>
          <w:szCs w:val="20"/>
          <w:color w:val="auto"/>
        </w:rPr>
      </w:pPr>
      <w:r>
        <w:rPr>
          <w:rFonts w:ascii="Arial" w:cs="Arial" w:eastAsia="Arial" w:hAnsi="Arial"/>
          <w:sz w:val="17"/>
          <w:szCs w:val="17"/>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4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G</w:t>
      </w:r>
      <w:r>
        <w:rPr>
          <w:rFonts w:ascii="Arial" w:cs="Arial" w:eastAsia="Arial" w:hAnsi="Arial"/>
          <w:sz w:val="15"/>
          <w:szCs w:val="15"/>
          <w:color w:val="auto"/>
        </w:rPr>
        <w:t>OODWIN</w:t>
      </w:r>
      <w:r>
        <w:rPr>
          <w:rFonts w:ascii="Arial" w:cs="Arial" w:eastAsia="Arial" w:hAnsi="Arial"/>
          <w:sz w:val="18"/>
          <w:szCs w:val="18"/>
          <w:color w:val="auto"/>
        </w:rPr>
        <w:t xml:space="preserve"> P</w:t>
      </w:r>
      <w:r>
        <w:rPr>
          <w:rFonts w:ascii="Arial" w:cs="Arial" w:eastAsia="Arial" w:hAnsi="Arial"/>
          <w:sz w:val="15"/>
          <w:szCs w:val="15"/>
          <w:color w:val="auto"/>
        </w:rPr>
        <w:t>ROCTER</w:t>
      </w:r>
      <w:r>
        <w:rPr>
          <w:rFonts w:ascii="Arial" w:cs="Arial" w:eastAsia="Arial" w:hAnsi="Arial"/>
          <w:sz w:val="18"/>
          <w:szCs w:val="18"/>
          <w:color w:val="auto"/>
        </w:rPr>
        <w:t xml:space="preserve"> LLP</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GOODWIN PROCTER LLP</w:t>
      </w:r>
    </w:p>
    <w:p>
      <w:pPr>
        <w:sectPr>
          <w:pgSz w:w="11900" w:h="16838" w:orient="portrait"/>
          <w:cols w:equalWidth="0" w:num="1">
            <w:col w:w="11020"/>
          </w:cols>
          <w:pgMar w:left="440" w:top="121"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We hereby consent to the incorporation by reference in this Registration Statement on Form S-8 of our report dated March 14, 2019 relating to the financial statements, which appears in Zafgen, Inc.’s Annual Report on Form 10-K for the year ended December 31, 2018.</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14, 2019</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17" Type="http://schemas.openxmlformats.org/officeDocument/2006/relationships/hyperlink" Target="http://www.sec.gov/Archives/edgar/data/1374690/000119312514222253/d642727dex41.htm" TargetMode="External"/><Relationship Id="rId18" Type="http://schemas.openxmlformats.org/officeDocument/2006/relationships/hyperlink" Target="http://www.sec.gov/Archives/edgar/data/1374690/000119312514227208/d642727dex32.htm" TargetMode="External"/><Relationship Id="rId19" Type="http://schemas.openxmlformats.org/officeDocument/2006/relationships/hyperlink" Target="http://www.sec.gov/Archives/edgar/data/1374690/000119312514222253/d642727dex34.htm" TargetMode="External"/><Relationship Id="rId20" Type="http://schemas.openxmlformats.org/officeDocument/2006/relationships/hyperlink" Target="http://www.sec.gov/Archives/edgar/data/1374690/000119312514149201/d642727dex42.htm" TargetMode="External"/><Relationship Id="rId21" Type="http://schemas.openxmlformats.org/officeDocument/2006/relationships/hyperlink" Target="http://www.sec.gov/Archives/edgar/data/1374690/000119312514227208/d642727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2019-12-21T01:40:24Z</dcterms:created>
  <dcterms:modified xsi:type="dcterms:W3CDTF">2019-12-21T01:40:24Z</dcterms:modified>
</cp:coreProperties>
</file>