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102870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77470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8"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2019</w:t>
      </w:r>
    </w:p>
    <w:p>
      <w:pPr>
        <w:spacing w:after="0" w:line="45" w:lineRule="exact"/>
        <w:rPr>
          <w:rFonts w:ascii="MS PGothic" w:cs="MS PGothic" w:eastAsia="MS PGothic" w:hAnsi="MS PGothic"/>
          <w:sz w:val="16"/>
          <w:szCs w:val="16"/>
          <w:color w:val="auto"/>
        </w:rPr>
      </w:pPr>
    </w:p>
    <w:p>
      <w:pPr>
        <w:ind w:left="56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74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1"/>
        </w:trPr>
        <w:tc>
          <w:tcPr>
            <w:tcW w:w="3560" w:type="dxa"/>
            <w:vAlign w:val="bottom"/>
            <w:gridSpan w:val="4"/>
          </w:tcPr>
          <w:p>
            <w:pPr>
              <w:ind w:left="700"/>
              <w:spacing w:after="0"/>
              <w:rPr>
                <w:sz w:val="20"/>
                <w:szCs w:val="20"/>
                <w:color w:val="auto"/>
              </w:rPr>
            </w:pPr>
            <w:r>
              <w:rPr>
                <w:rFonts w:ascii="Arial" w:cs="Arial" w:eastAsia="Arial" w:hAnsi="Arial"/>
                <w:sz w:val="14"/>
                <w:szCs w:val="14"/>
                <w:b w:val="1"/>
                <w:bCs w:val="1"/>
                <w:color w:val="auto"/>
              </w:rPr>
              <w:t>Commission File Number 001-36510</w:t>
            </w:r>
          </w:p>
        </w:tc>
        <w:tc>
          <w:tcPr>
            <w:tcW w:w="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41910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72" w:lineRule="exact"/>
        <w:rPr>
          <w:sz w:val="24"/>
          <w:szCs w:val="24"/>
          <w:color w:val="auto"/>
        </w:rPr>
      </w:pPr>
    </w:p>
    <w:tbl>
      <w:tblPr>
        <w:tblLayout w:type="fixed"/>
        <w:tblInd w:w="560" w:type="dxa"/>
        <w:tblCellMar>
          <w:top w:w="0" w:type="dxa"/>
          <w:left w:w="0" w:type="dxa"/>
          <w:bottom w:w="0" w:type="dxa"/>
          <w:right w:w="0" w:type="dxa"/>
        </w:tblCellMar>
      </w:tblPr>
      <w:tr>
        <w:trPr>
          <w:trHeight w:val="421"/>
        </w:trPr>
        <w:tc>
          <w:tcPr>
            <w:tcW w:w="2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0" w:type="dxa"/>
            <w:vAlign w:val="bottom"/>
            <w:gridSpan w:val="7"/>
          </w:tcPr>
          <w:p>
            <w:pPr>
              <w:jc w:val="center"/>
              <w:ind w:right="1700"/>
              <w:spacing w:after="0"/>
              <w:rPr>
                <w:sz w:val="20"/>
                <w:szCs w:val="20"/>
                <w:color w:val="auto"/>
              </w:rPr>
            </w:pPr>
            <w:r>
              <w:rPr>
                <w:rFonts w:ascii="Arial" w:cs="Arial" w:eastAsia="Arial" w:hAnsi="Arial"/>
                <w:sz w:val="32"/>
                <w:szCs w:val="32"/>
                <w:b w:val="1"/>
                <w:bCs w:val="1"/>
                <w:color w:val="auto"/>
              </w:rPr>
              <w:t>ZAFGEN, INC.</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0" w:type="dxa"/>
            <w:vAlign w:val="bottom"/>
            <w:gridSpan w:val="7"/>
          </w:tcPr>
          <w:p>
            <w:pPr>
              <w:jc w:val="center"/>
              <w:ind w:right="17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66"/>
        </w:trPr>
        <w:tc>
          <w:tcPr>
            <w:tcW w:w="3500" w:type="dxa"/>
            <w:vAlign w:val="bottom"/>
            <w:gridSpan w:val="2"/>
            <w:vMerge w:val="restart"/>
          </w:tcPr>
          <w:p>
            <w:pPr>
              <w:jc w:val="center"/>
              <w:ind w:left="1053"/>
              <w:spacing w:after="0"/>
              <w:rPr>
                <w:sz w:val="20"/>
                <w:szCs w:val="20"/>
                <w:color w:val="auto"/>
              </w:rPr>
            </w:pPr>
            <w:r>
              <w:rPr>
                <w:rFonts w:ascii="Arial" w:cs="Arial" w:eastAsia="Arial" w:hAnsi="Arial"/>
                <w:sz w:val="16"/>
                <w:szCs w:val="16"/>
                <w:b w:val="1"/>
                <w:bCs w:val="1"/>
                <w:color w:val="auto"/>
                <w:w w:val="93"/>
              </w:rPr>
              <w:t>Delaware</w:t>
            </w:r>
          </w:p>
        </w:tc>
        <w:tc>
          <w:tcPr>
            <w:tcW w:w="8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60" w:type="dxa"/>
            <w:vAlign w:val="bottom"/>
            <w:gridSpan w:val="2"/>
            <w:vMerge w:val="restart"/>
          </w:tcPr>
          <w:p>
            <w:pPr>
              <w:jc w:val="center"/>
              <w:ind w:left="1414"/>
              <w:spacing w:after="0"/>
              <w:rPr>
                <w:sz w:val="20"/>
                <w:szCs w:val="20"/>
                <w:color w:val="auto"/>
              </w:rPr>
            </w:pPr>
            <w:r>
              <w:rPr>
                <w:rFonts w:ascii="Arial" w:cs="Arial" w:eastAsia="Arial" w:hAnsi="Arial"/>
                <w:sz w:val="16"/>
                <w:szCs w:val="16"/>
                <w:b w:val="1"/>
                <w:bCs w:val="1"/>
                <w:color w:val="auto"/>
                <w:w w:val="91"/>
              </w:rPr>
              <w:t>20-3857670</w:t>
            </w:r>
          </w:p>
        </w:tc>
        <w:tc>
          <w:tcPr>
            <w:tcW w:w="0" w:type="dxa"/>
            <w:vAlign w:val="bottom"/>
          </w:tcPr>
          <w:p>
            <w:pPr>
              <w:spacing w:after="0"/>
              <w:rPr>
                <w:sz w:val="1"/>
                <w:szCs w:val="1"/>
                <w:color w:val="auto"/>
              </w:rPr>
            </w:pPr>
          </w:p>
        </w:tc>
      </w:tr>
      <w:tr>
        <w:trPr>
          <w:trHeight w:val="312"/>
        </w:trPr>
        <w:tc>
          <w:tcPr>
            <w:tcW w:w="35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jc w:val="center"/>
              <w:ind w:left="1053"/>
              <w:spacing w:after="0"/>
              <w:rPr>
                <w:sz w:val="20"/>
                <w:szCs w:val="20"/>
                <w:color w:val="auto"/>
              </w:rPr>
            </w:pPr>
            <w:r>
              <w:rPr>
                <w:rFonts w:ascii="Arial" w:cs="Arial" w:eastAsia="Arial" w:hAnsi="Arial"/>
                <w:sz w:val="13"/>
                <w:szCs w:val="13"/>
                <w:b w:val="1"/>
                <w:bCs w:val="1"/>
                <w:color w:val="auto"/>
                <w:w w:val="88"/>
              </w:rPr>
              <w:t>(State or other jurisdiction of</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gridSpan w:val="2"/>
          </w:tcPr>
          <w:p>
            <w:pPr>
              <w:jc w:val="center"/>
              <w:ind w:left="1414"/>
              <w:spacing w:after="0"/>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89"/>
        </w:trPr>
        <w:tc>
          <w:tcPr>
            <w:tcW w:w="3500" w:type="dxa"/>
            <w:vAlign w:val="bottom"/>
            <w:gridSpan w:val="2"/>
          </w:tcPr>
          <w:p>
            <w:pPr>
              <w:jc w:val="center"/>
              <w:ind w:left="1033"/>
              <w:spacing w:after="0"/>
              <w:rPr>
                <w:sz w:val="20"/>
                <w:szCs w:val="20"/>
                <w:color w:val="auto"/>
              </w:rPr>
            </w:pPr>
            <w:r>
              <w:rPr>
                <w:rFonts w:ascii="Arial" w:cs="Arial" w:eastAsia="Arial" w:hAnsi="Arial"/>
                <w:sz w:val="13"/>
                <w:szCs w:val="13"/>
                <w:b w:val="1"/>
                <w:bCs w:val="1"/>
                <w:color w:val="auto"/>
                <w:w w:val="88"/>
              </w:rPr>
              <w:t>incorporation or organization)</w:t>
            </w: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gridSpan w:val="2"/>
          </w:tcPr>
          <w:p>
            <w:pPr>
              <w:jc w:val="center"/>
              <w:ind w:left="1414"/>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8"/>
              </w:rPr>
              <w:t>Zafgen, Inc.</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3 Center Plaza, Suite 610</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4"/>
              </w:rPr>
              <w:t>Boston, Massachusetts 02108</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gridSpan w:val="7"/>
          </w:tcPr>
          <w:p>
            <w:pPr>
              <w:jc w:val="center"/>
              <w:ind w:right="1680"/>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gridSpan w:val="7"/>
          </w:tcPr>
          <w:p>
            <w:pPr>
              <w:jc w:val="center"/>
              <w:ind w:right="1700"/>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jc w:val="center"/>
              <w:ind w:right="377"/>
              <w:spacing w:after="0"/>
              <w:rPr>
                <w:sz w:val="20"/>
                <w:szCs w:val="20"/>
                <w:color w:val="auto"/>
              </w:rPr>
            </w:pPr>
            <w:r>
              <w:rPr>
                <w:rFonts w:ascii="Arial" w:cs="Arial" w:eastAsia="Arial" w:hAnsi="Arial"/>
                <w:sz w:val="13"/>
                <w:szCs w:val="13"/>
                <w:b w:val="1"/>
                <w:bCs w:val="1"/>
                <w:color w:val="auto"/>
                <w:w w:val="87"/>
              </w:rPr>
              <w:t>(617) 622-4003</w:t>
            </w:r>
          </w:p>
        </w:tc>
        <w:tc>
          <w:tcPr>
            <w:tcW w:w="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0" w:type="dxa"/>
            <w:vAlign w:val="bottom"/>
            <w:gridSpan w:val="7"/>
          </w:tcPr>
          <w:p>
            <w:pPr>
              <w:jc w:val="center"/>
              <w:ind w:right="168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0" w:type="dxa"/>
            <w:vAlign w:val="bottom"/>
          </w:tcPr>
          <w:p>
            <w:pPr>
              <w:spacing w:after="0"/>
              <w:rPr>
                <w:sz w:val="1"/>
                <w:szCs w:val="1"/>
                <w:color w:val="auto"/>
              </w:rPr>
            </w:pPr>
          </w:p>
        </w:tc>
      </w:tr>
      <w:tr>
        <w:trPr>
          <w:trHeight w:val="230"/>
        </w:trPr>
        <w:tc>
          <w:tcPr>
            <w:tcW w:w="2080" w:type="dxa"/>
            <w:vAlign w:val="bottom"/>
            <w:tcBorders>
              <w:right w:val="single" w:sz="8" w:color="auto"/>
            </w:tcBorders>
          </w:tcPr>
          <w:p>
            <w:pPr>
              <w:spacing w:after="0"/>
              <w:rPr>
                <w:sz w:val="20"/>
                <w:szCs w:val="20"/>
                <w:color w:val="auto"/>
              </w:rPr>
            </w:pP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Title of each class</w:t>
            </w:r>
          </w:p>
        </w:tc>
        <w:tc>
          <w:tcPr>
            <w:tcW w:w="1260" w:type="dxa"/>
            <w:vAlign w:val="bottom"/>
            <w:tcBorders>
              <w:top w:val="single" w:sz="8" w:color="auto"/>
              <w:bottom w:val="single" w:sz="8" w:color="auto"/>
            </w:tcBorders>
            <w:gridSpan w:val="2"/>
          </w:tcPr>
          <w:p>
            <w:pPr>
              <w:jc w:val="center"/>
              <w:ind w:left="222"/>
              <w:spacing w:after="0"/>
              <w:rPr>
                <w:sz w:val="20"/>
                <w:szCs w:val="20"/>
                <w:color w:val="auto"/>
              </w:rPr>
            </w:pPr>
            <w:r>
              <w:rPr>
                <w:rFonts w:ascii="Arial" w:cs="Arial" w:eastAsia="Arial" w:hAnsi="Arial"/>
                <w:sz w:val="13"/>
                <w:szCs w:val="13"/>
                <w:color w:val="auto"/>
                <w:w w:val="90"/>
              </w:rPr>
              <w:t>Trading Symbol(s)</w:t>
            </w:r>
          </w:p>
        </w:tc>
        <w:tc>
          <w:tcPr>
            <w:tcW w:w="360" w:type="dxa"/>
            <w:vAlign w:val="bottom"/>
            <w:tcBorders>
              <w:top w:val="single" w:sz="8" w:color="auto"/>
              <w:bottom w:val="single" w:sz="8" w:color="auto"/>
              <w:right w:val="single" w:sz="8" w:color="auto"/>
            </w:tcBorders>
          </w:tcPr>
          <w:p>
            <w:pPr>
              <w:spacing w:after="0"/>
              <w:rPr>
                <w:sz w:val="20"/>
                <w:szCs w:val="20"/>
                <w:color w:val="auto"/>
              </w:rPr>
            </w:pPr>
          </w:p>
        </w:tc>
        <w:tc>
          <w:tcPr>
            <w:tcW w:w="3160" w:type="dxa"/>
            <w:vAlign w:val="bottom"/>
            <w:tcBorders>
              <w:top w:val="single" w:sz="8" w:color="auto"/>
              <w:bottom w:val="single" w:sz="8" w:color="auto"/>
              <w:right w:val="single" w:sz="8" w:color="auto"/>
            </w:tcBorders>
            <w:gridSpan w:val="3"/>
          </w:tcPr>
          <w:p>
            <w:pPr>
              <w:ind w:left="440"/>
              <w:spacing w:after="0"/>
              <w:rPr>
                <w:sz w:val="20"/>
                <w:szCs w:val="20"/>
                <w:color w:val="auto"/>
              </w:rPr>
            </w:pPr>
            <w:r>
              <w:rPr>
                <w:rFonts w:ascii="Arial" w:cs="Arial" w:eastAsia="Arial" w:hAnsi="Arial"/>
                <w:sz w:val="13"/>
                <w:szCs w:val="13"/>
                <w:color w:val="auto"/>
              </w:rPr>
              <w:t>Name of each exchange on which registered</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tcBorders>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Common Stock</w:t>
            </w:r>
          </w:p>
        </w:tc>
        <w:tc>
          <w:tcPr>
            <w:tcW w:w="1260" w:type="dxa"/>
            <w:vAlign w:val="bottom"/>
            <w:tcBorders>
              <w:bottom w:val="single" w:sz="8" w:color="auto"/>
            </w:tcBorders>
            <w:gridSpan w:val="2"/>
          </w:tcPr>
          <w:p>
            <w:pPr>
              <w:jc w:val="center"/>
              <w:ind w:left="222"/>
              <w:spacing w:after="0"/>
              <w:rPr>
                <w:sz w:val="20"/>
                <w:szCs w:val="20"/>
                <w:color w:val="auto"/>
              </w:rPr>
            </w:pPr>
            <w:r>
              <w:rPr>
                <w:rFonts w:ascii="Arial" w:cs="Arial" w:eastAsia="Arial" w:hAnsi="Arial"/>
                <w:sz w:val="13"/>
                <w:szCs w:val="13"/>
                <w:color w:val="auto"/>
                <w:w w:val="90"/>
              </w:rPr>
              <w:t>ZFGN</w:t>
            </w:r>
          </w:p>
        </w:tc>
        <w:tc>
          <w:tcPr>
            <w:tcW w:w="3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NASDAQ Global Market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3960" w:type="dxa"/>
            <w:vAlign w:val="bottom"/>
            <w:gridSpan w:val="6"/>
          </w:tcPr>
          <w:p>
            <w:pPr>
              <w:jc w:val="center"/>
              <w:ind w:left="357"/>
              <w:spacing w:after="0"/>
              <w:rPr>
                <w:sz w:val="20"/>
                <w:szCs w:val="20"/>
                <w:color w:val="auto"/>
              </w:rPr>
            </w:pPr>
            <w:r>
              <w:rPr>
                <w:rFonts w:ascii="Arial" w:cs="Arial" w:eastAsia="Arial" w:hAnsi="Arial"/>
                <w:sz w:val="13"/>
                <w:szCs w:val="13"/>
                <w:b w:val="1"/>
                <w:bCs w:val="1"/>
                <w:color w:val="auto"/>
                <w:w w:val="86"/>
              </w:rPr>
              <w:t>Securities registered pursuant to Section 12(g) of the Act: NONE</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40" w:type="dxa"/>
            <w:vAlign w:val="bottom"/>
            <w:gridSpan w:val="3"/>
          </w:tcPr>
          <w:p>
            <w:pPr>
              <w:spacing w:after="0"/>
              <w:rPr>
                <w:sz w:val="15"/>
                <w:szCs w:val="15"/>
                <w:color w:val="auto"/>
              </w:rPr>
            </w:pPr>
          </w:p>
        </w:tc>
        <w:tc>
          <w:tcPr>
            <w:tcW w:w="1640" w:type="dxa"/>
            <w:vAlign w:val="bottom"/>
            <w:tcBorders>
              <w:bottom w:val="single" w:sz="8" w:color="auto"/>
            </w:tcBorders>
            <w:gridSpan w:val="3"/>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gridSpan w:val="2"/>
            <w:vMerge w:val="restart"/>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1"/>
        </w:trPr>
        <w:tc>
          <w:tcPr>
            <w:tcW w:w="6040" w:type="dxa"/>
            <w:vAlign w:val="bottom"/>
            <w:gridSpan w:val="7"/>
          </w:tcPr>
          <w:p>
            <w:pPr>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w:t>
            </w:r>
          </w:p>
        </w:tc>
        <w:tc>
          <w:tcPr>
            <w:tcW w:w="2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40" w:type="dxa"/>
            <w:vAlign w:val="bottom"/>
            <w:gridSpan w:val="7"/>
          </w:tcPr>
          <w:p>
            <w:pPr>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w:t>
            </w:r>
          </w:p>
        </w:tc>
        <w:tc>
          <w:tcPr>
            <w:tcW w:w="2460" w:type="dxa"/>
            <w:vAlign w:val="bottom"/>
            <w:gridSpan w:val="2"/>
          </w:tcPr>
          <w:p>
            <w:pPr>
              <w:ind w:left="1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ind w:right="180" w:firstLine="555"/>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40" w:firstLine="555"/>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320" w:firstLine="555"/>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00" w:type="dxa"/>
            <w:vAlign w:val="bottom"/>
          </w:tcPr>
          <w:p>
            <w:pPr>
              <w:ind w:left="84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6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980" w:type="dxa"/>
            <w:vAlign w:val="bottom"/>
          </w:tcPr>
          <w:p>
            <w:pPr>
              <w:spacing w:after="0"/>
              <w:rPr>
                <w:sz w:val="20"/>
                <w:szCs w:val="20"/>
                <w:color w:val="auto"/>
              </w:rPr>
            </w:pPr>
            <w:r>
              <w:rPr>
                <w:rFonts w:ascii="Arial" w:cs="Arial" w:eastAsia="Arial" w:hAnsi="Arial"/>
                <w:sz w:val="13"/>
                <w:szCs w:val="13"/>
                <w:color w:val="auto"/>
              </w:rPr>
              <w:t>Non-accelerated filer</w:t>
            </w:r>
          </w:p>
        </w:tc>
        <w:tc>
          <w:tcPr>
            <w:tcW w:w="3700" w:type="dxa"/>
            <w:vAlign w:val="bottom"/>
          </w:tcPr>
          <w:p>
            <w:pPr>
              <w:ind w:left="84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6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9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860" w:type="dxa"/>
            <w:vAlign w:val="bottom"/>
          </w:tcPr>
          <w:p>
            <w:pPr>
              <w:ind w:left="276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2" w:lineRule="exact"/>
        <w:rPr>
          <w:sz w:val="24"/>
          <w:szCs w:val="24"/>
          <w:color w:val="auto"/>
        </w:rPr>
      </w:pPr>
    </w:p>
    <w:p>
      <w:pPr>
        <w:jc w:val="both"/>
        <w:ind w:right="20" w:firstLine="555"/>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ind w:left="560"/>
        <w:spacing w:after="0" w:line="150" w:lineRule="exact"/>
        <w:tabs>
          <w:tab w:leader="none" w:pos="6380" w:val="left"/>
          <w:tab w:leader="none" w:pos="68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64" w:lineRule="exact"/>
        <w:rPr>
          <w:sz w:val="24"/>
          <w:szCs w:val="24"/>
          <w:color w:val="auto"/>
        </w:rPr>
      </w:pPr>
    </w:p>
    <w:p>
      <w:pPr>
        <w:ind w:firstLine="555"/>
        <w:spacing w:after="0" w:line="230" w:lineRule="auto"/>
        <w:rPr>
          <w:sz w:val="20"/>
          <w:szCs w:val="20"/>
          <w:color w:val="auto"/>
        </w:rPr>
      </w:pPr>
      <w:r>
        <w:rPr>
          <w:rFonts w:ascii="Arial" w:cs="Arial" w:eastAsia="Arial" w:hAnsi="Arial"/>
          <w:sz w:val="13"/>
          <w:szCs w:val="13"/>
          <w:color w:val="auto"/>
        </w:rPr>
        <w:t>The aggregate market value of Common Stock held by non-affiliates of the registrant computed by reference to the price of the registrant’s Common Stock as of June 28, 2019, the last business day of the registrant’s most recently completed second fiscal quarter, was approximately $40.1 million (based on the last reported sale price on the Nasdaq Global Market as of such date). As of March 1, 2020, there were 37,469,596 shares of the registrant’s Common Stock, $0.001 par value per share, outstanding.</w:t>
      </w:r>
    </w:p>
    <w:p>
      <w:pPr>
        <w:spacing w:after="0" w:line="25" w:lineRule="exact"/>
        <w:rPr>
          <w:sz w:val="24"/>
          <w:szCs w:val="24"/>
          <w:color w:val="auto"/>
        </w:rPr>
      </w:pPr>
    </w:p>
    <w:p>
      <w:pPr>
        <w:ind w:left="45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4"/>
          <w:szCs w:val="24"/>
          <w:color w:val="auto"/>
        </w:rPr>
      </w:pPr>
    </w:p>
    <w:p>
      <w:pPr>
        <w:ind w:right="500" w:firstLine="555"/>
        <w:spacing w:after="0" w:line="237" w:lineRule="auto"/>
        <w:rPr>
          <w:sz w:val="20"/>
          <w:szCs w:val="20"/>
          <w:color w:val="auto"/>
        </w:rPr>
      </w:pPr>
      <w:r>
        <w:rPr>
          <w:rFonts w:ascii="Arial" w:cs="Arial" w:eastAsia="Arial" w:hAnsi="Arial"/>
          <w:sz w:val="13"/>
          <w:szCs w:val="13"/>
          <w:color w:val="auto"/>
        </w:rPr>
        <w:t>The registrant intends to file a definitive proxy statement pursuant to Regulation 14A within 120 days of the end of the fiscal year ended December 31, 2019. Portions of such definitive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8"/>
          </w:tcPr>
          <w:p>
            <w:pPr>
              <w:jc w:val="center"/>
              <w:ind w:right="3620"/>
              <w:spacing w:after="0"/>
              <w:rPr>
                <w:sz w:val="20"/>
                <w:szCs w:val="20"/>
                <w:color w:val="auto"/>
              </w:rPr>
            </w:pPr>
            <w:r>
              <w:rPr>
                <w:rFonts w:ascii="Arial" w:cs="Arial" w:eastAsia="Arial" w:hAnsi="Arial"/>
                <w:sz w:val="18"/>
                <w:szCs w:val="18"/>
                <w:b w:val="1"/>
                <w:bCs w:val="1"/>
                <w:color w:val="auto"/>
              </w:rPr>
              <w:t>ZAFGEN, INC.</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9"/>
              </w:rPr>
              <w:t>ANNUAL REPORT ON FORM 10-K</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6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63"/>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1.</w:t>
            </w:r>
          </w:p>
        </w:tc>
        <w:tc>
          <w:tcPr>
            <w:tcW w:w="640" w:type="dxa"/>
            <w:vAlign w:val="bottom"/>
            <w:tcBorders>
              <w:bottom w:val="single" w:sz="8" w:color="0000EE"/>
            </w:tcBorders>
          </w:tcPr>
          <w:p>
            <w:pPr>
              <w:spacing w:after="0" w:line="172"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360" w:type="dxa"/>
            <w:vAlign w:val="bottom"/>
            <w:gridSpan w:val="20"/>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1A.</w:t>
            </w:r>
          </w:p>
        </w:tc>
        <w:tc>
          <w:tcPr>
            <w:tcW w:w="900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1B.</w:t>
            </w: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47</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9000" w:type="dxa"/>
            <w:vAlign w:val="bottom"/>
            <w:gridSpan w:val="2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Unresolved Staff Comments</w:t>
              </w:r>
            </w:hyperlink>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Properties</w:t>
              </w:r>
            </w:hyperlink>
          </w:p>
        </w:tc>
        <w:tc>
          <w:tcPr>
            <w:tcW w:w="6960" w:type="dxa"/>
            <w:vAlign w:val="bottom"/>
            <w:gridSpan w:val="11"/>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3.</w:t>
            </w: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47</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7660" w:type="dxa"/>
            <w:vAlign w:val="bottom"/>
            <w:gridSpan w:val="16"/>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4.</w:t>
            </w:r>
          </w:p>
        </w:tc>
        <w:tc>
          <w:tcPr>
            <w:tcW w:w="9000" w:type="dxa"/>
            <w:vAlign w:val="bottom"/>
            <w:gridSpan w:val="2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60"/>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II</w:t>
            </w: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5.</w:t>
            </w:r>
          </w:p>
        </w:tc>
        <w:tc>
          <w:tcPr>
            <w:tcW w:w="8080" w:type="dxa"/>
            <w:vAlign w:val="bottom"/>
            <w:tcBorders>
              <w:bottom w:val="single" w:sz="8" w:color="0000EE"/>
            </w:tcBorders>
            <w:gridSpan w:val="20"/>
          </w:tcPr>
          <w:p>
            <w:pPr>
              <w:spacing w:after="0" w:line="17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6.</w:t>
            </w:r>
          </w:p>
        </w:tc>
        <w:tc>
          <w:tcPr>
            <w:tcW w:w="900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Selected Financial Data</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7.</w:t>
            </w: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50</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4"/>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209" w:lineRule="exact"/>
              <w:rPr>
                <w:sz w:val="20"/>
                <w:szCs w:val="20"/>
                <w:color w:val="auto"/>
              </w:rPr>
            </w:pPr>
            <w:r>
              <w:rPr>
                <w:rFonts w:ascii="Arial" w:cs="Arial" w:eastAsia="Arial" w:hAnsi="Arial"/>
                <w:sz w:val="20"/>
                <w:szCs w:val="20"/>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1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08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8.</w:t>
            </w:r>
          </w:p>
        </w:tc>
        <w:tc>
          <w:tcPr>
            <w:tcW w:w="900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rPr>
              <w:t>Item 9.</w:t>
            </w: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vMerge w:val="restart"/>
          </w:tcPr>
          <w:p>
            <w:pPr>
              <w:jc w:val="right"/>
              <w:ind w:right="20"/>
              <w:spacing w:after="0" w:line="209" w:lineRule="exact"/>
              <w:rPr>
                <w:sz w:val="20"/>
                <w:szCs w:val="20"/>
                <w:color w:val="auto"/>
              </w:rPr>
            </w:pPr>
            <w:r>
              <w:rPr>
                <w:rFonts w:ascii="Arial" w:cs="Arial" w:eastAsia="Arial" w:hAnsi="Arial"/>
                <w:sz w:val="20"/>
                <w:szCs w:val="20"/>
                <w:color w:val="auto"/>
              </w:rPr>
              <w:t>90</w:t>
            </w:r>
          </w:p>
        </w:tc>
        <w:tc>
          <w:tcPr>
            <w:tcW w:w="0" w:type="dxa"/>
            <w:vAlign w:val="bottom"/>
          </w:tcPr>
          <w:p>
            <w:pPr>
              <w:spacing w:after="0" w:line="20" w:lineRule="exact"/>
              <w:rPr>
                <w:sz w:val="1"/>
                <w:szCs w:val="1"/>
                <w:color w:val="auto"/>
              </w:rPr>
            </w:pPr>
          </w:p>
        </w:tc>
      </w:tr>
      <w:tr>
        <w:trPr>
          <w:trHeight w:val="210"/>
        </w:trPr>
        <w:tc>
          <w:tcPr>
            <w:tcW w:w="1360" w:type="dxa"/>
            <w:vAlign w:val="bottom"/>
            <w:gridSpan w:val="2"/>
            <w:vMerge w:val="continue"/>
          </w:tcPr>
          <w:p>
            <w:pPr>
              <w:spacing w:after="0"/>
              <w:rPr>
                <w:sz w:val="18"/>
                <w:szCs w:val="18"/>
                <w:color w:val="auto"/>
              </w:rPr>
            </w:pP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Changes in and Disagreements with Accountants on Accounting and Financial Disclosure</w:t>
              </w:r>
            </w:hyperlink>
          </w:p>
        </w:tc>
        <w:tc>
          <w:tcPr>
            <w:tcW w:w="2520" w:type="dxa"/>
            <w:vAlign w:val="bottom"/>
            <w:gridSpan w:val="3"/>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9A.</w:t>
            </w:r>
          </w:p>
        </w:tc>
        <w:tc>
          <w:tcPr>
            <w:tcW w:w="9000" w:type="dxa"/>
            <w:vAlign w:val="bottom"/>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Controls and Procedures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7240" w:type="dxa"/>
            <w:vAlign w:val="bottom"/>
            <w:gridSpan w:val="13"/>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60"/>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III</w:t>
            </w: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10.</w:t>
            </w:r>
          </w:p>
        </w:tc>
        <w:tc>
          <w:tcPr>
            <w:tcW w:w="4100" w:type="dxa"/>
            <w:vAlign w:val="bottom"/>
            <w:tcBorders>
              <w:bottom w:val="single" w:sz="8" w:color="0000EE"/>
            </w:tcBorders>
            <w:gridSpan w:val="14"/>
          </w:tcPr>
          <w:p>
            <w:pPr>
              <w:spacing w:after="0" w:line="172"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Directors, Executive Officers and Corporate Governance</w:t>
              </w:r>
            </w:hyperlink>
          </w:p>
        </w:tc>
        <w:tc>
          <w:tcPr>
            <w:tcW w:w="4900" w:type="dxa"/>
            <w:vAlign w:val="bottom"/>
            <w:gridSpan w:val="7"/>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209" w:lineRule="exact"/>
              <w:rPr>
                <w:sz w:val="20"/>
                <w:szCs w:val="20"/>
                <w:color w:val="auto"/>
              </w:rPr>
            </w:pPr>
            <w:r>
              <w:rPr>
                <w:rFonts w:ascii="Arial" w:cs="Arial" w:eastAsia="Arial" w:hAnsi="Arial"/>
                <w:sz w:val="20"/>
                <w:szCs w:val="20"/>
                <w:color w:val="auto"/>
              </w:rPr>
              <w:t>Item 11.</w:t>
            </w: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Executive Compensation</w:t>
              </w:r>
            </w:hyperlink>
          </w:p>
        </w:tc>
        <w:tc>
          <w:tcPr>
            <w:tcW w:w="10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560" w:type="dxa"/>
            <w:vAlign w:val="bottom"/>
            <w:gridSpan w:val="4"/>
          </w:tcPr>
          <w:p>
            <w:pPr>
              <w:spacing w:after="0"/>
              <w:rPr>
                <w:sz w:val="18"/>
                <w:szCs w:val="18"/>
                <w:color w:val="auto"/>
              </w:rPr>
            </w:pPr>
          </w:p>
        </w:tc>
        <w:tc>
          <w:tcPr>
            <w:tcW w:w="184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108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Security Ownership of Certain Beneficial Owners and Management and Related Stockholder Matters</w:t>
              </w:r>
            </w:hyperlink>
          </w:p>
        </w:tc>
        <w:tc>
          <w:tcPr>
            <w:tcW w:w="1700" w:type="dxa"/>
            <w:vAlign w:val="bottom"/>
            <w:gridSpan w:val="2"/>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Certain Relationships and Related Transactions, and Director Independence</w:t>
              </w:r>
            </w:hyperlink>
          </w:p>
        </w:tc>
        <w:tc>
          <w:tcPr>
            <w:tcW w:w="3540" w:type="dxa"/>
            <w:vAlign w:val="bottom"/>
            <w:gridSpan w:val="5"/>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14.</w:t>
            </w:r>
          </w:p>
        </w:tc>
        <w:tc>
          <w:tcPr>
            <w:tcW w:w="9000" w:type="dxa"/>
            <w:vAlign w:val="bottom"/>
            <w:gridSpan w:val="2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Principal Accounting Fees and Services</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60"/>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PART IV</w:t>
            </w: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spacing w:after="0" w:line="173" w:lineRule="exact"/>
              <w:rPr>
                <w:sz w:val="20"/>
                <w:szCs w:val="20"/>
                <w:color w:val="auto"/>
              </w:rPr>
            </w:pPr>
            <w:r>
              <w:rPr>
                <w:rFonts w:ascii="Arial" w:cs="Arial" w:eastAsia="Arial" w:hAnsi="Arial"/>
                <w:sz w:val="19"/>
                <w:szCs w:val="19"/>
                <w:color w:val="auto"/>
              </w:rPr>
              <w:t>Item 15.</w:t>
            </w:r>
          </w:p>
        </w:tc>
        <w:tc>
          <w:tcPr>
            <w:tcW w:w="2900" w:type="dxa"/>
            <w:vAlign w:val="bottom"/>
            <w:tcBorders>
              <w:bottom w:val="single" w:sz="8" w:color="0000EE"/>
            </w:tcBorders>
            <w:gridSpan w:val="12"/>
          </w:tcPr>
          <w:p>
            <w:pPr>
              <w:spacing w:after="0" w:line="17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Exhibits, Financial Statement Schedules</w:t>
              </w:r>
            </w:hyperlink>
          </w:p>
        </w:tc>
        <w:tc>
          <w:tcPr>
            <w:tcW w:w="6100" w:type="dxa"/>
            <w:vAlign w:val="bottom"/>
            <w:gridSpan w:val="9"/>
          </w:tcPr>
          <w:p>
            <w:pPr>
              <w:spacing w:after="0"/>
              <w:rPr>
                <w:sz w:val="16"/>
                <w:szCs w:val="16"/>
                <w:color w:val="auto"/>
              </w:rPr>
            </w:pPr>
          </w:p>
        </w:tc>
        <w:tc>
          <w:tcPr>
            <w:tcW w:w="1080" w:type="dxa"/>
            <w:vAlign w:val="bottom"/>
            <w:gridSpan w:val="2"/>
          </w:tcPr>
          <w:p>
            <w:pPr>
              <w:jc w:val="right"/>
              <w:ind w:right="20"/>
              <w:spacing w:after="0" w:line="173" w:lineRule="exact"/>
              <w:rPr>
                <w:sz w:val="20"/>
                <w:szCs w:val="20"/>
                <w:color w:val="auto"/>
              </w:rPr>
            </w:pPr>
            <w:r>
              <w:rPr>
                <w:rFonts w:ascii="Arial" w:cs="Arial" w:eastAsia="Arial" w:hAnsi="Arial"/>
                <w:sz w:val="19"/>
                <w:szCs w:val="19"/>
                <w:color w:val="auto"/>
              </w:rPr>
              <w:t>92</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sz w:val="20"/>
                <w:szCs w:val="20"/>
                <w:color w:val="auto"/>
              </w:rPr>
            </w:pPr>
            <w:r>
              <w:rPr>
                <w:rFonts w:ascii="Arial" w:cs="Arial" w:eastAsia="Arial" w:hAnsi="Arial"/>
                <w:sz w:val="20"/>
                <w:szCs w:val="20"/>
                <w:color w:val="auto"/>
              </w:rPr>
              <w:t>Item 16.</w:t>
            </w:r>
          </w:p>
        </w:tc>
        <w:tc>
          <w:tcPr>
            <w:tcW w:w="9000" w:type="dxa"/>
            <w:vAlign w:val="bottom"/>
            <w:gridSpan w:val="2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Form 10-K Summary</w:t>
              </w:r>
            </w:hyperlink>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line="189"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912"/>
        </w:trPr>
        <w:tc>
          <w:tcPr>
            <w:tcW w:w="1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460" w:type="dxa"/>
            <w:vAlign w:val="bottom"/>
            <w:gridSpan w:val="16"/>
          </w:tcPr>
          <w:p>
            <w:pPr>
              <w:jc w:val="center"/>
              <w:ind w:left="315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5" w:lineRule="exact"/>
        <w:rPr>
          <w:sz w:val="20"/>
          <w:szCs w:val="20"/>
          <w:color w:val="auto"/>
        </w:rPr>
      </w:pPr>
    </w:p>
    <w:p>
      <w:pPr>
        <w:ind w:left="1100" w:hanging="4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expectations regarding the merger with Chondrial Therapeutics, Inc., including the expected completion of the merger;</w:t>
      </w:r>
    </w:p>
    <w:p>
      <w:pPr>
        <w:spacing w:after="0" w:line="128" w:lineRule="exact"/>
        <w:rPr>
          <w:rFonts w:ascii="Arial" w:cs="Arial" w:eastAsia="Arial" w:hAnsi="Arial"/>
          <w:sz w:val="17"/>
          <w:szCs w:val="17"/>
          <w:color w:val="auto"/>
        </w:rPr>
      </w:pPr>
    </w:p>
    <w:p>
      <w:pPr>
        <w:ind w:left="1100" w:hanging="403"/>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strategies, goals, prospects, plans, expectations, forecasts or objectives of with Chondrial Therapeutics, Inc. or the combined company;</w:t>
      </w:r>
    </w:p>
    <w:p>
      <w:pPr>
        <w:spacing w:after="0" w:line="140" w:lineRule="exact"/>
        <w:rPr>
          <w:rFonts w:ascii="Arial" w:cs="Arial" w:eastAsia="Arial" w:hAnsi="Arial"/>
          <w:sz w:val="16"/>
          <w:szCs w:val="16"/>
          <w:color w:val="auto"/>
        </w:rPr>
      </w:pPr>
    </w:p>
    <w:p>
      <w:pPr>
        <w:ind w:left="1100" w:hanging="4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executive, financial and strategic alternatives teams;</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de-listing from the NASDAQ Global Market; and</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25"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We are a biopharmaceutical company that has leveraged our proprietary methionine aminopeptidase 2, or MetAP2, biology platform to pioneer the study of MetAP2 inhibitors in both common and rare metabolic disorders.</w:t>
      </w:r>
    </w:p>
    <w:p>
      <w:pPr>
        <w:spacing w:after="0" w:line="170"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 xml:space="preserve">Our prior lead product candidate, ZGN-1061, is a MetAP2 inhibitor that was in Phase 2 clinical development for the treatment of type 2 diabetes and other related metabolic disorders. In November 2018, we received a letter from the U.S. Food and Drug Administration, or FDA, placing a full clinical hold on the investigational new drug application, or IND, for the first U.S. clinical trial of ZGN-1061. The FDA cited the possibility of cardiovascular, or CV, safety risk based on our prior compound. In July 2019, we reached agreement with the FDA 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animal study design and protocol to establish relevant safety margins for ZGN-1061. The study was designed to translate the data from our newly developed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endothelial cells and assessment of tissue factor expression with endothelial cells, along with other supportive assays, as we worked toward resolving the full clinical hold. Based on the preliminary results from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on September 5, 2019, we announced that we believe there is a low probability of resolving the clinical hold in the near-term. Subsequently, all further development activities of MetAP2 inhibitors were halted and we withdrew the IND for ZGN-1061 in September 2019. Therefore, we determined that it is in the best interest of shareholders to evaluate strategic alternatives and implemented a restructuring plan to reduce operating costs and better align our workforce with our needs.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ind w:firstLine="555"/>
        <w:spacing w:after="0" w:line="290" w:lineRule="auto"/>
        <w:rPr>
          <w:sz w:val="20"/>
          <w:szCs w:val="20"/>
          <w:color w:val="auto"/>
        </w:rPr>
      </w:pPr>
      <w:r>
        <w:rPr>
          <w:rFonts w:ascii="Arial" w:cs="Arial" w:eastAsia="Arial" w:hAnsi="Arial"/>
          <w:sz w:val="16"/>
          <w:szCs w:val="16"/>
          <w:color w:val="auto"/>
        </w:rPr>
        <w:t>Following an extensive process of evaluating strategic alternatives for the company and identifying and reviewing potential candidates for a strategic acquisition or other transaction, on December 17, 2019, we entered into an Agreement and Plan of Merger, or the Merger Agreement, with Chondrial Therapeutics, Inc., or Chondrial, pursuant to which a wholly owned subsidiary of the company will merge with and into Chondrial, with Chondrial continuing as the surviving corporation of the merger and a wholly owned subsidiary of the company. Under the exchange ratio formula in the Merger Agreement, as of immediately after the merger, the former Chondrial securityholders are expected to own approximately 60% of the outstanding shares of our common stock on a fully-diluted basis and our stockholders as of immediately prior to the merger are expected to own approximately 40% of the outstanding shares of our common stock on a fully-diluted basis. Under certain circumstances further described in the Merger Agreement, the ownership percentages may be adjusted upward or downward based on the level of our net cash at the closing of the merger and certain other adjustments.</w:t>
      </w:r>
    </w:p>
    <w:p>
      <w:pPr>
        <w:spacing w:after="0" w:line="166"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Merger Agreement provides each of us and Chondrial with specified termination rights, and further provides that, upon termination of the Merger Agreement under specified circumstances, either party may be required to pay the other party a termination fee of $3,375,000. In addition, in connection with certain terminations of the Merger Agreement, either party may be required to pay the other party’s third party expenses up to $350,000. In connection with the merger, we will seek to amend our certificate of incorporation to: (i) effect a reverse split of our common stock at a ratio to be determined by us and Chondrial, which is intended to ensure that the listing requirements of the Nasdaq Global Market are satisfied and (ii) change the name of Zafgen to “Larimar Therapeutics, Inc.”</w:t>
      </w:r>
    </w:p>
    <w:p>
      <w:pPr>
        <w:spacing w:after="0" w:line="193"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Our and Chondrial’s obligations to consummate the merger are subject to the satisfaction or waiver of customary closing conditions, including, among others, obtaining the requisite approvals of our stockholders and satisfaction of minimum net cash thresholds of $30,000,000 by us and not less than zero by Chondrial. The sole stockholder of Chondrial has approved the Merger Agreement. In connection with the execution of the Merger Agreement, we entered into stockholder support agreements with our current directors and certain officers and our largest stockholder, which collectively beneficially own or control an aggregate of approximately 9.7% of our outstanding shares of common stock. Each of the stockholders party to such stockholder support agreements has agreed to vote or cause to be voted, all of the shares of our common stock beneficially owned by such stockholder in favor of the stockholder proposals submitted at our stockholders meeting to be held in connection with the merger.</w:t>
      </w:r>
    </w:p>
    <w:p>
      <w:pPr>
        <w:spacing w:after="0" w:line="178" w:lineRule="exact"/>
        <w:rPr>
          <w:sz w:val="20"/>
          <w:szCs w:val="20"/>
          <w:color w:val="auto"/>
        </w:rPr>
      </w:pPr>
    </w:p>
    <w:p>
      <w:pPr>
        <w:jc w:val="both"/>
        <w:ind w:right="380" w:firstLine="555"/>
        <w:spacing w:after="0" w:line="264" w:lineRule="auto"/>
        <w:rPr>
          <w:sz w:val="20"/>
          <w:szCs w:val="20"/>
          <w:color w:val="auto"/>
        </w:rPr>
      </w:pPr>
      <w:r>
        <w:rPr>
          <w:rFonts w:ascii="Arial" w:cs="Arial" w:eastAsia="Arial" w:hAnsi="Arial"/>
          <w:sz w:val="18"/>
          <w:szCs w:val="18"/>
          <w:color w:val="auto"/>
        </w:rPr>
        <w:t>We expect to devote significant time and resources to the completion of the merger with Chondrial. However, there can be no assurance that such activities will result in the completion of the merger. Further, the completion of the merger ultimately may not deliver the anticipated benefits or enhance shareholder value.</w:t>
      </w:r>
    </w:p>
    <w:p>
      <w:pPr>
        <w:spacing w:after="0" w:line="181" w:lineRule="exact"/>
        <w:rPr>
          <w:sz w:val="20"/>
          <w:szCs w:val="20"/>
          <w:color w:val="auto"/>
        </w:rPr>
      </w:pPr>
    </w:p>
    <w:p>
      <w:pPr>
        <w:ind w:right="40" w:firstLine="555"/>
        <w:spacing w:after="0" w:line="253" w:lineRule="auto"/>
        <w:rPr>
          <w:sz w:val="20"/>
          <w:szCs w:val="20"/>
          <w:color w:val="auto"/>
        </w:rPr>
      </w:pPr>
      <w:r>
        <w:rPr>
          <w:rFonts w:ascii="Arial" w:cs="Arial" w:eastAsia="Arial" w:hAnsi="Arial"/>
          <w:sz w:val="18"/>
          <w:szCs w:val="18"/>
          <w:color w:val="auto"/>
        </w:rPr>
        <w:t>Since our inception in November 2005, we have devoted substantially all of our resources to developing ZGN-1061, ZGN-1258, ZGN-1345, beloranib, ZGN-839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In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97"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We have never generated any revenue and have incurred net losses in each year since our inception. We have an accumulated deficit of $396.4 million as of December 31, 2019. Our net loss was $45.4 million for the year ended December 31, 2019 and $61.4 million for the year ended December 31, 2018. These losses have resulted principally from costs incurred in connection with in-licensing of technology, research and development activities and general and administrative costs associated with our operations. We expect to incur significant expenses and operating losses for the foreseeable future.</w:t>
      </w:r>
    </w:p>
    <w:p>
      <w:pPr>
        <w:spacing w:after="0" w:line="154"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future product candidates, if any, obtain adequate patent protection for our technology, obtain necessary regulatory approval for our future product candidates, if any,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ind w:right="80" w:firstLine="555"/>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December 31, 2019 will enable us to fund our operating expenses, capital expenditure requirements and minimum liquidity requirements associated with our debt facility for a period of at least one year from the issuance date of this Annual Report. See “—Liquidity and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Based on our early stage of development, we have not yet established commercial organization or distribution capabilities, nor have we entered into any partnership or co-promotion arrangements with an established pharmaceutical or biotechnology company. To develop the appropriate commercial infrastructure to launch our future product candidates, if any, we may either do so on our own or by establishing alliances with one or more pharmaceutical or other biotechnology company collaborators, depending on, among other things, the applicable indications, the related development costs and our available resources.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CKD License</w:t>
      </w:r>
    </w:p>
    <w:p>
      <w:pPr>
        <w:spacing w:after="0" w:line="117" w:lineRule="exact"/>
        <w:rPr>
          <w:sz w:val="20"/>
          <w:szCs w:val="20"/>
          <w:color w:val="auto"/>
        </w:rPr>
      </w:pPr>
    </w:p>
    <w:p>
      <w:pPr>
        <w:ind w:right="140" w:firstLine="555"/>
        <w:spacing w:after="0" w:line="288" w:lineRule="auto"/>
        <w:rPr>
          <w:sz w:val="20"/>
          <w:szCs w:val="20"/>
          <w:color w:val="auto"/>
        </w:rPr>
      </w:pPr>
      <w:r>
        <w:rPr>
          <w:rFonts w:ascii="Arial" w:cs="Arial" w:eastAsia="Arial" w:hAnsi="Arial"/>
          <w:sz w:val="16"/>
          <w:szCs w:val="16"/>
          <w:color w:val="auto"/>
        </w:rPr>
        <w:t>In July 2009, we entered into an Exclusive License Agreement with Chong Kun Dang Pharmaceutical Corp. of South Korea, or CKD, pursuant to which we exclusively licensed beloranib from CKD on a worldwide basis, with the exception of South Korea. In consideration of such exclusive license, we paid an initial license fee to CKD, paid a one-time fee following initiation of a proof of concept trial, agreed to make milestone payments of up to</w:t>
      </w:r>
    </w:p>
    <w:p>
      <w:pPr>
        <w:jc w:val="both"/>
        <w:ind w:right="60"/>
        <w:spacing w:after="0" w:line="288" w:lineRule="auto"/>
        <w:rPr>
          <w:sz w:val="20"/>
          <w:szCs w:val="20"/>
          <w:color w:val="auto"/>
        </w:rPr>
      </w:pPr>
      <w:r>
        <w:rPr>
          <w:rFonts w:ascii="Arial" w:cs="Arial" w:eastAsia="Arial" w:hAnsi="Arial"/>
          <w:sz w:val="16"/>
          <w:szCs w:val="16"/>
          <w:color w:val="auto"/>
        </w:rPr>
        <w:t>$30.0 million (of which $7.5 million has been paid, including $3.3 million that was paid in the form of our common stock (valued at $3.6 million) as a result of an amendment to our license agreement and entry into a subscription agreement with CKD) to CKD upon the achievement of certain specified events, and agreed to pay a portion of sublicensing income to CKD. Furthermore, we agreed that if we receive marketing approval for beloranib, we will pay single-digit royalties to CKD based on annual net sales of beloranib on a country-by-country and product-by-product basis until the later to occur of (i) the expiration of the last to expire patent in such country within the CKD patent rights containing a valid claim covering beloranib or its use for which regulatory approval has been obtained in such country, or (ii) ten years from the first commercial sale of beloranib in such country. Pursuant to this agreement, we committed to using commercially reasonable efforts to develop and commercialize beloranib. During the fourth quarter of 2019 we terminated this agreement.</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Children’s License</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January 2007, we entered into an Exclusive License Agreement with Children’s Medical Center Corporation, or Children’s, pursuant to which we exclusively licensed certain patent rights from Children’s on a worldwide basis. The licensed patent rights relate to decreasing the growth of fat tissue. In consideration of such exclusive license, we paid an initial license fee upon execution of the license to Children’s and annual maintenance fees through the fifth anniversary of the date of the license. We also agreed to make milestone payments to Children’s of up to $2.7 million (of which $0.4 million has been paid) with respect to the first licensed product and up to $1.3 million with respect to each subsequent licensed product, if any, that is a new chemical entity upon the achievement of certain specified events and to pay a portion of sublicensing income to Children’s. We also agreed that this agreement will remain in effect for the longer of (i) 15 years or (ii) the life of the last expiring licensed patent, subject to earlier termination (x) by Children’s in the event of our insolvency or our failure to cure a breach within 60 days (30 days in the case of non-payment) of receiving written notice thereof, or (y) by us for any reason upon 120 days’ prior written notice. During the fourth quarter of 2019 we provided this written notice, indicating that this agreement will be terminated by the end of the first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and maintaining patents intended to cover our future product candidate, if any, and compositions, their methods of use and any other inventions that are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740" w:firstLine="555"/>
        <w:spacing w:after="0" w:line="277" w:lineRule="auto"/>
        <w:rPr>
          <w:sz w:val="20"/>
          <w:szCs w:val="20"/>
          <w:color w:val="auto"/>
        </w:rPr>
      </w:pPr>
      <w:r>
        <w:rPr>
          <w:rFonts w:ascii="Arial" w:cs="Arial" w:eastAsia="Arial" w:hAnsi="Arial"/>
          <w:sz w:val="18"/>
          <w:szCs w:val="18"/>
          <w:color w:val="auto"/>
        </w:rPr>
        <w:t>As of February 29, 2020, we own thirty-eight issued U.S. patents, all of which relate to our internal efforts to discover and discover MetAP2 inhibitors.</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non-provisional application. In the United States, a patent’s term may be lengthened by patent term adjustment, which compensates a patentee for administrative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t>delays by the U.S. Patent and Trademark Office, or U.S. PTO,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The duration of foreign patents varies in accordance with provisions of applicable local law, but typically is also twenty years from the earliest effective filing date. Our issued patents will expire on dates ranging from 2029 to 2036. However, the actual protection afforded by a patent varies on a claim by claim and country to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92"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United States. The patent situation outside the United States is even more uncertain. Changes in either the patent laws or in interpretations of patent laws in the United States and other countries can diminish our ability to protect our inventions, and enforce our intellectual property rights and more generally, could affect the value of intellectual property. Accordingly, we cannot predict the breadth of claims that may be allowed or enforced in our patents or in third-party patents.</w:t>
      </w:r>
    </w:p>
    <w:p>
      <w:pPr>
        <w:spacing w:after="0" w:line="19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82"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As a result of the America Invents Act of 2011, the United States transitioned to a first-inventor-to-file system in March 2013, under which, assuming the other requirements for patentability are met, the first inventor to file a patent application will be entitled to the patent. This will require us to minimize the time from invention to the filing of a patent application.</w:t>
      </w:r>
    </w:p>
    <w:p>
      <w:pPr>
        <w:spacing w:after="0" w:line="181"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more information, see “Risk Factors—Risks Related to our Intellectual Property.”</w:t>
      </w:r>
    </w:p>
    <w:p>
      <w:pPr>
        <w:spacing w:after="0" w:line="166"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if any, may have a material adverse impact on us. If third parties prepare and file patent applications in the United States that also claim technology to which we have rights, we may have to participate in interference proceedings in the U.S. PTO, to determine priority of invention.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future product candidates, if any, or address similar markets. It is probable that the number of companies seeking to develop products and therapies similar to our future product candidates, if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right="80"/>
        <w:spacing w:after="0" w:line="264" w:lineRule="auto"/>
        <w:rPr>
          <w:sz w:val="20"/>
          <w:szCs w:val="20"/>
          <w:color w:val="auto"/>
        </w:rPr>
      </w:pPr>
      <w:r>
        <w:rPr>
          <w:rFonts w:ascii="Arial" w:cs="Arial" w:eastAsia="Arial" w:hAnsi="Arial"/>
          <w:sz w:val="18"/>
          <w:szCs w:val="18"/>
          <w:color w:val="auto"/>
        </w:rPr>
        <w:t>any, will increase. Many of these and other existing or potential competitors have substantially greater financial, technical and human resources than we do and may be better equipped to develop, manufacture and market products. These competitors may develop and introduce products and processes comparable or superior to ours.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such regulatory authority.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applicable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untitled or warning letters, voluntary product recalls,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9"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color w:val="auto"/>
        </w:rPr>
        <w:t>Our future product candidates, if any, must be approved by the FDA through the New Drug Application, or NDA, process before they may be legally marketed in the United States. The process required by the FDA before a drug may be marketed in the United States generally involves the following:</w:t>
      </w:r>
    </w:p>
    <w:p>
      <w:pPr>
        <w:spacing w:after="0" w:line="16" w:lineRule="exact"/>
        <w:rPr>
          <w:sz w:val="20"/>
          <w:szCs w:val="20"/>
          <w:color w:val="auto"/>
        </w:rPr>
      </w:pPr>
    </w:p>
    <w:p>
      <w:pPr>
        <w:ind w:left="1120" w:right="740" w:hanging="558"/>
        <w:spacing w:after="0" w:line="308"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Completion of extensive nonclinical, sometimes referred to as nonclinical laboratory tests, animal studies and formulation studies in accordance with applicable regulations, including the FDA’s Good Laboratory Practice, or GLP, regulations;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in the United States;</w:t>
      </w:r>
    </w:p>
    <w:p>
      <w:pPr>
        <w:spacing w:after="0" w:line="117" w:lineRule="exact"/>
        <w:rPr>
          <w:rFonts w:ascii="Arial" w:cs="Arial" w:eastAsia="Arial" w:hAnsi="Arial"/>
          <w:sz w:val="18"/>
          <w:szCs w:val="18"/>
          <w:color w:val="auto"/>
        </w:rPr>
      </w:pPr>
    </w:p>
    <w:p>
      <w:pPr>
        <w:ind w:left="1120" w:right="66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17" w:lineRule="exact"/>
        <w:rPr>
          <w:rFonts w:ascii="Arial" w:cs="Arial" w:eastAsia="Arial" w:hAnsi="Arial"/>
          <w:sz w:val="18"/>
          <w:szCs w:val="18"/>
          <w:color w:val="auto"/>
        </w:rPr>
      </w:pPr>
    </w:p>
    <w:p>
      <w:pPr>
        <w:ind w:left="1120" w:right="4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or cGMP, requirements to assure that the facilities, methods and controls are adequate to preserve the drug’s identity, strength, quality and purity;</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FDA audit of the nonclinical study and/or clinical trial sites that generated the data in support of the NDA;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where applicable.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in the United States. The IND automatically becomes effective 30 days after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 w:name="page8"/>
    <w:bookmarkEnd w:id="7"/>
    <w:p>
      <w:pPr>
        <w:ind w:right="120"/>
        <w:spacing w:after="0" w:line="257" w:lineRule="auto"/>
        <w:rPr>
          <w:sz w:val="20"/>
          <w:szCs w:val="20"/>
          <w:color w:val="auto"/>
        </w:rPr>
      </w:pPr>
      <w:r>
        <w:rPr>
          <w:rFonts w:ascii="Arial" w:cs="Arial" w:eastAsia="Arial" w:hAnsi="Arial"/>
          <w:sz w:val="18"/>
          <w:szCs w:val="18"/>
          <w:color w:val="auto"/>
        </w:rPr>
        <w:t>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clinical trial to be suspended or terminated.</w:t>
      </w:r>
    </w:p>
    <w:p>
      <w:pPr>
        <w:spacing w:after="0" w:line="188"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The clinical stage of development involves the administration of the drug candidate to healthy volunteers or patients under the supervision of qualified investigators, generally physicians not employed by or under the clinical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clinical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69"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Clinical trials are generally conducted in three sequential phases that may overlap, known as Phase 1, Phase 2 and Phase 3 clinical trials. 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product for its intended use, its safety in use, and to establish the overall benefit/risk relationship of the product and provide an adequate basis for physician labeling.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an NDA, although additional Phase 3 clinical trials may be required for certain indications.</w:t>
      </w:r>
    </w:p>
    <w:p>
      <w:pPr>
        <w:spacing w:after="0" w:line="18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clinical trials are used to gain additional experience from the treatment of patients in the intended therapeutic indication. In certain instances, the FDA may mandate the performance of Phase 4 clinical trials.</w:t>
      </w:r>
    </w:p>
    <w:p>
      <w:pPr>
        <w:spacing w:after="0" w:line="181"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Progress reports detailing the results of the clinical trials conducted under an IND must be submitted at least annually to the FDA. Within 15 calendar days after the sponsor determines that the information qualifies for reporting, written IND safety reports must be submitted to the FDA and the investigators for serious and unexpected suspected adverse events, findings from animal or in vitro testing or other studies that suggest a significant risk for human subjects and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clinical trial may move forward at designated check points based on access to certain data from the clinical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manufacturers, among other things, must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20"/>
        <w:spacing w:after="0" w:line="308" w:lineRule="auto"/>
        <w:rPr>
          <w:sz w:val="20"/>
          <w:szCs w:val="20"/>
          <w:color w:val="auto"/>
        </w:rPr>
      </w:pPr>
      <w:r>
        <w:rPr>
          <w:rFonts w:ascii="Arial" w:cs="Arial" w:eastAsia="Arial" w:hAnsi="Arial"/>
          <w:sz w:val="17"/>
          <w:szCs w:val="17"/>
          <w:color w:val="auto"/>
        </w:rPr>
        <w:t>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4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117"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Following clinical trial completion, clinical trial data are analyzed to assess safety and efficacy. The results of nonclinical studies and clinical trials are then submitted to the FDA as part of an NDA, along with proposed labeling for the product and information about the manufacturing process and facilities that will be used to ensure product quality, results of analytical testing conducted on the chemistry of the drug, and other relevant information. The NDA is a request for approval to market the drug and must contain proof of safety and efficacy, which is demonstrated by extensive nonclinical and clinical testing. The application includes both negative or ambiguous results of nonclinical studies and clinical trials as well as positive findings. Data may come from company-sponsored clinical trials intended to test the safety and efficacy of a use of a product,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95"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Under the Prescription Drug User Fee Act, or PDUFA, as amended, each NDA must be accompanied by a user fee. The FDA adjusts the PDUFA user fees on an annual basis. According to the FDA’s fee schedule for fiscal year 2020, the user fee for an application requiring clinical data, such as an NDA, is $2,942,965. PDUFA also imposes an annual prescription drug product program fee for human drugs of $325,424.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3"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new molecular-entity NDA and respond to the applicant, and six months from the filing date for a priority new molecular-entity NDA. The FDA does not always meet its PDUFA goal dates for standard and priority NDAs, and the review process is often significantly extended by FDA requests for additional information or clarification.</w:t>
      </w:r>
    </w:p>
    <w:p>
      <w:pPr>
        <w:spacing w:after="0" w:line="193"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79" w:lineRule="exact"/>
        <w:rPr>
          <w:sz w:val="20"/>
          <w:szCs w:val="20"/>
          <w:color w:val="auto"/>
        </w:rPr>
      </w:pPr>
    </w:p>
    <w:p>
      <w:pPr>
        <w:ind w:right="160" w:firstLine="555"/>
        <w:spacing w:after="0" w:line="272"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withdraw the application, or request an opportunity for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93"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drug safety and effectiveness and may require testing and surveillance programs to monitor the safety of approved products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future product candidates, if any, for seven years if a competitor obtains approval of the same drug product as defined by the FDA or if our product candidate, if any,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 has similar, but not identical, benefits.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biological products that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firstLine="555"/>
        <w:spacing w:after="0" w:line="277"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w:t>
      </w:r>
    </w:p>
    <w:p>
      <w:pPr>
        <w:spacing w:after="0" w:line="170"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Any product is eligible for priority review if it treats a serious or life-threatening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w:t>
      </w:r>
    </w:p>
    <w:p>
      <w:pPr>
        <w:spacing w:after="0" w:line="181"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that can be measured earlier than irreversible morbidity or mortality, or IMM, that is reasonably likely to predict an effect on IMM or other clinical benefit. As a condition of approval, the FDA may require that a sponsor of a drug or biological product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59"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 restricted to certain facilities or physicians with special training or experience;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pacing w:after="0" w:line="225" w:lineRule="exact"/>
        <w:rPr>
          <w:sz w:val="20"/>
          <w:szCs w:val="20"/>
          <w:color w:val="auto"/>
        </w:rPr>
      </w:pPr>
    </w:p>
    <w:p>
      <w:pPr>
        <w:jc w:val="both"/>
        <w:ind w:right="40" w:firstLine="555"/>
        <w:spacing w:after="0" w:line="342" w:lineRule="auto"/>
        <w:rPr>
          <w:sz w:val="20"/>
          <w:szCs w:val="20"/>
          <w:color w:val="auto"/>
        </w:rPr>
      </w:pPr>
      <w:r>
        <w:rPr>
          <w:rFonts w:ascii="Arial" w:cs="Arial" w:eastAsia="Arial" w:hAnsi="Arial"/>
          <w:sz w:val="16"/>
          <w:szCs w:val="16"/>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w:t>
      </w:r>
    </w:p>
    <w:p>
      <w:pPr>
        <w:spacing w:after="0" w:line="124"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Additionally, a drug or biological product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Pediatric Clinical Trials</w:t>
      </w:r>
    </w:p>
    <w:p>
      <w:pPr>
        <w:spacing w:after="0" w:line="117" w:lineRule="exact"/>
        <w:rPr>
          <w:sz w:val="20"/>
          <w:szCs w:val="20"/>
          <w:color w:val="auto"/>
        </w:rPr>
      </w:pPr>
    </w:p>
    <w:p>
      <w:pPr>
        <w:ind w:right="580" w:firstLine="555"/>
        <w:spacing w:after="0" w:line="312" w:lineRule="auto"/>
        <w:rPr>
          <w:sz w:val="20"/>
          <w:szCs w:val="20"/>
          <w:color w:val="auto"/>
        </w:rPr>
      </w:pPr>
      <w:r>
        <w:rPr>
          <w:rFonts w:ascii="Arial" w:cs="Arial" w:eastAsia="Arial" w:hAnsi="Arial"/>
          <w:sz w:val="16"/>
          <w:szCs w:val="16"/>
          <w:color w:val="auto"/>
        </w:rPr>
        <w:t>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47"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The FDCA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117"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Following approval of a new product, a pharmaceutical or biotechnology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ind w:right="320"/>
        <w:spacing w:after="0" w:line="255" w:lineRule="auto"/>
        <w:rPr>
          <w:sz w:val="20"/>
          <w:szCs w:val="20"/>
          <w:color w:val="auto"/>
        </w:rPr>
      </w:pPr>
      <w:r>
        <w:rPr>
          <w:rFonts w:ascii="Arial" w:cs="Arial" w:eastAsia="Arial" w:hAnsi="Arial"/>
          <w:sz w:val="18"/>
          <w:szCs w:val="18"/>
          <w:color w:val="auto"/>
        </w:rPr>
        <w:t>promoting drugs for uses or in patient populations that are not described in the drug’s approved labeling (known as “off-label use”), and requirements for promotional activities involving the internet. The FDA also imposes limitations on industry-sponsored scientific and educational activities. Although physicians may prescribe legally available drugs for off-label uses, manufacturers may not market or promote such off-label uses. Prescription drug promotional materials must be submitted to the FDA in conjunction with their first use. Modifications or enhancements to the product or its labeling or changes of the site of manufacture are often subject to the approval of the FDA and other regulators, which may or may not be received or may result in a lengthy review process.</w:t>
      </w:r>
    </w:p>
    <w:p>
      <w:pPr>
        <w:spacing w:after="0" w:line="193"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Any distribution of prescription drug products and pharmaceutical samples must comply with the U.S. Prescription Drug Marketing Act, or the PDMA, a part of the FDCA.</w:t>
      </w:r>
    </w:p>
    <w:p>
      <w:pPr>
        <w:spacing w:after="0" w:line="170"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facilities, which are inspected as part of the FDA’s review of the NDA, and in accordance with cGMP.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voluntary recall or withdrawal of the product from the market.</w:t>
      </w:r>
    </w:p>
    <w:p>
      <w:pPr>
        <w:spacing w:after="0" w:line="175"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The FDA also may require post-approval testing, sometimes referred to as Phase 4 testing, risk minimization action plans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future product candidates, if any, under development.</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83"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 w:name="page13"/>
    <w:bookmarkEnd w:id="12"/>
    <w:p>
      <w:pPr>
        <w:ind w:right="80" w:firstLine="555"/>
        <w:spacing w:after="0" w:line="255"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jc w:val="both"/>
        <w:ind w:right="40" w:firstLine="8"/>
        <w:spacing w:after="0" w:line="255"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future our manufacturing arrangements, if any; (ii) additions or modifications to product labeling; (iii) the voluntary recall or discontinuation of our future product candidates, if any; or (iv) additional record-keeping requirements. If any such changes were to be imposed, they could adversely affect the operation of our business.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Depending upon the timing, duration and specifics of the FDA approval of our future product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minus any time the applicant did not act with due diligence.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69"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pediatric trials in accordance with an FDA-issued “Written Request” for such clinical trials.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In the EU our future products, if any, may also be subject to extensive regulatory requirements. As in the United States, medicinal products can only be marketed if a marketing authorization from the competent regulatory agencies has been obtained.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80" w:firstLine="555"/>
        <w:spacing w:after="0" w:line="268" w:lineRule="auto"/>
        <w:rPr>
          <w:sz w:val="20"/>
          <w:szCs w:val="20"/>
          <w:color w:val="auto"/>
        </w:rPr>
      </w:pPr>
      <w:r>
        <w:rPr>
          <w:rFonts w:ascii="Arial" w:cs="Arial" w:eastAsia="Arial" w:hAnsi="Arial"/>
          <w:sz w:val="17"/>
          <w:szCs w:val="17"/>
          <w:color w:val="auto"/>
        </w:rPr>
        <w:t>Similar to the United States, the various phases of nonclinical and clinical research in the EU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clinical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 In April 2014, the EU adopted a new Clinical Trials Regulation (EU) No 536/2014, which is set to replace the current Clinical Trials Directive 2001/20/EC. It will overhaul the current system of approvals for clinical trials in the EU. Specifically, the new legislation, which will be directly applicable in all member states,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apply following confirmation of full functionality of the Clinical Trials Information System, the centralized EU portal and database for clinical trials foreseen by the regulation, through an independent audit.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17" w:lineRule="exact"/>
        <w:rPr>
          <w:sz w:val="20"/>
          <w:szCs w:val="20"/>
          <w:color w:val="auto"/>
        </w:rPr>
      </w:pPr>
    </w:p>
    <w:p>
      <w:pPr>
        <w:ind w:right="720" w:firstLine="555"/>
        <w:spacing w:after="0" w:line="264" w:lineRule="auto"/>
        <w:rPr>
          <w:sz w:val="20"/>
          <w:szCs w:val="20"/>
          <w:color w:val="auto"/>
        </w:rPr>
      </w:pPr>
      <w:r>
        <w:rPr>
          <w:rFonts w:ascii="Arial" w:cs="Arial" w:eastAsia="Arial" w:hAnsi="Arial"/>
          <w:sz w:val="18"/>
          <w:szCs w:val="18"/>
          <w:color w:val="auto"/>
        </w:rPr>
        <w:t>In the U.K. and the European Economic Area, or EEA, which is comprised of the 27 Member States of the EU plus Norway, Iceland and Liechtenstein, medicinal products can only be commercialized after obtaining a Marketing Authorization, or MA. There are two types of marketing authorizations:</w:t>
      </w:r>
    </w:p>
    <w:p>
      <w:pPr>
        <w:spacing w:after="0" w:line="18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7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SmPC, and a draft of the labeling and package leaflet, which are sent to the other Member States (referred to as the Member States Concerned) for their approval. If the Member States Concerned raise no objections, based on a potential serious risk to public health, to the assessment, SmPC, labeling, or packaging proposed by the RMS, the product is subsequently granted a national MA in all the Member States (i.e. in the RMS and the Member States Concerned).</w:t>
      </w:r>
    </w:p>
    <w:p>
      <w:pPr>
        <w:spacing w:after="0" w:line="178" w:lineRule="exact"/>
        <w:rPr>
          <w:sz w:val="20"/>
          <w:szCs w:val="20"/>
          <w:color w:val="auto"/>
        </w:rPr>
      </w:pPr>
    </w:p>
    <w:p>
      <w:pPr>
        <w:ind w:right="340" w:firstLine="555"/>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New Chemical Entity Exclusivity</w:t>
      </w:r>
    </w:p>
    <w:p>
      <w:pPr>
        <w:spacing w:after="0" w:line="117"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In the EU,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 w:name="page15"/>
    <w:bookmarkEnd w:id="14"/>
    <w:p>
      <w:pPr>
        <w:ind w:left="560"/>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117"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In the EU, the European Commission, upon the recommendation of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medicinal product.</w:t>
      </w:r>
    </w:p>
    <w:p>
      <w:pPr>
        <w:spacing w:after="0" w:line="17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 the EU,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Sales of our future product candidates, if any,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w:t>
      </w:r>
    </w:p>
    <w:p>
      <w:pPr>
        <w:spacing w:after="0" w:line="18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future product candidates, if any, or a decision by a third-party payor to not cover our future product candidates, if any, could reduce physician usage of the product candidate and have a material adverse effect on our sales, results of operations and financial condition.</w:t>
      </w:r>
    </w:p>
    <w:p>
      <w:pPr>
        <w:spacing w:after="0" w:line="189"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which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future product candidates, if any,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8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future product candidates, if any, if any such product or the condition that it is intended to treat is the subject of a trial. It is also possible that comparative effectiveness research demonstrating benefits in a competitor’s product could adversely affect the sales of our future product candidates, if any.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160" w:firstLine="555"/>
        <w:spacing w:after="0" w:line="293" w:lineRule="auto"/>
        <w:rPr>
          <w:sz w:val="20"/>
          <w:szCs w:val="20"/>
          <w:color w:val="auto"/>
        </w:rPr>
      </w:pPr>
      <w:r>
        <w:rPr>
          <w:rFonts w:ascii="Arial" w:cs="Arial" w:eastAsia="Arial" w:hAnsi="Arial"/>
          <w:sz w:val="16"/>
          <w:szCs w:val="16"/>
          <w:color w:val="auto"/>
        </w:rPr>
        <w:t>The ACA, enacted in March 2010, has a significant impact on the health care industry. The ACA is intended to expand coverage for the uninsured while at the same time containing overall healthcare costs. With regard to pharmaceutical products, among other things, the ACA expands and increases industry rebates for drugs covered under Medicaid programs and makes changes to the coverage requirements under the Medicare Part D program. Pharmaceutical manufacturers are required to track certain financial arrangements with physicians and teaching hospitals, including any “transfer of value” made or distributed to such entities, as well as any investment interests held by physicians and their immediate family members. Manufacturers are required to annually report this information to The Center for Medicare and Medicaid services, or CMS, which posts the information on its website.</w:t>
      </w:r>
    </w:p>
    <w:p>
      <w:pPr>
        <w:spacing w:after="0" w:line="165"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Since its enactment, there have been challenges to numerous aspects of the ACA, including efforts to repeal and replace the ACA, and the ACA has been modified in a number of respects.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devises. On October 13, 2017, President Trump signed an Executive Order terminating the cost-sharing subsidies that reimburse the insurers under the ACA. Several state Attorneys General filed suit to stop the administration from terminating the subsidies, but their request for a restraining order was denied by a federal judge in California on October 25, 2017 and subsequently the lawsuit was dismissed on July 18, 2018. In addition,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cannot predict how the ACA, its possible repeal or replacement, any further action to modify the ACA, or the political uncertainty surrounding the ACA will affect our business.</w:t>
      </w:r>
    </w:p>
    <w:p>
      <w:pPr>
        <w:spacing w:after="0" w:line="180"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then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9"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If we obtain regulatory approval of our future product candidates, if any,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ind w:left="112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cash or in kind, to induce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left="1120" w:right="180"/>
        <w:spacing w:after="0" w:line="277" w:lineRule="auto"/>
        <w:rPr>
          <w:sz w:val="20"/>
          <w:szCs w:val="20"/>
          <w:color w:val="auto"/>
        </w:rPr>
      </w:pPr>
      <w:r>
        <w:rPr>
          <w:rFonts w:ascii="Arial" w:cs="Arial" w:eastAsia="Arial" w:hAnsi="Arial"/>
          <w:sz w:val="18"/>
          <w:szCs w:val="18"/>
          <w:color w:val="auto"/>
        </w:rPr>
        <w:t>reward, or in return for, either the referral of an individual for, or the purchase, order, or recommendation of, an item or service reimbursable under a federal healthcare program, such as the Medicare and Medicaid programs;</w:t>
      </w:r>
    </w:p>
    <w:p>
      <w:pPr>
        <w:spacing w:after="0" w:line="62" w:lineRule="exact"/>
        <w:rPr>
          <w:sz w:val="20"/>
          <w:szCs w:val="20"/>
          <w:color w:val="auto"/>
        </w:rPr>
      </w:pPr>
    </w:p>
    <w:p>
      <w:pPr>
        <w:jc w:val="both"/>
        <w:ind w:left="1120" w:right="200" w:hanging="558"/>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or making a false statement or record material to payment of a false claim or avoiding, decreasing, or concealing an obligation to pay money to the federal government;</w:t>
      </w:r>
    </w:p>
    <w:p>
      <w:pPr>
        <w:spacing w:after="0" w:line="78" w:lineRule="exact"/>
        <w:rPr>
          <w:rFonts w:ascii="Arial" w:cs="Arial" w:eastAsia="Arial" w:hAnsi="Arial"/>
          <w:sz w:val="18"/>
          <w:szCs w:val="18"/>
          <w:color w:val="auto"/>
        </w:rPr>
      </w:pPr>
    </w:p>
    <w:p>
      <w:pPr>
        <w:ind w:left="1120" w:right="180" w:hanging="558"/>
        <w:spacing w:after="0" w:line="308"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120" w:right="140" w:hanging="558"/>
        <w:spacing w:after="0" w:line="264"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 Sunshine Act, which is part of the ACA, that requires applicable manufacturers of covered drugs and biologics to disclose payments and other transfers of value provided to physicians and teaching hospitals and physician ownership and investment interests;</w:t>
      </w:r>
    </w:p>
    <w:p>
      <w:pPr>
        <w:spacing w:after="0" w:line="73" w:lineRule="exact"/>
        <w:rPr>
          <w:rFonts w:ascii="Arial" w:cs="Arial" w:eastAsia="Arial" w:hAnsi="Arial"/>
          <w:sz w:val="18"/>
          <w:szCs w:val="18"/>
          <w:color w:val="auto"/>
        </w:rPr>
      </w:pPr>
    </w:p>
    <w:p>
      <w:pPr>
        <w:ind w:left="1120" w:right="300" w:hanging="558"/>
        <w:spacing w:after="0" w:line="342"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imposes certain requirements relating to the privacy, security and transmission of individually identifiable health information; and</w:t>
      </w:r>
    </w:p>
    <w:p>
      <w:pPr>
        <w:spacing w:after="0" w:line="15" w:lineRule="exact"/>
        <w:rPr>
          <w:rFonts w:ascii="Arial" w:cs="Arial" w:eastAsia="Arial" w:hAnsi="Arial"/>
          <w:sz w:val="16"/>
          <w:szCs w:val="16"/>
          <w:color w:val="auto"/>
        </w:rPr>
      </w:pPr>
    </w:p>
    <w:p>
      <w:pPr>
        <w:ind w:left="1120" w:right="20" w:hanging="558"/>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As of March 1, 2020, we employed 7 full-time employees all of whom are in the general and administrative function. We have never had a work stoppage, and none of our employees is represented by a labor organization or is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right="560" w:firstLine="555"/>
        <w:spacing w:after="0" w:line="264" w:lineRule="auto"/>
        <w:rPr>
          <w:sz w:val="20"/>
          <w:szCs w:val="20"/>
          <w:color w:val="auto"/>
        </w:rPr>
      </w:pPr>
      <w:r>
        <w:rPr>
          <w:rFonts w:ascii="Arial" w:cs="Arial" w:eastAsia="Arial" w:hAnsi="Arial"/>
          <w:sz w:val="18"/>
          <w:szCs w:val="18"/>
          <w:color w:val="auto"/>
        </w:rPr>
        <w:t>We were incorporated under the laws of the State of Delaware in 2005. Our principal executive offices are located at 3 Center Plaza, Suite 610, Boston, MA 20108, and our telephone number is (617) 622-4003. Our website address is www.zafgen.com. We may post material information on our website, therefore please check our website to see if we have posted any material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We make available free of charge through our website our annual report on Form 10-K, quarterly reports on Form 10-Q, current reports on Form 8-K and amendments to those reports filed or furnished pursuant to Sections 13(a) and 15(d) of the Securities Exchange Act of 1934, as amended, or the Exchange Act. Please call the Securities and Exchange Commission, or the SEC, at 1-800-SEC-0330 for more information about the operation of the SEC’s public reference room. You can review our electronically filed reports and other information that we file with the SEC on the SEC’s Internet website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or Annual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Annual Report and in our other public filings.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trading price of our common stock could decline due to any of these risks, and as a result, you may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proposed merger with Chondrial is not consummated, our business could suffer materially and our stock price could decline.</w:t>
      </w:r>
    </w:p>
    <w:p>
      <w:pPr>
        <w:spacing w:after="0" w:line="117"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The consummation of the proposed merger with Chondrial is subject to a number of closing conditions, including the approval by our stockholders, approval by NASDAQ of our application for initial listing of our common stock in connection with the merger, and other customary closing conditions. We are targeting a closing of the transaction in the second quarter of 2020.</w:t>
      </w:r>
    </w:p>
    <w:p>
      <w:pPr>
        <w:spacing w:after="0" w:line="73"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If the proposed merger is not consummated, we may be subject to a number of material risks, and our business and stock price could be adversely affected, as follows:</w:t>
      </w:r>
    </w:p>
    <w:p>
      <w:pPr>
        <w:spacing w:after="0" w:line="62" w:lineRule="exact"/>
        <w:rPr>
          <w:sz w:val="20"/>
          <w:szCs w:val="20"/>
          <w:color w:val="auto"/>
        </w:rPr>
      </w:pPr>
    </w:p>
    <w:p>
      <w:pPr>
        <w:ind w:left="1120" w:right="4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and expect to continue to incur significant expenses related to the proposed merger with Chondrial even if the merger is not consummated.</w:t>
      </w:r>
    </w:p>
    <w:p>
      <w:pPr>
        <w:spacing w:after="0" w:line="62" w:lineRule="exact"/>
        <w:rPr>
          <w:rFonts w:ascii="Arial" w:cs="Arial" w:eastAsia="Arial" w:hAnsi="Arial"/>
          <w:sz w:val="18"/>
          <w:szCs w:val="18"/>
          <w:color w:val="auto"/>
        </w:rPr>
      </w:pPr>
    </w:p>
    <w:p>
      <w:pPr>
        <w:ind w:left="1120" w:right="20" w:hanging="558"/>
        <w:spacing w:after="0" w:line="255"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merger agreement contains covenants relating to our solicitation of competing acquisition proposals and the conduct of our business between the date of signing the merger agreement and the closing of the merger. As a result, significant business decisions and transactions before the closing of the merger require the consent of Chondrial. Accordingly, we may be unable to pursue business opportunities that would otherwise be in its best interest as a standalone company. If the merger agreement is terminated after we have invested significant time and resources in the transaction process, we will have a limited ability to continue its current operations without obtaining additional financing to fund our operations.</w:t>
      </w:r>
    </w:p>
    <w:p>
      <w:pPr>
        <w:spacing w:after="0" w:line="85"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obligated to pay Chondrial a $3,375,000 termination fee in connection with the termination of the merger agreement, depending on the reason for the termination.</w:t>
      </w:r>
    </w:p>
    <w:p>
      <w:pPr>
        <w:spacing w:after="0" w:line="62" w:lineRule="exact"/>
        <w:rPr>
          <w:rFonts w:ascii="Arial" w:cs="Arial" w:eastAsia="Arial" w:hAnsi="Arial"/>
          <w:sz w:val="18"/>
          <w:szCs w:val="18"/>
          <w:color w:val="auto"/>
        </w:rPr>
      </w:pPr>
    </w:p>
    <w:p>
      <w:pPr>
        <w:ind w:left="1120" w:right="42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obligated to pay Chondrial a $350,000 expense reimbursement in connection with the termination of the merger agreement, depending on the reason for the termination.</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collaborators and other business partners and investors in general may view the failure to consummate the merger as a poor reflection on its business or prospects.</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suppliers, collaborators and other business partners may seek to change or terminate their relationships with us as a result of the proposed merger.</w:t>
      </w:r>
    </w:p>
    <w:p>
      <w:pPr>
        <w:spacing w:after="0" w:line="62" w:lineRule="exact"/>
        <w:rPr>
          <w:rFonts w:ascii="Arial" w:cs="Arial" w:eastAsia="Arial" w:hAnsi="Arial"/>
          <w:sz w:val="18"/>
          <w:szCs w:val="18"/>
          <w:color w:val="auto"/>
        </w:rPr>
      </w:pPr>
    </w:p>
    <w:p>
      <w:pPr>
        <w:ind w:left="1120" w:right="580" w:hanging="558"/>
        <w:spacing w:after="0" w:line="312"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a result of the proposed merger, current and prospective employees could experience uncertainty about their future roles within the combined company. This uncertainty may adversely affect our ability to retain our key employees, who may seek other employment opportunities. Additionally, pursuant to the merger agreement, all of our employees will be terminated effective as of the closing.</w:t>
      </w:r>
    </w:p>
    <w:p>
      <w:pPr>
        <w:spacing w:after="0" w:line="38" w:lineRule="exact"/>
        <w:rPr>
          <w:rFonts w:ascii="Arial" w:cs="Arial" w:eastAsia="Arial" w:hAnsi="Arial"/>
          <w:sz w:val="16"/>
          <w:szCs w:val="16"/>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management team may be distracted from day to day operations as a result of the proposed merger.</w:t>
      </w:r>
    </w:p>
    <w:p>
      <w:pPr>
        <w:spacing w:after="0" w:line="117"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may decline to the extent that the current market price reflects a market assumption that the proposed merger will be completed.</w:t>
      </w:r>
    </w:p>
    <w:p>
      <w:pPr>
        <w:spacing w:after="0" w:line="6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addition, if the merger agreement is terminated and our board of directors, or our Board, determines to seek another business combination, we may not be able to find a third party willing to provide equivalent or more attractive consideration than the consideration to be provided by each party in the merger. In such circumstances, our Board may elect to, among other things, divest all or a portion of our business, or take the steps necessary to liquidate all of our business and assets, and in either such case, the consideration that we receive may be less attractive than the consideration to be received by us pursuant to the merger agreement.</w:t>
      </w:r>
    </w:p>
    <w:p>
      <w:pPr>
        <w:spacing w:after="0" w:line="29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do not successfully consummate the merger or another strategic transaction, our Board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7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There can be no assurance that the merger will be completed. If the merger is not completed, our Board may decide to pursue a dissolution and liquidation. In such an event, the amount of cash available for distribution to our stockholders will depend heavily on the timing of such decision and, as with the passage of time the amount of cash available for distribution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t>will be reduced as we continue to fund our operations. In addition, if our Board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27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The amount of merger consideration may vary depending on the amount of our net cash as of a certain determination date prior to closing and the date on which the closing occurs, which could result in our stockholders owning a smaller percentage of the combined company than expected.</w:t>
      </w:r>
    </w:p>
    <w:p>
      <w:pPr>
        <w:spacing w:after="0" w:line="16"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Under the terms of the merger agreement, the number of shares of our common stock to be issued to Chondrial’s stockholder at the closing of the merger will be determined based on an exchange ratio, which will be calculated based on the total number of outstanding shares of our common stock and Chondrial common stock, each on a fully-diluted basis, and the respective valuations of Chondrial and us, as of immediately prior to the closing of the merger. If the closing occurs on or before March 31, 2020 and there is no adjustment to the closing valuation of us (as described below), then immediately following the effective time of the merger, Chondrial’s stockholder will own, or hold rights to acquire, 60% of the common stock of the combined company, on a fully-diluted basis, and our existing stockholders will own or hold rights to acquire 40% of the common stock of the combined company, on a fully-diluted basis. The respective valuations of Chondrial and us, and the corresponding ownership percentages of Chondrial’s stockholder and our existing stockholders, may be adjusted upward or downward based on the date the closing occurs and the net cash balance (defined in the merger agreement as cash, cash equivalents and marketable securities minus certain outstanding liabilities) of us as of a determination date prior to the closing of the merger, and as a result, either our stockholders could own less of the combined company than expected. There can be no assurances as to our level of net cash between now and closing or as to the date the closing will occur.</w:t>
      </w:r>
    </w:p>
    <w:p>
      <w:pPr>
        <w:spacing w:after="0" w:line="2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net cash may be less than $30,000,000 at the closing of the merger, which would cause a condition to Chondrial’s obligation to consummate the merger to fail to be satisfied and may result in the termination of the merger agreement.</w:t>
      </w:r>
    </w:p>
    <w:p>
      <w:pPr>
        <w:spacing w:after="0" w:line="6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 xml:space="preserve">We are required to have a net cash balance of at least $30,000,000 at the closing of the merger as a condition to Chondrial’s obligation to consummate the merger. For purposes of the merger agreement, net cash is subject to certain reductions, including, without limitation, accounts payable, accrued expenses (except those related to the merger), current liabilities payable in cash, unpaid expenses related to the merger and certain other unpaid obligations, including outstanding lease obligations. In the event that </w:t>
      </w:r>
      <w:r>
        <w:rPr>
          <w:rFonts w:ascii="Arial" w:cs="Arial" w:eastAsia="Arial" w:hAnsi="Arial"/>
          <w:sz w:val="20"/>
          <w:szCs w:val="20"/>
          <w:color w:val="auto"/>
        </w:rPr>
        <w:t>our</w:t>
      </w:r>
      <w:r>
        <w:rPr>
          <w:rFonts w:ascii="Arial" w:cs="Arial" w:eastAsia="Arial" w:hAnsi="Arial"/>
          <w:sz w:val="17"/>
          <w:szCs w:val="17"/>
          <w:color w:val="auto"/>
        </w:rPr>
        <w:t xml:space="preserve"> net cash falls below this threshold, a condition to the Chondrial’s obligation to consummate the merger will fail to be satisfied and Chondrial will have the right to terminate the merger agreement at an outside date of September 17, 2020 (subject to extension as provided in the merger agreement) if our net cash continues to be lower than the $30,000,000 threshold.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officers and directors have conflicts of interest that may influence them to support or approve the merger.</w:t>
      </w:r>
    </w:p>
    <w:p>
      <w:pPr>
        <w:spacing w:after="0" w:line="117"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color w:val="auto"/>
        </w:rPr>
        <w:t>Our officers and directors participate in arrangements that provide them with interests in the merger that are different from yours, including, among others, their continued service as a director of the combined company, retention and severance benefits, the acceleration of restricted stock and option vesting and continued indemnification. These interests, among others, may influence our officers and directors to support or approve the merger.</w:t>
      </w: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6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In general, either party can refuse to complete the merger if there is a material adverse change affecting the other party between December 17, 2019, the date of the merger agreement, and the closing. However, some types of changes do not permit either party to refuse to complete the merger, even if such changes would have a material adverse effect on us or Chondrial, to the extent they resulted from the following and do not have a materially disproportionate effect on us or Chondrial, as the case may be: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9" w:name="page20"/>
    <w:bookmarkEnd w:id="19"/>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taking of any action, or the failure to take any action, by any party that is required to comply with the terms of the merger agreement;</w:t>
      </w:r>
    </w:p>
    <w:p>
      <w:pPr>
        <w:spacing w:after="0" w:line="128" w:lineRule="exact"/>
        <w:rPr>
          <w:rFonts w:ascii="Arial" w:cs="Arial" w:eastAsia="Arial" w:hAnsi="Arial"/>
          <w:sz w:val="17"/>
          <w:szCs w:val="17"/>
          <w:color w:val="auto"/>
        </w:rPr>
      </w:pPr>
    </w:p>
    <w:p>
      <w:pPr>
        <w:ind w:left="1120" w:right="80" w:hanging="558"/>
        <w:spacing w:after="0" w:line="264"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change in generally accepted accounting principles or any change in applicable laws, rules or regulations or the interpretation thereof;</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economic or political conditions or conditions generally affecting the industries in which either party and its subsidiaries operate;</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us, any change in the stock price or trading volume of our common stock;</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us, subject to certain exceptions, a change in the listing status of our common stock on NASDAQ; or</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Chondrial, any change in the cash position of Chondrial or its subsidiaries which results from operations in the ordinary course of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adverse changes occur but we and Chondrial must still complete the merger, the combined company’s stock price may suffer.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market price of the combined company’s common stock may decline as a result of the merger for a number of reasons including if:</w:t>
      </w:r>
    </w:p>
    <w:p>
      <w:pPr>
        <w:spacing w:after="0" w:line="117" w:lineRule="exact"/>
        <w:rPr>
          <w:sz w:val="20"/>
          <w:szCs w:val="20"/>
          <w:color w:val="auto"/>
        </w:rPr>
      </w:pPr>
    </w:p>
    <w:p>
      <w:pPr>
        <w:ind w:left="1120" w:right="24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merger as rapidly or to the extent anticipated by financial or industry analysts;</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the merger on the combined company’s business and prospects is not consistent with the expectations of financial or industry analysts; or</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investors react negatively to the effect on the combined company’s business and prospects from the merger.</w:t>
      </w:r>
    </w:p>
    <w:p>
      <w:pPr>
        <w:spacing w:after="0" w:line="3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stockholders may not realize a benefit from the merger commensurate with the ownership dilution they will experience in connection with the merger.</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If the combined company is unable to realize the strategic and financial benefits currently anticipated from the merger, our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w:t>
      </w:r>
    </w:p>
    <w:p>
      <w:pPr>
        <w:spacing w:after="0" w:line="2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we may not be able to enter into a business combination with another party and will be subject to contractual limitations on certain actions because of restrictions in the merger agreement.</w:t>
      </w:r>
    </w:p>
    <w:p>
      <w:pPr>
        <w:spacing w:after="0" w:line="62"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Covenants in the merger agreement impede the ability of us or Chondrial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our common stock, a tender offer for our common stock, a merger or other business combination outside the ordinary course of business. Any such transactions could be favorable to such party’s stockholders.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 w:name="page21"/>
    <w:bookmarkEnd w:id="20"/>
    <w:p>
      <w:pPr>
        <w:ind w:right="260"/>
        <w:spacing w:after="0" w:line="308" w:lineRule="auto"/>
        <w:rPr>
          <w:sz w:val="20"/>
          <w:szCs w:val="20"/>
          <w:color w:val="auto"/>
        </w:rPr>
      </w:pPr>
      <w:r>
        <w:rPr>
          <w:rFonts w:ascii="Arial" w:cs="Arial" w:eastAsia="Arial" w:hAnsi="Arial"/>
          <w:sz w:val="17"/>
          <w:szCs w:val="17"/>
          <w:b w:val="1"/>
          <w:bCs w:val="1"/>
          <w:i w:val="1"/>
          <w:iCs w:val="1"/>
          <w:color w:val="auto"/>
        </w:rPr>
        <w:t>Because the lack of a public market for Chondrial common stock makes it difficult to evaluate the fairness of the merger, Chondrial’s stockholder may receive consideration in the merger that is greater than or less than the fair market value of Chondrial common stock.</w:t>
      </w:r>
    </w:p>
    <w:p>
      <w:pPr>
        <w:spacing w:after="0" w:line="3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outstanding share capital of Chondrial is privately held and is not traded in any public market. The lack of a public market makes it extremely difficult to determine the fair market value of Chondrial. Since the percentage of our equity to be issued to Chondrial’s stockholder was determined based on negotiations between the parties, it is possible that the value of our common stock to be issued in connection with the merger will be greater than the fair market value of Chondrial. Alternatively, it is possible that the value of the shares of our common stock to be issued in connection with the merger will be less than the fair market value of Chondrial.</w:t>
      </w:r>
    </w:p>
    <w:p>
      <w:pPr>
        <w:spacing w:after="0" w:line="188"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possible relocation of certain operations from Massachusetts to other offices of the combined company as well as costs associated with terminating existing office leases and the loss of benefits of certain favorable office leases. Actual transaction costs may substantially exceed Chondrial’s estimates and may have an adverse effect on the combined company’s financial condition and operating results.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of the merger to qualify as a reorganization within the meaning of Section 368(a) of the Code could harm the combined company.</w:t>
      </w:r>
    </w:p>
    <w:p>
      <w:pPr>
        <w:spacing w:after="0" w:line="129"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The parties intend for the merger to qualify as a reorganization within the meaning of Section 368(a) of the Code, as amended. To comply with the requirements for a Section 368(a) reorganization, certain structural and other requirements for the transaction must be met; if not satisfied, Chondrial’s stockholder could be subject to tax liability.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is expected to result in a limitation on our ability to utilize its net operating loss carryforward.</w:t>
      </w:r>
    </w:p>
    <w:p>
      <w:pPr>
        <w:spacing w:after="0" w:line="117"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Under Section 382 of the Code, use of our net operating loss carryforwards, or NOL, will be limited if we experience an “ownership change.”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We are expected to experience an ownership change as a result of the merger and therefore its ability to utilize its NOLs and certain credit carryforwards remaining at the effective time will be limited. The limitation will be determined by the fair market value of our common stock outstanding prior to the ownership change, multiplied by the applicable federal rate. Limitations imposed on our ability to utilize NOLs could cause U.S. federal and state income taxes to be paid earlier than would be paid if such limitations were not in effect and could cause such NOLs to expire unused, in each case reducing or eliminating the benefit of such NOLs.</w:t>
      </w:r>
    </w:p>
    <w:p>
      <w:pPr>
        <w:spacing w:after="0" w:line="3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Certain stockholders could attempt to influence changes which could adversely affect our operations, financial condition and the value of our common stock.</w:t>
      </w:r>
    </w:p>
    <w:p>
      <w:pPr>
        <w:spacing w:after="0" w:line="62"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Our stockholders may from time-to-time seek to acquire a controlling stake, engage in proxy solicitations, advance stockholder proposals or otherwise attempt to effect changes. Campaigns by stockholders to effect changes at publicly-traded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disrupt our operations and divert the attention of our Board and senior management from the pursuit of the proposed merger transaction. These actions could adversely affect our operations, financial condition, our ability to consummate the merger and the value of our common stock.</w:t>
      </w:r>
    </w:p>
    <w:p>
      <w:pPr>
        <w:spacing w:after="0" w:line="2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Chondrial and us may become involved in securities litigation or stockholder derivative litigation in connection with the merger, and this could divert the attention of our management and Chondrial management and harm the combined company’s business, and insurance coverage may not be sufficient to cover all related costs and damages.</w:t>
      </w:r>
    </w:p>
    <w:p>
      <w:pPr>
        <w:spacing w:after="0" w:line="73"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Securities litigation or stockholder derivative litigation frequently follows the announcement of certain significant business transactions, such as the sale of a business division or announcement of a business combination transaction. Chondrial and us may become involved in this type of litigation in connection with the merger, and the combined company may become involved in this type of litigation in the future. Litigation often is expensive and diverts management’s attention and resources, which could adversely affect our business, Chondrial and the combined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complete the merger may result in us and Chondrial paying a termination fee or expenses to the other party and could harm the price of our common stock and the future business and operations of each company.</w:t>
      </w:r>
    </w:p>
    <w:p>
      <w:pPr>
        <w:spacing w:after="0" w:line="62" w:lineRule="exact"/>
        <w:rPr>
          <w:sz w:val="20"/>
          <w:szCs w:val="20"/>
          <w:color w:val="auto"/>
        </w:rPr>
      </w:pPr>
    </w:p>
    <w:p>
      <w:pPr>
        <w:jc w:val="both"/>
        <w:ind w:right="40" w:firstLine="555"/>
        <w:spacing w:after="0" w:line="302" w:lineRule="auto"/>
        <w:rPr>
          <w:sz w:val="20"/>
          <w:szCs w:val="20"/>
          <w:color w:val="auto"/>
        </w:rPr>
      </w:pPr>
      <w:r>
        <w:rPr>
          <w:rFonts w:ascii="Arial" w:cs="Arial" w:eastAsia="Arial" w:hAnsi="Arial"/>
          <w:sz w:val="16"/>
          <w:szCs w:val="16"/>
          <w:color w:val="auto"/>
        </w:rPr>
        <w:t>If the merger is not completed and the merger agreement is terminated under certain circumstances, we or Chondrial may be required to pay the other party a termination fee of $3,375,000 and/or an expense reimbursement of up to $350,000. Even if a termination fee or expense reimbursement is not payable in connection with a termination of the merger agreement, we and Chondrial will have incurred significant fees and expenses, which must be paid whether or not the merger is completed. Further, if the merger is not completed, it could significantly harm the market price of our common stock.</w:t>
      </w: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our common stock so the merger consideration at the closing may have greater or lesser value than the market price at the time the merger agreement was signed.</w:t>
      </w:r>
    </w:p>
    <w:p>
      <w:pPr>
        <w:spacing w:after="0" w:line="62"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The merger agreement has set the exchange ratio for Chondrial common stock, and the exchange ratio is based on the outstanding Chondrial common stock and our outstanding common stock, in each case immediately prior to the closing of the merger. Applying the exchange ratio formula in the merger agreement, the former Chondrial stockholders immediately before the merger are expected to own 60% of our outstanding capital stock immediately following the merger, and our stockholders immediately before the merger are expected to own approximately 40% of our outstanding capital stock immediately following the merger, subject to certain assumptions. Under certain circumstances further described in the merger agreement, however, these ownership percentages may be adjusted upward or downward based on the date the closing occurs and the cash levels of the respective companies at the closing of the merger, and as a result, our stockholders could own less of the combined company than expected.</w:t>
      </w:r>
    </w:p>
    <w:p>
      <w:pPr>
        <w:spacing w:after="0" w:line="178"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Any changes in the market price of our common stock before the completion of the merger will not affect the number of shares of our common stock issuable to Chondrial’s stockholders pursuant to the merger agreement. Therefore, if before the completion of the merger the market price of our common stock declines from the market price on the date of the merger agreement, then Chondrial’s stockholders could receive merger consideration with substantially lower value than the value of such merger consideration on the date of the merger agreement. Similarly, if before the completion of the merger the market price of our common stock increases from the market price of our common stock on the date of the merger agreement, then Chondrial’s stockholders could receive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our common stock, for each one percentage point change in the market price of our common stock, there is a corresponding one percentage point rise or decline, respectively, in the value of the total merger consideration payable to Chondrial’s stockholders pursuant to the merger agreement.</w:t>
      </w:r>
    </w:p>
    <w:p>
      <w:pPr>
        <w:spacing w:after="0" w:line="2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6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terms of the merger agreement prohibit each of us and Chondrial from soliciting alternative takeover proposals or cooperating with persons making unsolicited takeover proposals, except in limited circumstances when our Board determines in good faith that an unsolicited alternative takeover proposal is or is reasonably likely to lead to a superior takeover proposal and that failure to cooperate with the proponent of the proposal would be reasonably likely to be inconsistent with our Board fiduciary duties.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11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Even if share issuance and reverse stock split are approved by our stockholders and Chondrial’s, specified conditions must be satisfied or waived to complete the merger. These conditions are set forth in the merger agreement. We cannot assure you that all of the conditions will be satisfied or waived. If the conditions are not satisfied or waived, the merger will not occur or will be delayed, and we and Chondrial each may lose some or all of the intended benefits of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consummate the proposed merger with Chondrial, depends on our ability to retain our employees required to consummate a strategic transaction as previously announced.</w:t>
      </w:r>
    </w:p>
    <w:p>
      <w:pPr>
        <w:spacing w:after="0" w:line="62"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Our ability to consummate the proposed merger with Chondrial depends upon our ability to retain our employees required to consummate a strategic transaction, the loss of whose services may adversely impact the ability to consummate the merger. On September 10, 2019, we announced a reduction in workforce that includes reducing employees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2" w:name="page23"/>
    <w:bookmarkEnd w:id="22"/>
    <w:p>
      <w:pPr>
        <w:ind w:right="80"/>
        <w:spacing w:after="0" w:line="277" w:lineRule="auto"/>
        <w:rPr>
          <w:sz w:val="20"/>
          <w:szCs w:val="20"/>
          <w:color w:val="auto"/>
        </w:rPr>
      </w:pPr>
      <w:r>
        <w:rPr>
          <w:rFonts w:ascii="Arial" w:cs="Arial" w:eastAsia="Arial" w:hAnsi="Arial"/>
          <w:sz w:val="18"/>
          <w:szCs w:val="18"/>
          <w:color w:val="auto"/>
        </w:rPr>
        <w:t>approximately 48%, and when combined with the reduction in workforce announced on July 24, 2019 and other attrition in 2019, resulted in a total reduction of employees of approximately 70%.</w:t>
      </w:r>
    </w:p>
    <w:p>
      <w:pPr>
        <w:spacing w:after="0" w:line="62" w:lineRule="exact"/>
        <w:rPr>
          <w:sz w:val="20"/>
          <w:szCs w:val="20"/>
          <w:color w:val="auto"/>
        </w:rPr>
      </w:pPr>
    </w:p>
    <w:p>
      <w:pPr>
        <w:ind w:right="140" w:firstLine="555"/>
        <w:spacing w:after="0" w:line="312" w:lineRule="auto"/>
        <w:rPr>
          <w:sz w:val="20"/>
          <w:szCs w:val="20"/>
          <w:color w:val="auto"/>
        </w:rPr>
      </w:pPr>
      <w:r>
        <w:rPr>
          <w:rFonts w:ascii="Arial" w:cs="Arial" w:eastAsia="Arial" w:hAnsi="Arial"/>
          <w:sz w:val="16"/>
          <w:szCs w:val="16"/>
          <w:color w:val="auto"/>
        </w:rPr>
        <w:t>On September 10, 2019, we also announced a retention plan for the remaining executive officers and implemented retention plans for the other remaining employees that is designed to retain the employees required to explore and consummate a strategic transaction. We have entered into amendments to severance and change in control agreements with certain of our executive officers, but they may terminate their employment with us at any time.</w:t>
      </w:r>
    </w:p>
    <w:p>
      <w:pPr>
        <w:spacing w:after="0" w:line="39" w:lineRule="exact"/>
        <w:rPr>
          <w:sz w:val="20"/>
          <w:szCs w:val="20"/>
          <w:color w:val="auto"/>
        </w:rPr>
      </w:pPr>
    </w:p>
    <w:p>
      <w:pPr>
        <w:ind w:right="1000" w:firstLine="555"/>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our exploration and consummation of a strategic alternative as well as business operations, initiatives, plans and strategies.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170"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future product candidates, if any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contract research organizations or other contractors or consultants, may fail or suffer security breaches, which could result in a material disruption of our future product candidates.</w:t>
      </w:r>
    </w:p>
    <w:p>
      <w:pPr>
        <w:spacing w:after="0" w:line="62"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contract research organizations, or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nonclinical or clinical trial data for our future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future product candidates could be delayed.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52"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including the proposed merger with Chondrial, we will achieve the expected synergies to justify the transaction.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The use of any future product candidates in clinical trials, if any, and the sale of any future product candidates, if developed and approved, exposes us to the risk of product liability claims. Product liability claims might be brought against us by patients, healthcare providers or others selling or otherwise who have come into contact with our future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1" w:lineRule="exact"/>
        <w:rPr>
          <w:sz w:val="20"/>
          <w:szCs w:val="20"/>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future product candidates following marketing approval, if obtained;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U.S. Food and Drug Administration, or FDA, warnings on product labels;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successfully commercialize our future product candidates, if approved.</w:t>
      </w:r>
    </w:p>
    <w:p>
      <w:pPr>
        <w:spacing w:after="0" w:line="225"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For our prior clinical trials, we have maintained product liability insurance coverage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our future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right="200"/>
        <w:spacing w:after="0" w:line="277" w:lineRule="auto"/>
        <w:rPr>
          <w:sz w:val="20"/>
          <w:szCs w:val="20"/>
          <w:color w:val="auto"/>
        </w:rPr>
      </w:pPr>
      <w:r>
        <w:rPr>
          <w:rFonts w:ascii="Arial" w:cs="Arial" w:eastAsia="Arial" w:hAnsi="Arial"/>
          <w:sz w:val="18"/>
          <w:szCs w:val="18"/>
          <w:color w:val="auto"/>
        </w:rPr>
        <w:t>expenses incurred in the testing of certain drugs for rare diseases or conditions generally referred to as “orphan drugs”). In 2017, our net deferred tax assets and liabilities were revalued at the newly enacted U.S. corporate rate.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2019, we had net operating loss carryforwards for federal and state income tax purposes of $55.7 million and $57.0 million, respectively, which begin to expire in 2026 and 2030, respectively. As of December 31, 2019, we also had available tax credit carryforwards for federal and state income tax purposes of $17.9 million and $4.2 million, respectively, which begin to expire in 2026 and 2022,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 As of December 31, 2019, we had net operating loss carryforwards that were generated after December 31, 2017, of $21.2 million that do not expire.</w:t>
      </w:r>
    </w:p>
    <w:p>
      <w:pPr>
        <w:spacing w:after="0" w:line="200" w:lineRule="exact"/>
        <w:rPr>
          <w:sz w:val="20"/>
          <w:szCs w:val="20"/>
          <w:color w:val="auto"/>
        </w:rPr>
      </w:pPr>
    </w:p>
    <w:p>
      <w:pPr>
        <w:spacing w:after="0" w:line="2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60" w:firstLine="555"/>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jc w:val="both"/>
        <w:ind w:right="60" w:firstLine="555"/>
        <w:spacing w:after="0" w:line="308" w:lineRule="auto"/>
        <w:rPr>
          <w:sz w:val="20"/>
          <w:szCs w:val="20"/>
          <w:color w:val="auto"/>
        </w:rPr>
      </w:pPr>
      <w:r>
        <w:rPr>
          <w:rFonts w:ascii="Arial" w:cs="Arial" w:eastAsia="Arial" w:hAnsi="Arial"/>
          <w:sz w:val="17"/>
          <w:szCs w:val="17"/>
          <w:color w:val="auto"/>
        </w:rPr>
        <w:t>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47" w:lineRule="exact"/>
        <w:rPr>
          <w:sz w:val="20"/>
          <w:szCs w:val="20"/>
          <w:color w:val="auto"/>
        </w:rPr>
      </w:pPr>
    </w:p>
    <w:p>
      <w:pPr>
        <w:jc w:val="both"/>
        <w:ind w:right="60" w:firstLine="555"/>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Our future drug development programs and the potential commercialization of our future product candidates, if any, will require substantial additional cash to fund expenses. For our future product candidates, if any,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for any future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future product candidates, if any. The terms of any collaboration or other arrangements that we may establish may not be favorable to us.</w:t>
      </w:r>
    </w:p>
    <w:p>
      <w:pPr>
        <w:spacing w:after="0" w:line="182" w:lineRule="exact"/>
        <w:rPr>
          <w:sz w:val="20"/>
          <w:szCs w:val="20"/>
          <w:color w:val="auto"/>
        </w:rPr>
      </w:pPr>
    </w:p>
    <w:p>
      <w:pPr>
        <w:ind w:right="560" w:firstLine="555"/>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of our future product candidates for which we are seeking to collaborate, reduce or delay its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future product candidates, if any,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2"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In addition, any future collaborations that we enter into for our future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2019 to December 31, 2019 the daily closing price of our common stock on the NASDAQ Global Market ranged from a high of $5.30 to a low of $0.66 and will continue to be subject to wide fluctuations in response to many risk factors listed in this section, and others beyond our control, including:</w:t>
      </w:r>
    </w:p>
    <w:p>
      <w:pPr>
        <w:spacing w:after="0" w:line="79" w:lineRule="exact"/>
        <w:rPr>
          <w:sz w:val="20"/>
          <w:szCs w:val="20"/>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and expectations regarding the merger with Chondrial, including the expected completion of the merger;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future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failure of the FDA to permit an investigational new drug application, or IND, to go into effect for our future product candidates, if any;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the FDA or the European Medicines Agency, or EMA, to approve our future product candidates, if 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our future product candidates, if 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future product candidates, if successfully developed and approved, to achieve commercial success;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As of March 1, 2020, the existing holdings of our executive officers, directors, principal stockholders and their affiliates, including investment funds affiliated with Atlas Ventures, 683 Capital Management, LLC, AIGH Capital Management, LLC, Renaissance Technologies LLC, Sphera Funds Management Ltd., and Sio Capital Management, LLC, represent beneficial ownership, in the aggregate, of approximately 48.1%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on the price of our common stock. In addition, this concentration of ownership might adversely affect the market price of our common stock by:</w:t>
      </w:r>
    </w:p>
    <w:p>
      <w:pPr>
        <w:spacing w:after="0" w:line="117" w:lineRule="exact"/>
        <w:rPr>
          <w:sz w:val="20"/>
          <w:szCs w:val="20"/>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delaying, deferring or preventing our change of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260" w:firstLine="555"/>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including us, have experienced significant stock price volatility in the past.</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have availed ourselves of reduced disclosure requirements applicable to smaller reporting companies, which could make our common stock less attractive to investors.</w:t>
      </w:r>
    </w:p>
    <w:p>
      <w:pPr>
        <w:spacing w:after="0" w:line="170"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We are a smaller reporting company, and we will remain a smaller reporting company as long as our voting and non-voting common shares held by non-affiliates is less than $250 million measured on the last business day of our second fiscal quarter; or our annual revenues are less than $100 million during the most recently completed fiscal year and our voting and non-voting common shares held by non-affiliates is less than $700 million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78"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We may choose to take advantage of some, but not all, of the available exemptions for smaller reporting companies. We cannot predict whether investors will find our common stock less attractive if we rely on these exemptions. If some investors find our common stock less attractive as a result, there may be a less active trading market for our common stock and our shares price may be more volatile.</w:t>
      </w:r>
    </w:p>
    <w:p>
      <w:pPr>
        <w:spacing w:after="0" w:line="28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480" w:firstLine="555"/>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8" w:name="page29"/>
    <w:bookmarkEnd w:id="28"/>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1120" w:right="62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17"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Global Market and Nasdaq could delist our common stock.</w:t>
      </w:r>
    </w:p>
    <w:p>
      <w:pPr>
        <w:spacing w:after="0" w:line="170"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Our common stock is currently listed on The Nasdaq Global Market. In order to maintain that listing, we must satisfy minimum financial and other continued listing requirements and standards. One such requirement is that we maintain a minimum bid price of at least $1.00 per share for our common stock. On September 17, 2019, we received a letter from the Listing Qualifications Department of The Nasdaq Stock Market (Nasdaq) advising us that for 30 consecutive trading days preceding the date of the notice, the bid price of our common stock had closed below the $1.00 per share minimum required for continued listing on The Nasdaq Global Market pursuant to Nasdaq Listing Rule 5550(a)(1). However, on January 9, 2020, we were notified by Nasdaq that as of January 8, 2020 we had maintained a closing bid above $1.00 for a period of 10 consecutive trading days and therefore had regained compliance with the minimum bid price requirement. There can be no assurance that we will continue to be in compliance with the $1.00 minimum bid price requirement or comply with Nasdaq’s other continued listing standards in the future.</w:t>
      </w:r>
    </w:p>
    <w:p>
      <w:pPr>
        <w:spacing w:after="0" w:line="179" w:lineRule="exact"/>
        <w:rPr>
          <w:sz w:val="20"/>
          <w:szCs w:val="20"/>
          <w:color w:val="auto"/>
        </w:rPr>
      </w:pPr>
    </w:p>
    <w:p>
      <w:pPr>
        <w:ind w:firstLine="600"/>
        <w:spacing w:after="0" w:line="293" w:lineRule="auto"/>
        <w:rPr>
          <w:sz w:val="20"/>
          <w:szCs w:val="20"/>
          <w:color w:val="auto"/>
        </w:rPr>
      </w:pPr>
      <w:r>
        <w:rPr>
          <w:rFonts w:ascii="Arial" w:cs="Arial" w:eastAsia="Arial" w:hAnsi="Arial"/>
          <w:sz w:val="16"/>
          <w:szCs w:val="16"/>
          <w:color w:val="auto"/>
        </w:rPr>
        <w:t>If in the future we are not able to maintain compliance with the minimum bid price requirement within an allotted grace period, our shares of common stock would be subject to delisting. 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future product candidates, if any, obtain regulatory approval for any product candidates or successfully commercialize any product candidates, if approved.</w:t>
      </w:r>
    </w:p>
    <w:p>
      <w:pPr>
        <w:spacing w:after="0" w:line="62"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Before our future product candidates, if any, can be marketed, our IND application or other comparable regulatory approvals must go into effect permitting the conduct of clinical trials, and we must then successfully complete human testing. The FDA and other comparable foreign regulatory agencies must approve our New Drug Application, or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73"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It is possible that the FDA or other regulatory agencies will not approve any application that we may submit. It is possible that our future product candidates, if any, may not obtain appropriate regulatory approvals necessary for us to commence clinical trials for our future product candidates, if any.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Favorable results from nonclinical studies and clinical trials to date are not necessarily predictive of the results of additional nonclinical studies or later-stage clinical trials of our future product candidates, if any.</w:t>
      </w:r>
    </w:p>
    <w:p>
      <w:pPr>
        <w:spacing w:after="0" w:line="62" w:lineRule="exact"/>
        <w:rPr>
          <w:sz w:val="20"/>
          <w:szCs w:val="20"/>
          <w:color w:val="auto"/>
        </w:rPr>
      </w:pPr>
    </w:p>
    <w:p>
      <w:pPr>
        <w:ind w:right="100" w:firstLine="555"/>
        <w:spacing w:after="0" w:line="269" w:lineRule="auto"/>
        <w:rPr>
          <w:sz w:val="20"/>
          <w:szCs w:val="20"/>
          <w:color w:val="auto"/>
        </w:rPr>
      </w:pPr>
      <w:r>
        <w:rPr>
          <w:rFonts w:ascii="Arial" w:cs="Arial" w:eastAsia="Arial" w:hAnsi="Arial"/>
          <w:sz w:val="17"/>
          <w:szCs w:val="17"/>
          <w:color w:val="auto"/>
        </w:rPr>
        <w:t>Favorable results from our nonclinical studies may not necessarily be predictive of the results from clinical trials. 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candidates, beloranib and ZGN-1061, after achieving positive results in nonclinical and clinical development, and we cannot be certain that we will not face similar setbacks in our development of our future product candidates, if any.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any future product candidates, if any, the development timeline and regulatory approval and commercialization prospects for any future product candidates, if any, and, correspondingly, our business and financial prospects, would be materially adversely affected.</w:t>
      </w:r>
    </w:p>
    <w:p>
      <w:pPr>
        <w:spacing w:after="0" w:line="29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future product candidates, if any, may cause undesirable side effects that could delay or prevent their regulatory approval, limit the commercial profile of an approved label, or result in significant negative consequences following marketing approval, if any.</w:t>
      </w:r>
    </w:p>
    <w:p>
      <w:pPr>
        <w:spacing w:after="0" w:line="38" w:lineRule="exact"/>
        <w:rPr>
          <w:sz w:val="20"/>
          <w:szCs w:val="20"/>
          <w:color w:val="auto"/>
        </w:rPr>
      </w:pPr>
    </w:p>
    <w:p>
      <w:pPr>
        <w:ind w:right="20" w:firstLine="555"/>
        <w:spacing w:after="0" w:line="342" w:lineRule="auto"/>
        <w:rPr>
          <w:sz w:val="20"/>
          <w:szCs w:val="20"/>
          <w:color w:val="auto"/>
        </w:rPr>
      </w:pPr>
      <w:r>
        <w:rPr>
          <w:rFonts w:ascii="Arial" w:cs="Arial" w:eastAsia="Arial" w:hAnsi="Arial"/>
          <w:sz w:val="16"/>
          <w:szCs w:val="16"/>
          <w:color w:val="auto"/>
        </w:rPr>
        <w:t>Undesirable side effects caused by our future product candidates, if any, could cause us or regulatory authorities such as the FDA to interrupt, delay or halt clinical trials and could result in a more restrictive label or the delay or denial of regulatory approval by the FDA or other regulatory authorities.</w:t>
      </w:r>
    </w:p>
    <w:p>
      <w:pPr>
        <w:spacing w:after="0" w:line="124"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Further, if any future product candidates receive marketing approval and we or others identify undesirable side effects caused by the product (or any other similar product) after the approval, a number of potentially significant negative consequences could result, including:</w:t>
      </w:r>
    </w:p>
    <w:p>
      <w:pPr>
        <w:spacing w:after="0" w:line="62" w:lineRule="exact"/>
        <w:rPr>
          <w:sz w:val="20"/>
          <w:szCs w:val="20"/>
          <w:color w:val="auto"/>
        </w:rPr>
      </w:pPr>
    </w:p>
    <w:p>
      <w:pPr>
        <w:ind w:left="112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40"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0" w:name="page31"/>
    <w:bookmarkEnd w:id="30"/>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clinical trials of our future product candidates could result in increased costs to us and could delay, prevent or limit our ability to generate revenue and continue our business.</w:t>
      </w:r>
    </w:p>
    <w:p>
      <w:pPr>
        <w:spacing w:after="0" w:line="62"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Despite the guidance we may receive from the FDA, the EMA, or other applicable regulatory authorities, any of these regulatory authorities can change their positions on the acceptability of our clinical trial designs or the clinical endpoints selected, which may require us to complete additional clinical trials or impose stricter approval conditions than we expect. Successful completion of such clinical trials is a prerequisite to submitting an NDA to the FDA and a Marketing Authorization Application to the EMA and, consequently, the ultimate approval and commercial marketing of our future product candidates, if any. We do not know whether any clinical trials for our future product candidates will begin or be completed on schedule, if at all, as the commencement and completion of clinical trials can be delayed or prevented for a number of reasons, including, among others:</w:t>
      </w:r>
    </w:p>
    <w:p>
      <w:pPr>
        <w:spacing w:after="0" w:line="70" w:lineRule="exact"/>
        <w:rPr>
          <w:sz w:val="20"/>
          <w:szCs w:val="20"/>
          <w:color w:val="auto"/>
        </w:rPr>
      </w:pPr>
    </w:p>
    <w:p>
      <w:pPr>
        <w:ind w:left="1120" w:right="4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applicable regulatory authorities, may deny permission to begin or continue clinical trials, including for certain indications, we want to conduct;</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that may be required;</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or other applicable regulatory authorities, may require additional nonclinical studies;</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120" w:right="68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or other country;</w:t>
      </w:r>
    </w:p>
    <w:p>
      <w:pPr>
        <w:spacing w:after="0" w:line="62" w:lineRule="exact"/>
        <w:rPr>
          <w:rFonts w:ascii="Arial" w:cs="Arial" w:eastAsia="Arial" w:hAnsi="Arial"/>
          <w:sz w:val="18"/>
          <w:szCs w:val="18"/>
          <w:color w:val="auto"/>
        </w:rPr>
      </w:pPr>
    </w:p>
    <w:p>
      <w:pPr>
        <w:ind w:left="1120" w:right="300" w:hanging="558"/>
        <w:spacing w:after="0" w:line="312"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38" w:lineRule="exact"/>
        <w:rPr>
          <w:rFonts w:ascii="Arial" w:cs="Arial" w:eastAsia="Arial" w:hAnsi="Arial"/>
          <w:sz w:val="16"/>
          <w:szCs w:val="16"/>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future clinical trials;</w:t>
      </w:r>
    </w:p>
    <w:p>
      <w:pPr>
        <w:spacing w:after="0" w:line="117" w:lineRule="exact"/>
        <w:rPr>
          <w:rFonts w:ascii="Arial" w:cs="Arial" w:eastAsia="Arial" w:hAnsi="Arial"/>
          <w:sz w:val="18"/>
          <w:szCs w:val="18"/>
          <w:color w:val="auto"/>
        </w:rPr>
      </w:pPr>
    </w:p>
    <w:p>
      <w:pPr>
        <w:ind w:left="1120" w:right="44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117" w:lineRule="exact"/>
        <w:rPr>
          <w:rFonts w:ascii="Arial" w:cs="Arial" w:eastAsia="Arial" w:hAnsi="Arial"/>
          <w:sz w:val="18"/>
          <w:szCs w:val="18"/>
          <w:color w:val="auto"/>
        </w:rPr>
      </w:pPr>
    </w:p>
    <w:p>
      <w:pPr>
        <w:ind w:left="1120" w:right="80" w:hanging="558"/>
        <w:spacing w:after="0" w:line="308"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the applicable regulatory authorities, may disagree with our clinical trial designs, our interpretation of data from clinical trials, or may change the requirements for approval even after it has reviewed and commented on the design for our clinical trials; and</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therapies that raise safety or efficacy concerns.</w:t>
      </w:r>
    </w:p>
    <w:p>
      <w:pPr>
        <w:spacing w:after="0" w:line="225"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overseeing the clinical trial at issue or other regulatory authorities due to a number of factors, including, among others:</w:t>
      </w:r>
    </w:p>
    <w:p>
      <w:pPr>
        <w:spacing w:after="0" w:line="79" w:lineRule="exact"/>
        <w:rPr>
          <w:sz w:val="20"/>
          <w:szCs w:val="20"/>
          <w:color w:val="auto"/>
        </w:rPr>
      </w:pPr>
    </w:p>
    <w:p>
      <w:pPr>
        <w:ind w:left="5620" w:right="2780" w:hanging="5058"/>
        <w:spacing w:after="0" w:line="528" w:lineRule="auto"/>
        <w:tabs>
          <w:tab w:leader="none" w:pos="11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1" w:name="page32"/>
    <w:bookmarkEnd w:id="31"/>
    <w:p>
      <w:pPr>
        <w:ind w:left="1120" w:right="580" w:hanging="558"/>
        <w:spacing w:after="0" w:line="342" w:lineRule="auto"/>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inspection of the clinical trial operations or trial sites by the FDA or other applicable regulatory authorities, that reveals deficiencies or violations that require us to undertake corrective action, including the imposition of a partial clinical hold or a full clinical hold;</w:t>
      </w:r>
    </w:p>
    <w:p>
      <w:pPr>
        <w:spacing w:after="0" w:line="15" w:lineRule="exact"/>
        <w:rPr>
          <w:rFonts w:ascii="Arial" w:cs="Arial" w:eastAsia="Arial" w:hAnsi="Arial"/>
          <w:sz w:val="16"/>
          <w:szCs w:val="16"/>
          <w:color w:val="auto"/>
        </w:rPr>
      </w:pPr>
    </w:p>
    <w:p>
      <w:pPr>
        <w:ind w:left="1120" w:right="2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nonclinical studies or in the clinical studies of drugs in the same class as our future product candidates, adverse side effects or lack of effectiveness;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other regulatory agencies or unanticipated events during our clinical trials of our future product candidates,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future clinical trials, if any, may force us to adjust our clinical program. The FDA, the EMA, or the applicable regulatory authorities may impose additional clinical trial and/or nonclinical study requirements. Amendments to our future clinical trial protocols would require resubmission to the FDA or other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our future product candidates may be harmed and our ability to generate product revenue will be delayed.</w:t>
      </w:r>
    </w:p>
    <w:p>
      <w:pPr>
        <w:spacing w:after="0" w:line="2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We have relied on, and expect that we will continue to rely, on third parties to conduct any future clinical trials for our future product candidates, if any. If these third parties do not successfully carry out their contractual duties or meet expected deadlines, we may not be able to develop and obtain regulatory approval for or commercialize any future product candidates, and our business could be substantially harmed.</w:t>
      </w:r>
    </w:p>
    <w:p>
      <w:pPr>
        <w:spacing w:after="0" w:line="39"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We entered into agreements with third-party CROs to provide monitors for and to manage data for our prior clinical trials. We relied heavily on these parties for execution of past clinical trials and may continue to rely on these parties for clinical trials for our future product candidates, if any,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50" w:lineRule="exact"/>
        <w:rPr>
          <w:sz w:val="20"/>
          <w:szCs w:val="20"/>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in the future, if any,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must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future clinical trials, if any,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comply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ind w:right="40"/>
        <w:spacing w:after="0" w:line="257" w:lineRule="auto"/>
        <w:rPr>
          <w:sz w:val="20"/>
          <w:szCs w:val="20"/>
          <w:color w:val="auto"/>
        </w:rPr>
      </w:pPr>
      <w:r>
        <w:rPr>
          <w:rFonts w:ascii="Arial" w:cs="Arial" w:eastAsia="Arial" w:hAnsi="Arial"/>
          <w:sz w:val="18"/>
          <w:szCs w:val="18"/>
          <w:color w:val="auto"/>
        </w:rPr>
        <w:t>with GCPs. In addition, our future clinical trials, if any,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Although we design our clinical trials, in the past, investigators and CROs have conducted all of our clinical trials. As a result, many important aspects of our drug development programs have been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or comparable foreign laws and regulations during the conduct of our clinical trials. If the investigators or CROs do not perform clinical trials in a satisfactory manner, breach their obligations to us, or fail to comply with regulatory requirements, the development and commercialization of our future product candidates may be delayed or our development program materially and irreversibly harmed. We cannot control the amount and timing of resources these investigators or CROs will devote to our future product candidates.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82"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future product candidates. As a result, our financial results and the commercial prospects for our future product candidates in the subject indications would be harmed, our costs could increase and our ability to generate revenue could be delayed.</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on a large clinical or commercial scale and have no manufacturing facility. As a result, we are dependent on third-party manufacturers, as well as on third parties for our supply chain, and if we experience problems with any third parties, or the actual demand for our future product candidates, if any, exceed our forecasts, the manufacture of adequate supplies of our future product candidates or products could be delayed.</w:t>
      </w:r>
    </w:p>
    <w:p>
      <w:pPr>
        <w:spacing w:after="0" w:line="187"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We do not own or operate facilities for the manufacture of our future product candidates, if any. We currently have no plans to build our own manufacturing facilities for clinical or commercial operations. We have in the past relied on contract manufacturing organizations, or CMOs, for the chemical manufacture of active pharmaceutical ingredient and for the production of final product formulation and packaging for clinical trials, and expect to rely on CMOs for any future product candidate we are able to advance into clinical development. Although alternative third party suppliers with the necessary manufacturing and regulatory expertise and facilities exist, it could be expensive and take a significant amount of time to arrange for alternative suppliers should we commence clinical development of any future product candidate. We may encounter technical difficulties or delays in the transfer of manufacturing on a commercial scale to third party manufacturers. We may be unable to enter into agreements for commercial supply with third party manufacturers, or may be unable to do so on acceptable terms. If we are unable to arrange for alternative third-party manufacturing sources, or to do so on commercially reasonable terms or in a timely manner, we may not be able to complete development of any future product candidates, or market or distribute them.</w:t>
      </w:r>
    </w:p>
    <w:p>
      <w:pPr>
        <w:spacing w:after="0" w:line="167"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Reliance on third party manufacturers entails risks to which we would not be subject if we manufactured product candidates or products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products we may eventually commercialize in accordance with our specifications, and the possibility of termination or nonrenewal of the agreement by the third party, based on its own business priorities, at a time that is costly or damaging to us. In addition, the FDA and other regulatory authorities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 and could cause us to incur higher costs and prevent us from commercializing our product candidates successfully. In addition, such failure could be the basis for the FDA to issue a warning letter, withdraw approvals for product candidates previously granted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ind w:right="60"/>
        <w:spacing w:after="0" w:line="264" w:lineRule="auto"/>
        <w:rPr>
          <w:sz w:val="20"/>
          <w:szCs w:val="20"/>
          <w:color w:val="auto"/>
        </w:rPr>
      </w:pPr>
      <w:r>
        <w:rPr>
          <w:rFonts w:ascii="Arial" w:cs="Arial" w:eastAsia="Arial" w:hAnsi="Arial"/>
          <w:sz w:val="18"/>
          <w:szCs w:val="18"/>
          <w:color w:val="auto"/>
        </w:rPr>
        <w:t>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products, refusal to permit the import or export of products, injunction, or imposing civil and criminal penalties.</w:t>
      </w:r>
    </w:p>
    <w:p>
      <w:pPr>
        <w:spacing w:after="0" w:line="181" w:lineRule="exact"/>
        <w:rPr>
          <w:sz w:val="20"/>
          <w:szCs w:val="20"/>
          <w:color w:val="auto"/>
        </w:rPr>
      </w:pPr>
    </w:p>
    <w:p>
      <w:pPr>
        <w:jc w:val="both"/>
        <w:ind w:right="120" w:firstLine="555"/>
        <w:spacing w:after="0" w:line="291" w:lineRule="auto"/>
        <w:rPr>
          <w:sz w:val="20"/>
          <w:szCs w:val="20"/>
          <w:color w:val="auto"/>
        </w:rPr>
      </w:pPr>
      <w:r>
        <w:rPr>
          <w:rFonts w:ascii="Arial" w:cs="Arial" w:eastAsia="Arial" w:hAnsi="Arial"/>
          <w:sz w:val="16"/>
          <w:szCs w:val="16"/>
          <w:color w:val="auto"/>
        </w:rPr>
        <w:t>Any significant disruption in our supplier relationships could harm our business. Any significant delay in the supply of a product candidate or its key materials for a clinical trial could considerably delay completion of our clinical trials, product testing and potential regulatory approval of our future product candidates. If our manufacturers or we are unable to purchase these key materials after regulatory approval has been obtained for our product candidates, the commercial launch of our product candidates would be delayed or there would be a shortage in supply, which would impair our ability to generate revenues from the sale of our product candidates. If our CMOs cannot manufacture sufficient quantity to meet the demand for our product candidates after regulatory approval, there would be a shortage in supply which would negatively impact our revenue from the sale of our product candidates. It may take several years to establish an alternative source of supply for our product candidates and to have any such new source approved by the FDA.</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We may pursue marketing approval for certain of our future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January 31, 2020, the United Kingdom government completed the process to leave the EU, or Brexit. The effects of Brexit will depend on any agreements the United Kingdom makes to retain access to EU markets either during a transitional period or more permanently. Brexit could lead to legal uncertainty and potentially divergent national laws and regulation as the United Kingdom determines which EU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right="340" w:firstLine="555"/>
        <w:spacing w:after="0" w:line="259" w:lineRule="auto"/>
        <w:rPr>
          <w:sz w:val="20"/>
          <w:szCs w:val="20"/>
          <w:color w:val="auto"/>
        </w:rPr>
      </w:pPr>
      <w:r>
        <w:rPr>
          <w:rFonts w:ascii="Arial" w:cs="Arial" w:eastAsia="Arial" w:hAnsi="Arial"/>
          <w:sz w:val="18"/>
          <w:szCs w:val="18"/>
          <w:color w:val="auto"/>
        </w:rPr>
        <w:t>The commercial success of a product candidate, if developed and approved for marketing by the FDA or EMA or other applicable regulatory authorities, will depend upon the awareness and acceptance of our future product candidates, if any, among the medical community, including physicians, patients, advocacy groups and healthcare payors. Market acceptance of a product candidate, if approved, will depend on a number of factors, including, among others:</w:t>
      </w:r>
    </w:p>
    <w:p>
      <w:pPr>
        <w:spacing w:after="0" w:line="79" w:lineRule="exact"/>
        <w:rPr>
          <w:sz w:val="20"/>
          <w:szCs w:val="20"/>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future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sufficient third party coverage or reimbursement;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 party coverage; and</w:t>
      </w:r>
    </w:p>
    <w:p>
      <w:pPr>
        <w:spacing w:after="0" w:line="117" w:lineRule="exact"/>
        <w:rPr>
          <w:rFonts w:ascii="Arial" w:cs="Arial" w:eastAsia="Arial" w:hAnsi="Arial"/>
          <w:sz w:val="18"/>
          <w:szCs w:val="18"/>
          <w:color w:val="auto"/>
        </w:rPr>
      </w:pPr>
    </w:p>
    <w:p>
      <w:pPr>
        <w:ind w:left="1120" w:right="100" w:hanging="558"/>
        <w:spacing w:after="0" w:line="264"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Risk Evaluation and Mitigation Strategies, or REMS, as a condition of approval or post-approval or may not agree with our proposed REMS or may impose additional requirements that limit the promotion, advertising, distribution or sales of our product candidates.</w:t>
      </w:r>
    </w:p>
    <w:p>
      <w:pPr>
        <w:spacing w:after="0" w:line="181"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right="220" w:firstLine="555"/>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any future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any future product candidate, we may still face future development and regulatory difficulties.</w:t>
      </w:r>
    </w:p>
    <w:p>
      <w:pPr>
        <w:spacing w:after="0" w:line="129"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Even if we receive marketing approval for a future product candidate, if any, regulatory authorities may still impose significant restrictions on the indicated uses or marketing of our product candidates, or may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post-approval regulatory requirements and potential requirements or restrictions on the sale of approved products, all of which could lead to lower sales volume and revenue. Additionally, the FDA may require post-marketing studies and/or post-marketing requirements that could represent and result in additional restrictions and/or limitations for the product.</w:t>
      </w:r>
    </w:p>
    <w:p>
      <w:pPr>
        <w:spacing w:after="0" w:line="18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any future product candidate, such as adverse events of unanticipated severity or frequency, or problems with the facility where any future product candidate is manufactured, a regulatory agency may impose restrictions on a product candidate, the manufacturer or us, including requiring withdrawal of any future product candidate from the market or suspension of manufacturing. If we or the manufacturing facilities for a product candidate fail to comply with applicable regulatory requirements, a regulatory agency may, among other things: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225"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2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360" w:firstLine="555"/>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73" w:lineRule="exact"/>
        <w:rPr>
          <w:sz w:val="20"/>
          <w:szCs w:val="20"/>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any future product candidates, if approved. Our future arrangements with third party payors will expose us to broadly applicable fraud and abuse and other healthcare laws and regulations that may constrain the business or financial arrangements and relationships through which we market, sell and distribute our future product candidates, if any, and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64" w:lineRule="exact"/>
        <w:rPr>
          <w:sz w:val="20"/>
          <w:szCs w:val="20"/>
          <w:color w:val="auto"/>
        </w:rPr>
      </w:pPr>
    </w:p>
    <w:p>
      <w:pPr>
        <w:ind w:left="1120" w:right="20" w:hanging="558"/>
        <w:spacing w:after="0" w:line="312"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38" w:lineRule="exact"/>
        <w:rPr>
          <w:rFonts w:ascii="Arial" w:cs="Arial" w:eastAsia="Arial" w:hAnsi="Arial"/>
          <w:sz w:val="16"/>
          <w:szCs w:val="16"/>
          <w:color w:val="auto"/>
        </w:rPr>
      </w:pPr>
    </w:p>
    <w:p>
      <w:pPr>
        <w:ind w:left="1120" w:right="220" w:hanging="558"/>
        <w:spacing w:after="0" w:line="259"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120" w:right="140" w:hanging="558"/>
        <w:spacing w:after="0" w:line="259"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120" w:right="500" w:hanging="558"/>
        <w:spacing w:after="0" w:line="308" w:lineRule="auto"/>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120" w:right="340" w:hanging="558"/>
        <w:spacing w:after="0" w:line="286" w:lineRule="auto"/>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57" w:lineRule="exact"/>
        <w:rPr>
          <w:rFonts w:ascii="Arial" w:cs="Arial" w:eastAsia="Arial" w:hAnsi="Arial"/>
          <w:sz w:val="17"/>
          <w:szCs w:val="17"/>
          <w:color w:val="auto"/>
        </w:rPr>
      </w:pPr>
    </w:p>
    <w:p>
      <w:pPr>
        <w:ind w:left="1120" w:right="20" w:hanging="558"/>
        <w:spacing w:after="0" w:line="279" w:lineRule="auto"/>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1120" w:right="320" w:hanging="558"/>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120" w:hanging="558"/>
        <w:spacing w:after="0" w:line="297"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58"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firstLine="555"/>
        <w:spacing w:after="0" w:line="270" w:lineRule="auto"/>
        <w:rPr>
          <w:sz w:val="20"/>
          <w:szCs w:val="20"/>
          <w:color w:val="auto"/>
        </w:rPr>
      </w:pPr>
      <w:r>
        <w:rPr>
          <w:rFonts w:ascii="Arial" w:cs="Arial" w:eastAsia="Arial" w:hAnsi="Arial"/>
          <w:sz w:val="17"/>
          <w:szCs w:val="17"/>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2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If we receive marketing approval for our future product candidates physicians may prescribe our product candidates, if any,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our future product candidates, if approved, we could become subject to significant liability, which would materially adversely affect our business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if any, that we elect to sell on our own.</w:t>
      </w:r>
    </w:p>
    <w:p>
      <w:pPr>
        <w:spacing w:after="0" w:line="117"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If approved by regulatory authorities, market acceptance and sales of product candidates, if any, that we elect to sell on our own will depend on reimbursement policies and may be affected by healthcare reform measures. Government authorities and third 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 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if any, that we elect to sell on our own. If reimbursement is not available or is available only at limited levels, we may not be able to successfully commercialize product candidates that we elect to sell on our own.</w:t>
      </w:r>
    </w:p>
    <w:p>
      <w:pPr>
        <w:spacing w:after="0" w:line="17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future drug candidates, if any, and affect the prices we may obtain.</w:t>
      </w:r>
    </w:p>
    <w:p>
      <w:pPr>
        <w:spacing w:after="0" w:line="62"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Affordable Care Act, or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ind w:right="20"/>
        <w:spacing w:after="0" w:line="270" w:lineRule="auto"/>
        <w:rPr>
          <w:sz w:val="20"/>
          <w:szCs w:val="20"/>
          <w:color w:val="auto"/>
        </w:rPr>
      </w:pPr>
      <w:r>
        <w:rPr>
          <w:rFonts w:ascii="Arial" w:cs="Arial" w:eastAsia="Arial" w:hAnsi="Arial"/>
          <w:sz w:val="17"/>
          <w:szCs w:val="17"/>
          <w:color w:val="auto"/>
        </w:rPr>
        <w:t>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90"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b w:val="1"/>
          <w:bCs w:val="1"/>
          <w:i w:val="1"/>
          <w:iCs w:val="1"/>
          <w:color w:val="auto"/>
        </w:rPr>
        <w:t>Facilitated regulatory pathways, such as but not limited to Breakthrough Therapy Designation, Fast Track Designation, Regenerative Medicine Advanced Therapy Designation, Priority Review, Accelerated Approval, PRIME, or regulatory incentives, such as but not limited to orphan drug designation, are pathways and incentives that may not be accepted/granted, and even if granted for any of our future product candidates, may not lead to a faster development period, regulatory review or approval process, does not increase the likelihood that any of our future product candidates will receive marketing approval, and does not increase the likelihood of receiving benefits or exclusivities associated with any of these designations or pathways.</w:t>
      </w:r>
    </w:p>
    <w:p>
      <w:pPr>
        <w:spacing w:after="0" w:line="39"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may seek one or more facilitated regulatory pathways in the US, EU or other countries for some of our future product candidates. None of these pathways change the standards for product approval in any country. These facilitated regulatory pathways may allow for increased interaction and communication between the health authorities (e.g., FDA and EMA) and the sponsor of clinical trials, may help to identify the most efficient path for clinical development while minimizing the number of patients placed in ineffective control regimens, and may allow for priority review and accelerated approval. Health authorities may not grant the requested designations, expedited pathways or other regulatory incentives. Even if granted, the receipt of the designations or the health authority support for expedited pathways or incentives may not result in a faster development process, review or approval compared to therapies considered for approval under conventional health authority procedures and does not guarantee approval in any country nor does it guarantee granting of any associated exclusivities or other benefits. In addition, even if one or more of our future product candidates qualify for any facilitated regulatory pathways or regulatory incentives, the health authority may later decide that such product candidates no longer meet the conditions for qualification, may decide that the time period for review or approval will not be shortened or may decide that the criteria for receiving exclusivity or other benefits were not adequately met.</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programs for our future product candidates, if any, may require substantial financial resources and may ultimately be unsuccessful.</w:t>
      </w:r>
    </w:p>
    <w:p>
      <w:pPr>
        <w:spacing w:after="0" w:line="140"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Satisfaction of FDA and certain European regulatory requirements will entail substantial time, effort and financial resources. We may never satisfy these requirements. We believe that our cash, cash equivalents and marketable securities will be sufficient to fund operations for a period of at least one year from the issuance date of this Annual Report, but we will need to raise more funds to continue development and commercialization of our future product candidates, if any, which may not be easily available. Furthermore, we may never commence clinical trials of such development programs despite expending significant resources in pursuit of their development. If we do commence clinical trials of any future potential product candidates, such product candidates may never be approved by the FDA or other regulatory authorities.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ZGN-1345, beloranib, ZGN-839 and additional MetAP2 inhibitors. We have never generated any revenue from product sales. We have not obtained regulatory approvals for any of our product candidates.</w:t>
      </w:r>
    </w:p>
    <w:p>
      <w:pPr>
        <w:spacing w:after="0" w:line="79"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In December 2015, the FDA put the beloranib IND application on full clinical hold. Due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ind w:right="20"/>
        <w:spacing w:after="0" w:line="286" w:lineRule="auto"/>
        <w:rPr>
          <w:sz w:val="20"/>
          <w:szCs w:val="20"/>
          <w:color w:val="auto"/>
        </w:rPr>
      </w:pPr>
      <w:r>
        <w:rPr>
          <w:rFonts w:ascii="Arial" w:cs="Arial" w:eastAsia="Arial" w:hAnsi="Arial"/>
          <w:sz w:val="16"/>
          <w:szCs w:val="16"/>
          <w:color w:val="auto"/>
        </w:rPr>
        <w:t xml:space="preserve">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November 2018, we received a letter from the FDA placing a full clinical hold on our IND for the first U.S. clinical trial of ZGN-1061. The FDA cited the possibility of CV safety risks based on similar results seen in our prior compound. In July 2019, we reached agreement with the FDA 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 and protocol to establish relevant safety margins for ZGN-1061. The study was designed to translate the data from the our newly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human endothelial cells and assessment of tissue factor expression with endothelial cells, along with other supportive assays, as we worked toward resolving the full clinical hold. Based on the preliminary results from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on September 5, 2019, we announced that we believe there is a low probability of resolving the clinical hold in the near-term. Subsequently, all further development activities of MetAP2 inhibitors were halted and we withdrew the IND for ZGN-1061 in September 2019. Therefore, we have determined that it is in the best interest of stockholders to expand our internal corporate development efforts and formally evaluate strategic alternatives. Following an extensive process of evaluating strategic alternatives and identifying and reviewing potential candidates for a strategic acquisition or other transaction, on December 17, 2019, we entered into an Agreement and Plan of Merger, or the Merger Agreement, with Chondrial, pursuant to which a wholly owned subsidiary of the Company will merge with and into Chondrial, with Chondrial continuing as the surviving corporation and a wholly owned subsidiary of the Company and the combined publicly traded, clinical-stage biopharmaceutical company will operate under a new name, Larimar Therapeutics, Inc. We expect to devote significant time and resources to completion of this proposed transaction.</w:t>
      </w:r>
    </w:p>
    <w:p>
      <w:pPr>
        <w:spacing w:after="0" w:line="169"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We have funded our operations to date through proceeds from sales of redeemable convertible preferred stock, convertible debt and proceeds from our IPO and follow-on public offerings, and have incurred losses in each year since our inception. In July 2018, we sold 9,200,000 shares of our common stock at a price of $7.50 per share. Our net losses were $45.4 million for the year ended December 31, 2019 and $61.4 million for the year ended December 31, 2018. As of December 31, 2019, we had an accumulated deficit of $396.4 million. Substantially all of our operating losses resulted from costs incurred in connection with our development programs for ZGN-1061, ZGN-1258, ZGN-1345, beloranib, ZGN-839, early research activities, licensing milestone fees and from general and administrative costs associated with our operations. Our prior losses, combined with expected future losses, have had and will continue to have an adverse effect on our stockholders’ equity and working capital. In addition, if and when we obtain marketing approval for a future product candidate, we will incur significant sales, marketing and manufacturing expenses. We will continue to incur additional costs associated with operating as a public company. As a result, we expect to continue to incur significant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79" w:lineRule="exact"/>
        <w:rPr>
          <w:sz w:val="20"/>
          <w:szCs w:val="20"/>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submit IND applications that go into effect with the FDA to initiate clinical trials for our future product candidates;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future product candidates in the indications we are pursuing;</w:t>
      </w:r>
    </w:p>
    <w:p>
      <w:pPr>
        <w:spacing w:after="0" w:line="62" w:lineRule="exact"/>
        <w:rPr>
          <w:rFonts w:ascii="Arial" w:cs="Arial" w:eastAsia="Arial" w:hAnsi="Arial"/>
          <w:sz w:val="18"/>
          <w:szCs w:val="18"/>
          <w:color w:val="auto"/>
        </w:rPr>
      </w:pPr>
    </w:p>
    <w:p>
      <w:pPr>
        <w:ind w:left="1120" w:right="520" w:hanging="558"/>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400" w:firstLine="555"/>
        <w:spacing w:after="0" w:line="276" w:lineRule="auto"/>
        <w:rPr>
          <w:sz w:val="20"/>
          <w:szCs w:val="20"/>
          <w:color w:val="auto"/>
        </w:rPr>
      </w:pPr>
      <w:r>
        <w:rPr>
          <w:rFonts w:ascii="Arial" w:cs="Arial" w:eastAsia="Arial" w:hAnsi="Arial"/>
          <w:sz w:val="17"/>
          <w:szCs w:val="17"/>
          <w:color w:val="auto"/>
        </w:rPr>
        <w:t>Absent our entering into a collaboration or partnership agreement, we expect to incur significant sales and marketing costs when we prepare to commercialize our product candidates. Even if we initiate and successfully complete our clinical trials of our future product candidates, if any, and any product candidates are approved for commercial sale our product candidates, if any, may not be commercially successful drugs. Despite expending these costs. We may not achieve profitability soon after generating product sales, if ever. If we are unable to generate sufficient product revenue, we will not become profitable and may be unable to continue operations without continued funding.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0" w:name="page41"/>
    <w:bookmarkEnd w:id="40"/>
    <w:p>
      <w:pPr>
        <w:ind w:right="18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580" w:firstLine="555"/>
        <w:spacing w:after="0" w:line="259" w:lineRule="auto"/>
        <w:rPr>
          <w:sz w:val="20"/>
          <w:szCs w:val="20"/>
          <w:color w:val="auto"/>
        </w:rPr>
      </w:pPr>
      <w:r>
        <w:rPr>
          <w:rFonts w:ascii="Arial" w:cs="Arial" w:eastAsia="Arial" w:hAnsi="Arial"/>
          <w:sz w:val="18"/>
          <w:szCs w:val="18"/>
          <w:color w:val="auto"/>
        </w:rPr>
        <w:t>Developing drugs is expensive. Depending on the status of regulatory approval or, if approved, commercialization of any of our future product candidates, as well as the progress we make in selling any of our future product candidates, we will require additional capital to fund operating needs thereafter. We may also need to raise additional funds sooner if we choose to pursue additional indications and/or geographies for our future product candidates or otherwise expand more rapidly than we anticipate.</w:t>
      </w:r>
    </w:p>
    <w:p>
      <w:pPr>
        <w:spacing w:after="0" w:line="18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As of December 31, 2019, our cash, cash equivalents and marketable securities were $70.3 million and we have a Term Loan with an outstanding principal balance of $14.5 million. The Term Loan is collateralized by substantially all of our personal property, other than our intellectual property. Additionally, we, as the borrower, are required to maintain a minimum unrestricted cash, cash equivalents and marketable securities balance at Silicon Valley Bank of no less than 105% of the total outstanding principal balance of the Term Loan, which as of December 31, 2019 and December 31, 2018 was $15.3 million and $21.0 million, respectively.</w:t>
      </w:r>
    </w:p>
    <w:p>
      <w:pPr>
        <w:spacing w:after="0" w:line="188"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Further, as part of the requirements of the Term Loan, we must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 There are negative covenants restricting our activities, including limitations on dispositions, mergers or acquisitions, encumbering or granting a security interest in our intellectual property, incurring indebtedness or liens, paying dividends, making certain investments, limiting the aggregate value of cash maintained by our Australian subsidiary not to exceed $4.0 million and certain other business transactions. 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175"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We expect that our cash, cash equivalents and marketable securities will be sufficient to fund our current operations for a period of at least one year from the issuance date of this Annual Report. We expect to devote significant time and resources to completion of the proposed merger with Chondrial. However, there can be no assurance that such activities will result in the completion of the Merger. Further, the completion of the Merger ultimately may not deliver the anticipated benefits or enhance shareholder value. In addition,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future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7" w:lineRule="exact"/>
        <w:rPr>
          <w:sz w:val="20"/>
          <w:szCs w:val="20"/>
          <w:color w:val="auto"/>
        </w:rPr>
      </w:pPr>
    </w:p>
    <w:p>
      <w:pPr>
        <w:ind w:right="80" w:firstLine="555"/>
        <w:spacing w:after="0" w:line="253"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future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ind w:right="20"/>
        <w:spacing w:after="0" w:line="277" w:lineRule="auto"/>
        <w:rPr>
          <w:sz w:val="20"/>
          <w:szCs w:val="20"/>
          <w:color w:val="auto"/>
        </w:rPr>
      </w:pPr>
      <w:r>
        <w:rPr>
          <w:rFonts w:ascii="Arial" w:cs="Arial" w:eastAsia="Arial" w:hAnsi="Arial"/>
          <w:sz w:val="18"/>
          <w:szCs w:val="18"/>
          <w:color w:val="auto"/>
        </w:rPr>
        <w:t>required to relinquish rights to some of our technologies or product candidate or otherwise agree to terms unfavorable to us, any of which may have a material adverse effect on our business, operating results and prospects.</w:t>
      </w:r>
    </w:p>
    <w:p>
      <w:pPr>
        <w:spacing w:after="0" w:line="170" w:lineRule="exact"/>
        <w:rPr>
          <w:sz w:val="20"/>
          <w:szCs w:val="20"/>
          <w:color w:val="auto"/>
        </w:rPr>
      </w:pPr>
    </w:p>
    <w:p>
      <w:pPr>
        <w:ind w:right="220" w:firstLine="555"/>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120" w:firstLine="555"/>
        <w:spacing w:after="0" w:line="287"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offering costs. 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its sales agent. Through December 31, 2019 we have not sold any shares under the Sales Agreement.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rights to our future product candidates, our intellectual property, future revenue streams or grant licenses on terms that are not favorable to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our future product candidates, if any,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Because we expect to complete the proposed merger with Chondrial, we are not pursuing additional patents and are not continuing to maintain issued patents or other intellectual property rights in the United States and elsewhere directed to MetAP2 inhibitors.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right="740" w:firstLine="555"/>
        <w:spacing w:after="0" w:line="277" w:lineRule="auto"/>
        <w:rPr>
          <w:sz w:val="20"/>
          <w:szCs w:val="20"/>
          <w:color w:val="auto"/>
        </w:rPr>
      </w:pPr>
      <w:r>
        <w:rPr>
          <w:rFonts w:ascii="Arial" w:cs="Arial" w:eastAsia="Arial" w:hAnsi="Arial"/>
          <w:sz w:val="18"/>
          <w:szCs w:val="18"/>
          <w:color w:val="auto"/>
        </w:rPr>
        <w:t>As of February 29, 2020, we own thirty-eight issued U.S. patents, all of which relate to our internal efforts to discover and discover MetAP2 inhibitors.</w:t>
      </w:r>
    </w:p>
    <w:p>
      <w:pPr>
        <w:spacing w:after="0" w:line="170"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future product candidates.</w:t>
      </w:r>
    </w:p>
    <w:p>
      <w:pPr>
        <w:spacing w:after="0" w:line="167"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right="220"/>
        <w:spacing w:after="0" w:line="277" w:lineRule="auto"/>
        <w:rPr>
          <w:sz w:val="20"/>
          <w:szCs w:val="20"/>
          <w:color w:val="auto"/>
        </w:rPr>
      </w:pPr>
      <w:r>
        <w:rPr>
          <w:rFonts w:ascii="Arial" w:cs="Arial" w:eastAsia="Arial" w:hAnsi="Arial"/>
          <w:sz w:val="18"/>
          <w:szCs w:val="18"/>
          <w:color w:val="auto"/>
        </w:rPr>
        <w:t>in protecting our proprietary rights in these countries. If these developments were to occur, they could have a material adverse effect on our potential future sales.</w:t>
      </w:r>
    </w:p>
    <w:p>
      <w:pPr>
        <w:spacing w:after="0" w:line="170"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future product candidates, are invalidated or found unenforceable, our financial position and results of operations would be materially and adversely impacted. In addition, if a court found that valid, enforceable patents held by third parties covered our future product candidates, our financial position and results of operations would also be materially and adversely impacted.</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include claims having a scope sufficient to protect our future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be able to successfully develop and commercialize any future product candidates, if approved, before our relevant patents expire;</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17" w:lineRule="exact"/>
        <w:rPr>
          <w:rFonts w:ascii="Arial" w:cs="Arial" w:eastAsia="Arial" w:hAnsi="Arial"/>
          <w:sz w:val="18"/>
          <w:szCs w:val="18"/>
          <w:color w:val="auto"/>
        </w:rPr>
      </w:pPr>
    </w:p>
    <w:p>
      <w:pPr>
        <w:ind w:left="1120" w:right="860" w:hanging="558"/>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our commercial activities or products, if any, will not infringe upon the patents of others.</w:t>
      </w:r>
    </w:p>
    <w:p>
      <w:pPr>
        <w:spacing w:after="0" w:line="225"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any future product candidates, if approved.</w:t>
      </w:r>
    </w:p>
    <w:p>
      <w:pPr>
        <w:spacing w:after="0" w:line="62"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future product candidates, if any,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100"/>
        <w:spacing w:after="0" w:line="259" w:lineRule="auto"/>
        <w:rPr>
          <w:sz w:val="20"/>
          <w:szCs w:val="20"/>
          <w:color w:val="auto"/>
        </w:rPr>
      </w:pPr>
      <w:r>
        <w:rPr>
          <w:rFonts w:ascii="Arial" w:cs="Arial" w:eastAsia="Arial" w:hAnsi="Arial"/>
          <w:sz w:val="18"/>
          <w:szCs w:val="18"/>
          <w:color w:val="auto"/>
        </w:rPr>
        <w:t>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future product candidates, if any.</w:t>
      </w:r>
    </w:p>
    <w:p>
      <w:pPr>
        <w:spacing w:after="0" w:line="18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future product candidates, if 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preparations or developing of any future product candidates;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40" w:lineRule="exact"/>
        <w:rPr>
          <w:rFonts w:ascii="Arial" w:cs="Arial" w:eastAsia="Arial" w:hAnsi="Arial"/>
          <w:sz w:val="16"/>
          <w:szCs w:val="16"/>
          <w:color w:val="auto"/>
        </w:rPr>
      </w:pPr>
    </w:p>
    <w:p>
      <w:pPr>
        <w:ind w:left="1120" w:right="820" w:hanging="558"/>
        <w:spacing w:after="0" w:line="342"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jc w:val="both"/>
        <w:ind w:right="260"/>
        <w:spacing w:after="0" w:line="259" w:lineRule="auto"/>
        <w:rPr>
          <w:sz w:val="20"/>
          <w:szCs w:val="20"/>
          <w:color w:val="auto"/>
        </w:rPr>
      </w:pPr>
      <w:r>
        <w:rPr>
          <w:rFonts w:ascii="Arial" w:cs="Arial" w:eastAsia="Arial" w:hAnsi="Arial"/>
          <w:sz w:val="18"/>
          <w:szCs w:val="18"/>
          <w:color w:val="auto"/>
        </w:rPr>
        <w:t>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8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future product candidates, if any, could be found invalid or unenforceable if challenged in court.</w:t>
      </w:r>
    </w:p>
    <w:p>
      <w:pPr>
        <w:spacing w:after="0" w:line="117"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66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jc w:val="both"/>
        <w:ind w:right="20" w:firstLine="555"/>
        <w:spacing w:after="0" w:line="293" w:lineRule="auto"/>
        <w:rPr>
          <w:sz w:val="20"/>
          <w:szCs w:val="20"/>
          <w:color w:val="auto"/>
        </w:rPr>
      </w:pPr>
      <w:r>
        <w:rPr>
          <w:rFonts w:ascii="Arial" w:cs="Arial" w:eastAsia="Arial" w:hAnsi="Arial"/>
          <w:sz w:val="16"/>
          <w:szCs w:val="16"/>
          <w:color w:val="auto"/>
        </w:rPr>
        <w:t>We have an exclusive license with Children’s Medical Center Corporation, which we have elected to terminate in the first quarter of 2020, pursuant to which we exclusively licensed certain patent rights relating to decreasing the growth of fat tissue,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our future product candidates, if any, and failure to secure such registrations could adversely affect our business.</w:t>
      </w:r>
    </w:p>
    <w:p>
      <w:pPr>
        <w:spacing w:after="0" w:line="62" w:lineRule="exact"/>
        <w:rPr>
          <w:sz w:val="20"/>
          <w:szCs w:val="20"/>
          <w:color w:val="auto"/>
        </w:rPr>
      </w:pPr>
    </w:p>
    <w:p>
      <w:pPr>
        <w:ind w:right="140" w:firstLine="555"/>
        <w:spacing w:after="0" w:line="289" w:lineRule="auto"/>
        <w:rPr>
          <w:sz w:val="20"/>
          <w:szCs w:val="20"/>
          <w:color w:val="auto"/>
        </w:rPr>
      </w:pPr>
      <w:r>
        <w:rPr>
          <w:rFonts w:ascii="Arial" w:cs="Arial" w:eastAsia="Arial" w:hAnsi="Arial"/>
          <w:sz w:val="16"/>
          <w:szCs w:val="16"/>
          <w:color w:val="auto"/>
        </w:rPr>
        <w:t>We have not yet registered trademarks for a commercial trade name for our future product candidates, if any.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future product candidates, our business may be materially harmed.</w:t>
      </w:r>
    </w:p>
    <w:p>
      <w:pPr>
        <w:spacing w:after="0" w:line="62"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Depending upon the timing, duration and specifics of development and FDA marketing approval of our future product candidates, if any,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60" w:firstLine="555"/>
        <w:spacing w:after="0" w:line="269"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40"/>
        <w:spacing w:after="0" w:line="297" w:lineRule="auto"/>
        <w:rPr>
          <w:sz w:val="20"/>
          <w:szCs w:val="20"/>
          <w:color w:val="auto"/>
        </w:rPr>
      </w:pPr>
      <w:r>
        <w:rPr>
          <w:rFonts w:ascii="Arial" w:cs="Arial" w:eastAsia="Arial" w:hAnsi="Arial"/>
          <w:sz w:val="16"/>
          <w:szCs w:val="16"/>
          <w:color w:val="auto"/>
        </w:rPr>
        <w:t>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financial condition and prospects.</w:t>
      </w:r>
    </w:p>
    <w:p>
      <w:pPr>
        <w:spacing w:after="0" w:line="15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Our employees have been previously employed, and may be employed in the future,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our future product candidates,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We have leased approximately 17,705 square feet of office space at 3 Center Plaza, Boston, Massachusetts on February 12, 2019 with a term expiring on October 30, 2030.</w:t>
      </w:r>
    </w:p>
    <w:p>
      <w:pPr>
        <w:spacing w:after="0" w:line="62" w:lineRule="exact"/>
        <w:rPr>
          <w:sz w:val="20"/>
          <w:szCs w:val="20"/>
          <w:color w:val="auto"/>
        </w:rPr>
      </w:pPr>
    </w:p>
    <w:p>
      <w:pPr>
        <w:ind w:right="60" w:firstLine="555"/>
        <w:spacing w:after="0" w:line="342" w:lineRule="auto"/>
        <w:rPr>
          <w:sz w:val="20"/>
          <w:szCs w:val="20"/>
          <w:color w:val="auto"/>
        </w:rPr>
      </w:pPr>
      <w:r>
        <w:rPr>
          <w:rFonts w:ascii="Arial" w:cs="Arial" w:eastAsia="Arial" w:hAnsi="Arial"/>
          <w:sz w:val="16"/>
          <w:szCs w:val="16"/>
          <w:color w:val="auto"/>
        </w:rPr>
        <w:t>We have leased approximately 2,976 square feet of office space at 175 Portland Street, 2nd Floor, Boston, Massachusetts, from April 15, 2015 to July 31, 2020, which, with the landlord’s consent, we have subleased to an unrelated third party beginning on January 1, 2017 and expiring on July 31, 2020.</w:t>
      </w:r>
    </w:p>
    <w:p>
      <w:pPr>
        <w:spacing w:after="0" w:line="16"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We have also leased 3,079 square feet of office space in San Diego, California, from October 1, 2015 to September 30, 2019. In January 2019, we extended the lease with a new term expiring on December 31, 2024.</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our existing facilities are adequate for our current needs and suitable additional or substitute space would be available if needed.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As of the date of this Annual Report,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Our common stock commenced trading under the symbol “ZFGN” on the NASDAQ Global Market on June 19, 2014. Prior to that time, there was no public market for our common stock. Our common stock in our initial public offering priced at $16.00 per share on June 18, 2014.</w:t>
      </w:r>
    </w:p>
    <w:p>
      <w:pPr>
        <w:spacing w:after="0" w:line="170"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On March 1, 2020, the last reported sales price of our common stock on the NASDAQ Global Market was $1.11 and as of March 1, 2020, there were approximately 19 holders of record of our common stock. However, because many of our outstanding shares are held in accounts with brokers and other institutions, we believe we have more beneficial owners.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outstanding indebtedness restrict our ability to pay dividends, and any future indebtedness that we may incur could preclude us from paying dividends.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12—Security Ownership of Certain Beneficial Owners and Management and Related Stockholder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380" w:firstLine="815"/>
        <w:spacing w:after="0" w:line="264" w:lineRule="auto"/>
        <w:rPr>
          <w:sz w:val="20"/>
          <w:szCs w:val="20"/>
          <w:color w:val="auto"/>
        </w:rPr>
      </w:pPr>
      <w:r>
        <w:rPr>
          <w:rFonts w:ascii="Arial" w:cs="Arial" w:eastAsia="Arial" w:hAnsi="Arial"/>
          <w:sz w:val="18"/>
          <w:szCs w:val="18"/>
          <w:color w:val="auto"/>
        </w:rPr>
        <w:t>On December 17, 2019, we entered into an Agreement and Plan of Merger, or the Merger Agreement, with Chondrial Therapeutics, Inc., or Chondrial, pursuant to which a wholly owned subsidiary of the company will merge with and into Chondrial, with Chondrial continuing as the surviving corporation and a wholly owned subsidiary of the company.</w:t>
      </w:r>
    </w:p>
    <w:p>
      <w:pPr>
        <w:spacing w:after="0" w:line="73" w:lineRule="exact"/>
        <w:rPr>
          <w:sz w:val="20"/>
          <w:szCs w:val="20"/>
          <w:color w:val="auto"/>
        </w:rPr>
      </w:pPr>
    </w:p>
    <w:p>
      <w:pPr>
        <w:ind w:firstLine="815"/>
        <w:spacing w:after="0" w:line="257" w:lineRule="auto"/>
        <w:rPr>
          <w:sz w:val="20"/>
          <w:szCs w:val="20"/>
          <w:color w:val="auto"/>
        </w:rPr>
      </w:pPr>
      <w:r>
        <w:rPr>
          <w:rFonts w:ascii="Arial" w:cs="Arial" w:eastAsia="Arial" w:hAnsi="Arial"/>
          <w:sz w:val="18"/>
          <w:szCs w:val="18"/>
          <w:color w:val="auto"/>
        </w:rPr>
        <w:t>Under the exchange ratio formula in the Merger Agreement, as of immediately after the merger, the former Chondrial securityholders are expected to own approximately 60% of the outstanding shares of our common stock on a fully-diluted basis and our stockholders as of immediately prior to the merger are expected to own approximately 40% of our outstanding shares of common stock on a fully-diluted basis. Under certain circumstances further described in the Merger Agreement, the ownership percentages may be adjusted upward or downward based on the level of our net cash at the closing of the merger and certain other adjustments.</w:t>
      </w:r>
    </w:p>
    <w:p>
      <w:pPr>
        <w:spacing w:after="0" w:line="188" w:lineRule="exact"/>
        <w:rPr>
          <w:sz w:val="20"/>
          <w:szCs w:val="20"/>
          <w:color w:val="auto"/>
        </w:rPr>
      </w:pPr>
    </w:p>
    <w:p>
      <w:pPr>
        <w:jc w:val="both"/>
        <w:ind w:right="80" w:firstLine="815"/>
        <w:spacing w:after="0" w:line="264" w:lineRule="auto"/>
        <w:rPr>
          <w:sz w:val="20"/>
          <w:szCs w:val="20"/>
          <w:color w:val="auto"/>
        </w:rPr>
      </w:pPr>
      <w:r>
        <w:rPr>
          <w:rFonts w:ascii="Arial" w:cs="Arial" w:eastAsia="Arial" w:hAnsi="Arial"/>
          <w:sz w:val="18"/>
          <w:szCs w:val="18"/>
          <w:color w:val="auto"/>
        </w:rPr>
        <w:t>The shares to be issued by us in the merger will be issued in a private placement exempt from registration under Section 4(a)(2) of the Securities Act, because the offer and sale of such securities does not involve a “public offering” as defined in Section 4(a)(2) of the Securities Act, and other applicable requirements were met.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The selected financial data set forth below has been derived from our audited consolidated financial statements. The information set forth below should be read in conjunction with “Management’s Discussion and Analysis of Financial Condition and Results of Operations” and the audited consolidated financial statements, and the notes thereto, and other financial information included herein. Our historical results are not necessarily indicative of our future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58,225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Foreign currency transaction gains (losses), net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 (1)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37,347,199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32,228,721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27,433,239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27,297,934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26,756,000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70,261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118,066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102,052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129,194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185,079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59,313</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108,024</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97,632</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121,005</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171,567</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80,734</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121,762</w:t>
            </w:r>
          </w:p>
        </w:tc>
        <w:tc>
          <w:tcPr>
            <w:tcW w:w="3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105,510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131,621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189,106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Notes payable, net of discount, long-term</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15,185</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53,624</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93,271</w:t>
            </w:r>
          </w:p>
        </w:tc>
        <w:tc>
          <w:tcPr>
            <w:tcW w:w="3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78,217</w:t>
            </w:r>
          </w:p>
        </w:tc>
        <w:tc>
          <w:tcPr>
            <w:tcW w:w="3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121,727</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169,110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5519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54" w:lineRule="exact"/>
        <w:rPr>
          <w:sz w:val="20"/>
          <w:szCs w:val="20"/>
          <w:color w:val="auto"/>
        </w:rPr>
      </w:pPr>
    </w:p>
    <w:p>
      <w:pPr>
        <w:ind w:left="560" w:right="60" w:hanging="552"/>
        <w:spacing w:after="0" w:line="25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for further details on the calculation of basic and diluted net loss per share attributable to common stockholders.</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“Selected Financial Data” and our consolidated financial statements, related notes and other financial information included elsewhere in this Annual Report on Form 10-K, or Annual Report. This discussion contains forward-looking statements that involve risks and uncertainties. Our actual results could differ materially from the results described, in or implied by, these forward-looking statements. Factors that could cause or contribute to those differences include, but are not limited to, those identified below and those discussed above in the section entitled “Risk Factors.”</w:t>
      </w:r>
    </w:p>
    <w:p>
      <w:pPr>
        <w:spacing w:after="0" w:line="173"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 We disclaim any obligation, except as specifically required by law and the rules of the Securities and Exchange Commission, or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We are a biopharmaceutical company that has leveraged our proprietary methionine aminopeptidase 2, or MetAP2, biology platform to pioneer the study of MetAP2 inhibitors in both common and rare metabolic disorders.</w:t>
      </w:r>
    </w:p>
    <w:p>
      <w:pPr>
        <w:spacing w:after="0" w:line="170"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 xml:space="preserve">Our prior lead product candidate, ZGN-1061, is a MetAP2 inhibitor that was in Phase 2 clinical development for the treatment of type 2 diabetes and other related metabolic disorders. In November 2018, we received a letter from the U.S. Food and Drug Administration, or FDA, placing a full clinical hold on the investigational new drug application, or IND. for the first U.S. clinical trial of ZGN-1061. The FDA cited the possibility of cardiovascular, or CV, safety risk based on our prior compound. In July 2019, we reached agreement with the FDA 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animal study design and protocol to establish relevant safety margins for ZGN-1061. The study was designed to translate the data from our newly developed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endothelial cells and assessment of tissue factor expression with endothelial cells, along with other supportive assays, as we worked toward resolving the full clinical hold. Based on the preliminary results from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on September 5, 2019, we announced that we believe there is a low probability of resolving the clinical hold in the near-term. Subsequently, all further development activities of MetAP2 inhibitors were halted and we withdrew the IND for ZGN-1061 in September 2019. Therefore, we determined that it is in the best interest of shareholders to evaluate strategic alternatives and implemented a restructuring plan to reduce operating costs and better align our workforce with its needs.</w:t>
      </w:r>
    </w:p>
    <w:p>
      <w:pPr>
        <w:spacing w:after="0" w:line="178"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Following an extensive process of evaluating strategic alternatives for the company and identifying and reviewing potential candidates for a strategic acquisition or other transaction, on December 17, 2019, we entered into an Agreement and Plan of Merger, or the Merger Agreement, with Chondrial Therapeutics, Inc., or Chondrial, pursuant to which a wholly owned subsidiary of the company will merge with and into Chondrial, with Chondrial continuing as the surviving corporation and a wholly owned subsidiary of the company and the combined publicly traded, clinical-stage biopharmaceutical company will operate under a new name, Larimar Therapeutics, Inc. Under the exchange ratio formula in the Merger Agreement, as of immediately after the merger, the former Chondrial securityholders are expected to own approximately 60% of the outstanding shares of our common stock on a fully-diluted basis and our stockholders as of immediately prior to the merger are expected to own approximately 40% of the outstanding shares of our common stock on a fully-diluted basis. Under certain circumstances further described in the Merger Agreement, the ownership percentages may be adjusted upward or downward based on the level of our net cash at the closing of the merger and certain other adjustments. We expect to devote significant time and resources to completion of this proposed transaction, which we refer to as the Merger. However, there can be no assurance that such activities will result in the completion of the Merger. Further, the completion of the Merger ultimately may not deliver the anticipated benefits or enhance shareholder value.</w:t>
      </w:r>
    </w:p>
    <w:p>
      <w:pPr>
        <w:spacing w:after="0" w:line="173"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Merger Agreement provides each of us and Chondrial with specified termination rights, and further provides that, upon termination of the Merger Agreement under specified circumstances, either party may be required to pay the other party a termination fee of $3,375,000. In addition, in connection with certain terminations of the Merger Agreement, either party may be required to pay the other party’s third party expenses up to $350,000. In connection with the merger, we will seek to amend our certificate of incorporation to: (i) effect a reverse split of our common stock at a ratio to be determined by us and Chondrial, which is intended to ensure that the listing requirements of the Nasdaq Global Market are satisfied and (ii) change the name of Zafgen to “Larimar Therapeutics, Inc.”</w:t>
      </w:r>
    </w:p>
    <w:p>
      <w:pPr>
        <w:spacing w:after="0" w:line="19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and Chondrial’s obligations to consummate the merger are subject to the satisfaction or waiver of customary closing conditions, including, among others, obtaining the requisite approvals of our stockholders and satisfaction of minimum net cash thresholds of $30,000,000 by us and not less than zero by Chondrial. The sole stockholder of Chondrial has approved the Merger Agreement. In connection with the execution of the Merger Agreement, we entered into stockholder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0" w:name="page51"/>
    <w:bookmarkEnd w:id="50"/>
    <w:p>
      <w:pPr>
        <w:ind w:right="80"/>
        <w:spacing w:after="0" w:line="259" w:lineRule="auto"/>
        <w:rPr>
          <w:sz w:val="20"/>
          <w:szCs w:val="20"/>
          <w:color w:val="auto"/>
        </w:rPr>
      </w:pPr>
      <w:r>
        <w:rPr>
          <w:rFonts w:ascii="Arial" w:cs="Arial" w:eastAsia="Arial" w:hAnsi="Arial"/>
          <w:sz w:val="18"/>
          <w:szCs w:val="18"/>
          <w:color w:val="auto"/>
        </w:rPr>
        <w:t>support agreements with our current directors and certain officers and our largest stockholder, which collectively beneficially own or control an aggregate of approximately 9.7% of our outstanding shares of common stock. Each of the stockholders party to such stockholder support agreements has agreed to vote or cause to be voted, all of the shares of our common stock beneficially owned by such stockholder in favor of the stockholder proposals submitted at our stockholders meeting to be held in connection with the merger.</w:t>
      </w:r>
    </w:p>
    <w:p>
      <w:pPr>
        <w:spacing w:after="0" w:line="18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We have incurred losses and negative cash flows from operations since our inception. As of December 31, 2019, we had an accumulated deficit of $396.4 million. From its inception through December 31, 2019, we have received net proceeds of $397.9 million from the sales of redeemable convertible preferred stock, the issuance of convertible promissory notes, the proceeds from our initial public offering, or IPO, in June 2014 and our follow-on offerings in January 2015 and July 2018. On July 2, 2018, we completed a public offering of its common stock, which resulted in the sale of 9,200,000 shares at a price of $7.50 per share, resulting in net proceeds of approximately $64.6 million after deducting underwriting discounts and commissions, as well as offering costs. We have a term loan with an aggregate principal balance of $14.5 million as of December 31, 2019. The loan agreement requires that us to maintain certain minimum liquidity at all times, which as of December 31, 2019, was approximately $15.3 million. If the minimum liquidity covenant is not met, we may be required to repay the loan prior to scheduled maturity dates. The Term Loan also includes events of default, the occurrence and continuation of any of which provides the lenders the right to exercise remedies against the Company and the collateral securing the amounts due under the Term Loan.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75"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Based on our current operating plans, the Company believes its cash, cash equivalents and marketable securities of $70.3 million as of December 31, 2019 will be sufficient to fund its anticipated level of operations, capital expenditures and satisfy debt repayments for a period of at least 12 months from the issuance date of this Annual Report. Until such time, if ever, we can generate substantial product revenue, we expect to finance our cash needs through a combination of equity offerings, debt financings, collaborations, strategic alliances, licensing arrangements and other sources of funding. We expect to generate operating losses for the foreseeable future. If we are unable to raise additional funds through equity or debt financings, we may be required to delay, limit, reduce or terminate product development or future commercialization efforts or grant rights to develop and market products or product candidates that we would otherwise prefer to develop and market itself.</w:t>
      </w:r>
    </w:p>
    <w:p>
      <w:pPr>
        <w:spacing w:after="0" w:line="70"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December 31, 2019 will enable us to fund our operating expenses, capital expenditure requirements and minimum liquidity requirements associated with our debt facility for a period of at least one year from the issuance date of this Annual Report. See “—Liquidity and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as we have discontinued development of our product candidates.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40" w:firstLine="555"/>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17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which consist primarily of costs associated with our product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are expensed as incurred. Research and development expenses consist primarily of:</w:t>
      </w:r>
    </w:p>
    <w:p>
      <w:pPr>
        <w:spacing w:after="0" w:line="62" w:lineRule="exact"/>
        <w:rPr>
          <w:sz w:val="20"/>
          <w:szCs w:val="20"/>
          <w:color w:val="auto"/>
        </w:rPr>
      </w:pPr>
    </w:p>
    <w:p>
      <w:pPr>
        <w:ind w:left="1120" w:right="860" w:hanging="558"/>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225" w:lineRule="exact"/>
        <w:rPr>
          <w:rFonts w:ascii="Arial" w:cs="Arial" w:eastAsia="Arial" w:hAnsi="Arial"/>
          <w:sz w:val="18"/>
          <w:szCs w:val="18"/>
          <w:color w:val="auto"/>
        </w:rPr>
      </w:pPr>
    </w:p>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333"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color w:val="auto"/>
        </w:rPr>
        <w:t xml:space="preserve">Based on the preliminary results from the ZGN-1061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we announced that we believe there is a low probability of resolving the clinical hold on ZGN-1061 in the near-term. Subsequently, all further development activities of MetAP2 inhibitors were halted and we withdrew the IND for ZGN-1061 in September 2019.</w:t>
      </w:r>
    </w:p>
    <w:p>
      <w:pPr>
        <w:spacing w:after="0" w:line="1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have consisted primarily of personnel costs, consisting of salaries,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stock-based compensation, of our executive, finance, information technology,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80" w:firstLine="555"/>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interest earned on our cash equivalents and marketable securities. Our interest income has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due to low interest earned on invested balances. We anticipate that our interest income will decrease as we continue to incur operating losses.</w:t>
      </w:r>
    </w:p>
    <w:p>
      <w:pPr>
        <w:spacing w:after="0" w:line="124"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year ended December 31, 2019 and December 31, 2018 relates to the loan and security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the Term Loan,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i w:val="1"/>
          <w:iCs w:val="1"/>
          <w:color w:val="auto"/>
        </w:rPr>
        <w:t xml:space="preserve">Foreign currency transaction gains (losses), net. </w:t>
      </w:r>
      <w:r>
        <w:rPr>
          <w:rFonts w:ascii="Arial" w:cs="Arial" w:eastAsia="Arial" w:hAnsi="Arial"/>
          <w:sz w:val="16"/>
          <w:szCs w:val="16"/>
          <w:color w:val="auto"/>
        </w:rPr>
        <w:t>Foreign currency transaction gains (losses), net consists of the realized and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from 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2019, we had net operating loss carryforwards that expire for federal and state income tax purposes of $55.7 million and $57.0 million, respectively, which begin to expire in 2026 and 2030, respectively. As of December 31, 2019, we had net operating loss carryforwards that were generated after December 31, 2017, of $21.2 million that do not expire. As of December 31, 2019, we also had available tax credit carryforwards for federal and state income tax purposes of $17.9 million and $4.2 million, respectively, which begin to expire in 2026 and 2022,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of our consolidated financial statements included elsewhere in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this Annual Report for information about these critical accounting policies as well as a description of our other significant accounting policies.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our consolidated financial statements based on facts and circumstances known to us at that time. Examples of estimated accrued research and development expenses have included fees paid to:</w:t>
      </w:r>
    </w:p>
    <w:p>
      <w:pPr>
        <w:spacing w:after="0" w:line="70" w:lineRule="exact"/>
        <w:rPr>
          <w:sz w:val="20"/>
          <w:szCs w:val="20"/>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research organizations, or CROs, in connection with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have based our expenses related to clinical trials on our estimates of the services received and efforts expended pursuant to contracts with multiple CROs that conduct and manage clinical trials on our behalf. The financial terms of these agreements have been subject to negotiation, vary from contract to contract and have resulted in uneven payment flows. There have been instances in which payments made to our vendors have exceeded the level of services provided and resulted in a prepayment of the clinical expense, nonclinical expense, or manufacturing activities. Payments under some of these contracts depend on factors such as the successful enrollment of patients and the completion of clinical trial milestones. In accruing service fees, we have estimated the time period over which services were performed, enrollment of patients, number of sites activated and the level of effort to be expended in each period. If the actual timing of the performance of services or the level of effort varied from our estimate, we adjusted the accrual or prepaid accordingly. Although we do not expect our estimates to be materially different from amounts actually incurred, our understanding of the status and timing of services performed relative to the actual status and timing of services performed may have varied and have resulted in us reporting amounts that are too high or too low in any particular period. To date, we have not made any material adjustments to our prior estimates of accrued research and development expenses.</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We have historically issued equity awards to employees, directors and consultants, generally in the form of options to purchase shares of our common stock and, to a lesser extent, shares of restricted common stock. We measure stock-based awards granted to employees and directors at fair value on the date of grant and recognize the corresponding compensation expense of those awards over the requisite service period, which is generally the vesting period of the respective award. Generally, we issue stock options and restricted stock awards with only service-based vesting conditions and record the expense for these awards using the straight-line method. We measure stock-based awards granted to consultants and nonemployees at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6"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The fair value of each service-based stock option grant to employees and directors is estimated on the date of grant using the Black-Scholes option-pricing model. The Company estimates its expected volatility using a weighted average of the historical volatility of publicly-traded peer companies and its own common stock since its IPO in June 2014, and expects to continue to do so until such time as it has adequate historical data regarding the volatility of its own traded stock price for the duration of the expected term.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ind w:right="280" w:firstLine="555"/>
        <w:spacing w:after="0" w:line="264" w:lineRule="auto"/>
        <w:rPr>
          <w:sz w:val="20"/>
          <w:szCs w:val="20"/>
          <w:color w:val="auto"/>
        </w:rPr>
      </w:pPr>
      <w:r>
        <w:rPr>
          <w:rFonts w:ascii="Arial" w:cs="Arial" w:eastAsia="Arial" w:hAnsi="Arial"/>
          <w:sz w:val="18"/>
          <w:szCs w:val="18"/>
          <w:color w:val="auto"/>
        </w:rPr>
        <w:t>In October 2017, we granted market-based stock option awards which are valued using Monte Carlo simulation models. The number of options expected to vest, based on achievement of the specified market condition, is factored into the grant date Monte Carlo valuations. Compensation expense is recognized ratably over the attribution period.</w:t>
      </w:r>
    </w:p>
    <w:p>
      <w:pPr>
        <w:spacing w:after="0" w:line="18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assumptions we used to determine the fair value of service-based stock options granted to employees and directors are as follows, presented on a weighted average basis: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60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FF0FC"/>
            </w:tcBorders>
          </w:tcPr>
          <w:p>
            <w:pPr>
              <w:spacing w:after="0"/>
              <w:rPr>
                <w:sz w:val="20"/>
                <w:szCs w:val="20"/>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2.49%</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2.77%</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68"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assumptions that we used to determine the fair value of the market-based stock options granted to employees in 2017 are as follows, presented on a weighted average basis: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48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FF0FC"/>
            </w:tcBorders>
          </w:tcPr>
          <w:p>
            <w:pPr>
              <w:spacing w:after="0"/>
              <w:rPr>
                <w:sz w:val="20"/>
                <w:szCs w:val="20"/>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4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 As a result, if factors change and we use significantly different assumptions or estimates, our stock-based compensation expense could be materially different. We recognize compensation expense for only the portion of awards that are expected to vest.</w:t>
      </w:r>
    </w:p>
    <w:p>
      <w:pPr>
        <w:spacing w:after="0" w:line="18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following table summarizes the classification of our stock-based compensation expenses recognized in our consolidated statements of operations and comprehensive loss: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As of December 31, 2019, we had unrecognized stock-based compensation expense related to our unvested service-based stock option awards of $6.1 million, which is expected to be recognized over the remaining weighted average vesting period of 2.6 years.</w:t>
      </w:r>
    </w:p>
    <w:p>
      <w:pPr>
        <w:spacing w:after="0" w:line="170"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As of December 31, 2019, we had unrecognized stock-based compensation expense related to our unvested market-based stock option awards of $0.7 million, which is expected to be recognized over the remaining weighted average vesting period of 0.8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(24,043)</w:t>
            </w: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charges</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transaction gains (losses), net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other income (expense), net</w:t>
            </w:r>
          </w:p>
        </w:tc>
        <w:tc>
          <w:tcPr>
            <w:tcW w:w="13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MetAP2 inhibitors</w:t>
            </w:r>
          </w:p>
        </w:tc>
        <w:tc>
          <w:tcPr>
            <w:tcW w:w="1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13,338</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29,003</w:t>
            </w:r>
          </w:p>
        </w:tc>
        <w:tc>
          <w:tcPr>
            <w:tcW w:w="16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Unallocated expenses:</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Personnel related</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Consultants</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Research and development expenses for the year ended December 31, 2019 decreased $24.0 million compared to the year ended December 31, 2018. The decrease was primarily due to decreased costs of $15.7 million associated with our MetAP2 inhibitors and $8.4 million associated with our unallocated expenses. Costs associated with MetAP2 inhibitors decreased as a result of our decision to halt further development activities of MetAP2 inhibitors as a result of our withdrawal of the IND for ZGN-1061 in September 2019. In addition, during 2019 we were not conducting any clinical trials; whereas, in 2018 we were conducting a Phase 2 clinical trial of ZGN-1061 in Australia and New Zealand.</w:t>
      </w:r>
    </w:p>
    <w:p>
      <w:pPr>
        <w:spacing w:after="0" w:line="173" w:lineRule="exact"/>
        <w:rPr>
          <w:sz w:val="20"/>
          <w:szCs w:val="20"/>
          <w:color w:val="auto"/>
        </w:rPr>
      </w:pPr>
    </w:p>
    <w:p>
      <w:pPr>
        <w:ind w:right="360" w:firstLine="555"/>
        <w:spacing w:after="0" w:line="293" w:lineRule="auto"/>
        <w:rPr>
          <w:sz w:val="20"/>
          <w:szCs w:val="20"/>
          <w:color w:val="auto"/>
        </w:rPr>
      </w:pPr>
      <w:r>
        <w:rPr>
          <w:rFonts w:ascii="Arial" w:cs="Arial" w:eastAsia="Arial" w:hAnsi="Arial"/>
          <w:sz w:val="16"/>
          <w:szCs w:val="16"/>
          <w:color w:val="auto"/>
        </w:rPr>
        <w:t>Unallocated expenses decreased to $10.5 million for the year ended December 31, 2019 compared to $18.9 million for the same period of 2018 primarily due to a decrease of $4.2 million in non-cash stock-based compensation. Non-cash stock-based compensation has decreased for the year ended December 31, 2019 primarily due to turnover and restructuring activities, which also resulted in the reversal of the expenses incurred on unvested stock options. There was a decrease of $3.3 million in personnel related costs primarily due to the reduction in the number of employees as a result of the restructuring activities in the third quarter of 2019 and turnover during 2019. Additionally, there was a decrease in consultants and other expenses of $0.3 million and $0.7 million, respectively, due to our decision to halt further development activities of MetAP2 inhibitors in September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51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5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9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55"/>
        <w:spacing w:after="0" w:line="272" w:lineRule="auto"/>
        <w:rPr>
          <w:sz w:val="20"/>
          <w:szCs w:val="20"/>
          <w:color w:val="auto"/>
        </w:rPr>
      </w:pPr>
      <w:r>
        <w:rPr>
          <w:rFonts w:ascii="Arial" w:cs="Arial" w:eastAsia="Arial" w:hAnsi="Arial"/>
          <w:sz w:val="17"/>
          <w:szCs w:val="17"/>
          <w:color w:val="auto"/>
        </w:rPr>
        <w:t>General and administrative expenses for the year ended December 31, 2019 increased $3.0 million compared to the year ended December 31, 2018. The increase was due to an increase in personnel related costs of $1.0 million, professional fees of $1.5 million, other costs of $0.5 million and non-cash stock-based compensation of less than $0.1 million. Personnel related costs increased by $1.0 million primarily due to the payment of retention bonuses following the signing of the merger agreement and the timing of employee headcount hires made during 2018 and reductions in staff as a result of our restructurings in the third quarter of 2019. Professional fees increased by $1.5 million primarily due to banker and legal fees associated with the strategic alternative process announced in September 2019 and the subsequent signing of the merger agreement with Chondrial. Other general and administrative expenses increased primarily due to higher costs associated with director and officer insurance.</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Restructuring charges were approximately $5.6 million for the year ended December 31, 2019. We did not have any restructuring charges during the prior year. During the year ended December 31, 2019, we commenced a restructuring plan that consisted of a workforce reduction of 23 positions and the termination of ongoing research, in order to conserve cash while we evaluated strategic alternatives.</w:t>
      </w:r>
    </w:p>
    <w:p>
      <w:pPr>
        <w:spacing w:after="0" w:line="73"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Restructuring charges for the year ended December 31, 2019, in connection with the workforce reductions, were comprised principally of severance payments and benefits continuation costs, which totaled approximately $4.1 million of which approximately $1.4 million was paid during the year ended December 31, 2019.</w:t>
      </w:r>
    </w:p>
    <w:p>
      <w:pPr>
        <w:spacing w:after="0" w:line="73"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Restructuring charges for the year ended December 31, 2019, in connection with contract termination costs, comprised principally of the termination of research and development contracts that no longer provided value to us. These terminations costs were approximately $1.4 million of which approximately $1.4 million was paid during the year ended December 31, 2019.</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years ended December 31, 2019 and 2018 was $1.8 million and $1.9 million, respectively.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years ended December 31, 2019 and 2018 relates to the Term Loan, which closed on December 29, 2017. It bears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$2.0 million and $1.9 million for the years ended December 31, 2019 and 2018,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i w:val="1"/>
          <w:iCs w:val="1"/>
          <w:color w:val="auto"/>
        </w:rPr>
        <w:t xml:space="preserve">Foreign currency transaction gains (losses), net. </w:t>
      </w:r>
      <w:r>
        <w:rPr>
          <w:rFonts w:ascii="Arial" w:cs="Arial" w:eastAsia="Arial" w:hAnsi="Arial"/>
          <w:sz w:val="17"/>
          <w:szCs w:val="17"/>
          <w:color w:val="auto"/>
        </w:rPr>
        <w:t>We had foreign currency transaction gains of less than $0.1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We had foreign currency transaction losses of $0.2 million for the year ended December 31, 2018.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6" w:name="page57"/>
    <w:bookmarkEnd w:id="56"/>
    <w:p>
      <w:pPr>
        <w:ind w:left="560"/>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Foreign currency transaction gains (losses), net</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other income (expense), net</w:t>
            </w:r>
          </w:p>
        </w:tc>
        <w:tc>
          <w:tcPr>
            <w:tcW w:w="1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MetAP2 inhibitors</w:t>
            </w:r>
          </w:p>
        </w:tc>
        <w:tc>
          <w:tcPr>
            <w:tcW w:w="1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29,003</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25,030</w:t>
            </w:r>
          </w:p>
        </w:tc>
        <w:tc>
          <w:tcPr>
            <w:tcW w:w="16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Unallocated expenses:</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Personnel related</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Consultants</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Subtotal</w:t>
            </w:r>
          </w:p>
        </w:tc>
        <w:tc>
          <w:tcPr>
            <w:tcW w:w="1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Research and development expenses for the year ended December 31, 2018 increased $7.1 million compared to the year ended December 31, 2017. The increase was primarily due to an increase of $11.5 million related to our ZGN-1258 program, as well as an increase in our unallocated expenses of $3.1 million and discovery and screening of $0.5 million, partially offset by decreased costs of $7.3 million associated with our ZGN-1061 program and $0.7 million associated with our beloranib program.</w:t>
      </w:r>
    </w:p>
    <w:p>
      <w:pPr>
        <w:spacing w:after="0" w:line="187"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Costs associated with our ZGN-1258 program for the year ended December 31, 2018 are associated with our advancement of the ZGN-1258 program in January 2018, and our nonclinical efforts for evaluation of ZGN-1258 initially in the treatment of people affected by PWS in the first quarter of 2018. Our research and development costs also increased for the year ended December 31, 2018 due to our research and development efforts in identifying ZGN-1345, an orally dosed MetAP2 inhibitor specifically targeting the liver. Our discovery and screening costs have increased slightly by $0.5 million from the year ended December 31, 2018 as compared to the year ended December 31, 2017 primarily due to the timing of expenses.</w:t>
      </w:r>
    </w:p>
    <w:p>
      <w:pPr>
        <w:spacing w:after="0" w:line="173"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Unallocated expenses increased period over period primarily due to an increase of $1.3 million in non-cash stock-based compensation, as well as an increase in personnel related costs of $1.1 million. Non-cash stock-based compensation has increased primarily due to personnel transfers between functional areas and new employees. Personnel related expenses increased primarily due to the hiring of new employees and personnel transfers between functional areas.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firstLine="555"/>
        <w:spacing w:after="0" w:line="254" w:lineRule="auto"/>
        <w:rPr>
          <w:sz w:val="20"/>
          <w:szCs w:val="20"/>
          <w:color w:val="auto"/>
        </w:rPr>
      </w:pPr>
      <w:r>
        <w:rPr>
          <w:rFonts w:ascii="Arial" w:cs="Arial" w:eastAsia="Arial" w:hAnsi="Arial"/>
          <w:sz w:val="18"/>
          <w:szCs w:val="18"/>
          <w:color w:val="auto"/>
        </w:rPr>
        <w:t>Costs associated with our ZGN-1061 program decreased period over period by $7.3 million, primarily due to a decrease in nonclinical and manufacturing costs of $7.6 million. During the year ended December 31, 2017, costs increased primarily as a result of additional nonclinical studies and drug product and drug substance activities, as we were planning for our ZGN-1061 Phase 2 clinical trial which commenced in the third quarter of 2017 in both Australia and New Zealand, for which we enrolled 137 patients in a 12-week clinical trial. Partially offsetting the decrease in nonclinical and manufacturing costs of our ZGN-1061 program was an increase in costs associated with our clinical trials for our ZGN-1061 program of $0.3 million. The expenses during the 2017 period were for final costs for a Phase 1 clinical trial of ZGN-1061 in the Netherlands, which was comprised of 39 patients in a single ascending dose, or SAD, portion and 29 patients in a multiple ascending dose, or MAD, portion, while the expenses during the 2018 period are for the larger Phase 2 clinical trial.</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(Decrease)</w:t>
            </w:r>
          </w:p>
        </w:tc>
      </w:tr>
      <w:tr>
        <w:trPr>
          <w:trHeight w:val="223"/>
        </w:trPr>
        <w:tc>
          <w:tcPr>
            <w:tcW w:w="5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9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General and administrative expenses for the year ended December 31, 2018 increased $1.0 million compared to the year ended December 31, 2017. The increase was due to an increase in personnel related costs of $0.7 million, professional fees of less than $0.1 million and other costs of $0.3 million. Personnel related costs increased as a result of hiring new employees. Professional fees increased primarily due to recruiting expenses for new key employees and legal expenses associated with the filing of multi-country patents. Other general and administrative expenses increased primarily due to fees associated with our SEC filings and software costs. These increases were offset by a decrease in non-cash stock-based compensation of less than $0.1 million. Non-cash stock-based compensation expense decreased due mainly to personnel transfers between functional areas.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240" w:firstLine="555"/>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year ended December 31, 2018 and 2017 was $1.9 million and $0.2 million, respectively.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2018 relates to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Interest expense during the year ended December 31, 2017 was related to interest expense on our outstanding borrowings under the 2014 Credit Facility, which was fully repaid in December 2017. Interest expense consists primarily of the stated interest of 8.1% per year due on outstanding borrowings. It also includes expense related to the final payment of 6% of amounts drawn down that was recorded over the term through the maturity date using the effective-interest method and the amortization of deferred financing costs and debt discounts relating to the 2014 Credit Facility.</w:t>
      </w:r>
    </w:p>
    <w:p>
      <w:pPr>
        <w:spacing w:after="0" w:line="171"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$1.9 million and $1.0 million for the years ended December 31, 2018 and 2017,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had foreign currency transaction losses of $0.2 million and gains of $0.1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and 2017,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As of December 31, 2019, we had cash, cash equivalents and marketable securities totaling $70.3 million. We invest our cash in money market funds, commercial paper, certificates of deposits, U.S. government securities and corporate bonds,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with the primary objectives to preserve principal, provide liquidity and maximize income without significantly increasing risk.</w:t>
      </w:r>
    </w:p>
    <w:p>
      <w:pPr>
        <w:spacing w:after="0" w:line="225"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Since our inception in November 2005, we have not generated any revenue and have incurred recurring net losses. As of December 31, 2019, we had an accumulated deficit of $396.4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In June 2014, we completed our IPO with net proceeds of $102.7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78" w:lineRule="exact"/>
        <w:rPr>
          <w:sz w:val="20"/>
          <w:szCs w:val="20"/>
          <w:color w:val="auto"/>
        </w:rPr>
      </w:pPr>
    </w:p>
    <w:p>
      <w:pPr>
        <w:ind w:right="140" w:firstLine="555"/>
        <w:spacing w:after="0" w:line="286" w:lineRule="auto"/>
        <w:rPr>
          <w:sz w:val="20"/>
          <w:szCs w:val="20"/>
          <w:color w:val="auto"/>
        </w:rPr>
      </w:pPr>
      <w:r>
        <w:rPr>
          <w:rFonts w:ascii="Arial" w:cs="Arial" w:eastAsia="Arial" w:hAnsi="Arial"/>
          <w:sz w:val="17"/>
          <w:szCs w:val="17"/>
          <w:color w:val="auto"/>
        </w:rPr>
        <w:t>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its sales agent. Through December 31, 2019 we have not sold any shares under the Sales Agreement.</w:t>
      </w:r>
    </w:p>
    <w:p>
      <w:pPr>
        <w:spacing w:after="0" w:line="166"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On December 29, 2017, we entered into a loan and security agreement with Silicon Valley Bank, or the Term Loan. The Term Loan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 As of December 31, 2019 we had an outstanding principle balance on the Term Loan of $14.5 million.</w:t>
      </w:r>
    </w:p>
    <w:p>
      <w:pPr>
        <w:spacing w:after="0" w:line="18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Upon entering into this Term Loan, we are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4.75% at December 31, 2019.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5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Additionally, we, as the borrower, are required to maintain a minimum cash, cash equivalents and marketable securities balance at Silicon Valley Bank of no less than 105% of the total outstanding principal balance of the Term Loan, which as of December 31, 2019 was $15.3 million and as of December 31, 2018 was $21.0 million.</w:t>
      </w:r>
    </w:p>
    <w:p>
      <w:pPr>
        <w:spacing w:after="0" w:line="18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Further, as of 45 days after the Term Loan was entered in, we must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81"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The Term Loan also includes events of default, the occurrence and continuation of any of which provides the lenders the right to exercise remedies against us and the collateral securing the loans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ind w:left="56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2"/>
              </w:rPr>
              <w:t>Year Ended December 31,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(40,783)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(51,487)</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(43,784)</w:t>
            </w: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(6,867)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(5,261)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vMerge w:val="continue"/>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(20,781)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8,554</w:t>
            </w:r>
          </w:p>
        </w:tc>
        <w:tc>
          <w:tcPr>
            <w:tcW w:w="26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During the year ended December 31, 2019, operating activities used $40.8 million of cash, resulting from our net loss of $45.4 million, partially offset by non-cash charges of $5.0 million. Our net loss was primarily attributed to research and development activities related to our MetAP2 programs, restructuring charges and our general and administrative expenses. Our net non-cash charges during the year ended December 31, 2019, consisted primarily of stock-based compensation expense of $5.5 million. Net cash used in changes in our operating assets and liabilities during the year ended December 31, 2019, consisted primarily of a $5.1 million decrease in accounts payable and accrued expenses, a $1.3 million decrease in tax incentive receivable, partially offset by a $2.7 million increase in accrued restructuring and a $0.7 million decrease in prepaid expenses and other current assets.</w:t>
      </w:r>
    </w:p>
    <w:p>
      <w:pPr>
        <w:spacing w:after="0" w:line="70"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During the year ended December 31, 2018, operating activities used $51.5 million of cash, resulting from our net loss of $61.4 million, partially offset by non-cash charges of $9.9 million. Our net loss was primarily attributed to research and development activities related to our ZGN-1061 program, our ZGN-1258 program, discovery and screening and our general and administrative expenses. Our net non-cash charges during the year ended December 31, 2018, consisted primarily of stock-based compensation expense of $9.6 million. Net cash used in changes in our operating assets and liabilities during the year ended December 31, 2018, consisted primarily of a $1.1 million increase in accounts payable and accrued expenses, $0.2 million decrease in prepaid expenses and other current assets, partially offset by a $0.7 million increase in tax incentive receivable.</w:t>
      </w:r>
    </w:p>
    <w:p>
      <w:pPr>
        <w:spacing w:after="0" w:line="178"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During the year ended December 31, 2017, operating activities used $43.8 million of cash, resulting from our net loss of $52.0 million, partially offset by non-cash charges of $8.3 million. Our net loss was primarily attributed to research and development activities related to our ZGN-1061 program, discovery and screening and our general and administrative expenses, as we had no revenue in the period. Our net non-cash charges during the year ended December 31, 2017, consisted primarily of stock-based compensation expense of $8.3 million. Net cash used in changes in our operating assets and liabilities during the year ended December 31, 2017, consisted primarily of a $1.0 million increase in accounts payable and accrued expenses, partially offset by a $0.6 million increase in prepaid expenses and other current assets and a $0.6 million increase in tax incentive receivable.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During the year ended December 31, 2019, investing activities provided $25.3 million of cash resulting from the maturities of marketable securities of $109.5 million, which was partially offset by the purchases of marketable securities of $82.9 million, purchases of equipment of $0.8 million and purchases of right-of-use assets of $0.6 million associated with our build out of our offices at 3 Center Plaza.</w:t>
      </w:r>
    </w:p>
    <w:p>
      <w:pPr>
        <w:spacing w:after="0" w:line="73" w:lineRule="exact"/>
        <w:rPr>
          <w:sz w:val="20"/>
          <w:szCs w:val="20"/>
          <w:color w:val="auto"/>
        </w:rPr>
      </w:pPr>
    </w:p>
    <w:p>
      <w:pPr>
        <w:jc w:val="both"/>
        <w:ind w:right="180" w:firstLine="555"/>
        <w:spacing w:after="0" w:line="342" w:lineRule="auto"/>
        <w:rPr>
          <w:sz w:val="20"/>
          <w:szCs w:val="20"/>
          <w:color w:val="auto"/>
        </w:rPr>
      </w:pPr>
      <w:r>
        <w:rPr>
          <w:rFonts w:ascii="Arial" w:cs="Arial" w:eastAsia="Arial" w:hAnsi="Arial"/>
          <w:sz w:val="16"/>
          <w:szCs w:val="16"/>
          <w:color w:val="auto"/>
        </w:rPr>
        <w:t>During the year ended December 31, 2018, investing activities used $6.9 million of cash resulting from purchases of marketable securities of $117.1 million and purchases of equipment of $0.1 million. These uses were partially offset by proceeds from maturities of marketable securities of $110.4 million.</w:t>
      </w:r>
    </w:p>
    <w:p>
      <w:pPr>
        <w:spacing w:after="0" w:line="16"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During the year ended December 31, 2017, investing activities provided $35.6 million of cash resulting from proceeds from sales and maturities of marketable securities of $150.2 million, offset by the use of cash for purchases of marketable securities of $114.5 million and purchases of property and equipment of $0.1 million.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During the year ended December 31, 2019, net cash used in financing activities of $5.3 million was the result of $5.5 million in financing activities for payments related to our notes payable, partially offset by $0.2 million received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proceeds from the exercise of common stock options and common stock purchased under our 2014 Employee Stock Purchase Plan.</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During the year ended December 31, 2018, net cash provided by financing activities of $66.9 million was the result of net proceeds of $64.6 million from our July 2, 2018 public offering of common stock and $2.4 million relating to the exercise of common stock options and common stock purchased under our 2014 Employee Stock Purchase Plan.</w:t>
      </w:r>
    </w:p>
    <w:p>
      <w:pPr>
        <w:spacing w:after="0" w:line="73"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During the year ended December 31, 2017, net cash provided by financing activities of $16.6 million was the result of proceeds of $20.0 million from our notes payable, as well as $0.2 million received from proceeds relating to the exercise of common stock options and common stock purchased under our 2014 Employee Stock Purchase Plan, partially offset by payments of $3.6 million related to our notes payable.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We have not generated product revenue or achieved profitability since our inception and we expect to continue to incur net losses for the foreseeable future. We expect that our existing cash, cash equivalents and marketable securities as of December 31, 2019, will enable us to fund our operating expenses and capital expenditure requirements for a period of at least one year from the issuance date of this Annual Report. We have based this estimate on assumptions that may prove to be wrong, and we may use our available capital resources sooner than we currently expect. 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future product development or future commercialization efforts or grant rights to develop and market our future product candidates, if any, that we would otherwise prefer to develop and market ourselves. Our future capital requirements will depend on many factors, including:</w:t>
      </w:r>
    </w:p>
    <w:p>
      <w:pPr>
        <w:spacing w:after="0" w:line="64" w:lineRule="exact"/>
        <w:rPr>
          <w:sz w:val="20"/>
          <w:szCs w:val="20"/>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plans and expectations regarding the merger with Chondrial, including the expected completion of the merger;</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strategies, goals, prospects, plans, expectations, forecasts or objectives with Chondrial or the combined company;</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characteristics of any future product candidates we develop or may acquire;</w:t>
      </w:r>
    </w:p>
    <w:p>
      <w:pPr>
        <w:spacing w:after="0" w:line="117" w:lineRule="exact"/>
        <w:rPr>
          <w:rFonts w:ascii="Arial" w:cs="Arial" w:eastAsia="Arial" w:hAnsi="Arial"/>
          <w:sz w:val="18"/>
          <w:szCs w:val="18"/>
          <w:color w:val="auto"/>
        </w:rPr>
      </w:pPr>
    </w:p>
    <w:p>
      <w:pPr>
        <w:ind w:left="1100" w:right="360" w:hanging="403"/>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future product candidates, and conducting nonclinical studies and clinical trials;</w:t>
      </w:r>
    </w:p>
    <w:p>
      <w:pPr>
        <w:spacing w:after="0" w:line="62"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manufacturing any future product candidates and any products that may achieve regulatory approval;</w:t>
      </w:r>
    </w:p>
    <w:p>
      <w:pPr>
        <w:spacing w:after="0" w:line="117" w:lineRule="exact"/>
        <w:rPr>
          <w:rFonts w:ascii="Arial" w:cs="Arial" w:eastAsia="Arial" w:hAnsi="Arial"/>
          <w:sz w:val="18"/>
          <w:szCs w:val="18"/>
          <w:color w:val="auto"/>
        </w:rPr>
      </w:pPr>
    </w:p>
    <w:p>
      <w:pPr>
        <w:ind w:left="1100" w:right="420" w:hanging="403"/>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commercialization activities if any future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agreements;</w:t>
      </w:r>
    </w:p>
    <w:p>
      <w:pPr>
        <w:spacing w:after="0" w:line="128" w:lineRule="exact"/>
        <w:rPr>
          <w:rFonts w:ascii="Arial" w:cs="Arial" w:eastAsia="Arial" w:hAnsi="Arial"/>
          <w:sz w:val="17"/>
          <w:szCs w:val="17"/>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17" w:lineRule="exact"/>
        <w:rPr>
          <w:rFonts w:ascii="Arial" w:cs="Arial" w:eastAsia="Arial" w:hAnsi="Arial"/>
          <w:sz w:val="18"/>
          <w:szCs w:val="18"/>
          <w:color w:val="auto"/>
        </w:rPr>
      </w:pPr>
    </w:p>
    <w:p>
      <w:pPr>
        <w:ind w:left="1100" w:right="440" w:hanging="403"/>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1" w:name="page62"/>
    <w:bookmarkEnd w:id="61"/>
    <w:p>
      <w:pPr>
        <w:ind w:right="160" w:firstLine="693"/>
        <w:spacing w:after="0" w:line="288"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2019, we had net operating loss carryforwards for federal and state income tax purposes of $55.7 million and $57.0 million, respectively, which begin to expire in 2026 and 2030, respectively. As of December 31, 2019, we had net operating loss carryforwards that were generated after December 31, 2017, of $21.2 million that do not expire. As of December 31, 2019, we also had available tax credit carryforwards for federal and state income tax purposes of $17.9 million and $4.2 million, respectively, which begin to expire in 2026 and 2022,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and the effect such obligations are expected to have on our liquidity and cash flow in future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8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Less Than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More Than</w:t>
            </w:r>
          </w:p>
        </w:tc>
        <w:tc>
          <w:tcPr>
            <w:tcW w:w="1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 (2)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1-3 Years</w:t>
            </w: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5 Years</w:t>
            </w:r>
          </w:p>
        </w:tc>
      </w:tr>
      <w:tr>
        <w:trPr>
          <w:trHeight w:val="223"/>
        </w:trPr>
        <w:tc>
          <w:tcPr>
            <w:tcW w:w="8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commitments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Debt commitments (2)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4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0" w:lineRule="exact"/>
        <w:rPr>
          <w:sz w:val="20"/>
          <w:szCs w:val="20"/>
          <w:color w:val="auto"/>
        </w:rPr>
      </w:pPr>
    </w:p>
    <w:p>
      <w:pPr>
        <w:ind w:left="560" w:right="80" w:hanging="552"/>
        <w:spacing w:after="0" w:line="268" w:lineRule="auto"/>
        <w:tabs>
          <w:tab w:leader="none" w:pos="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have leased approximately 17,705 square feet of office space at 3 Center Plaza, Boston, Massachusetts on February 12, 2019 with a term expiring on October 30, 2030. We have leased approximately 2,976 square feet of office space at 175 Portland Street, 2nd Floor, Boston, Massachusetts April 15, 2015 to July 31, 2020, which, with the landlord’s consent, we have subleased to an unrelated third party beginning on January 1, 2017 and expiring on July 31, 2020. We have also leased 3,079 square feet of office space in San Diego, California, from October 1, 2015 to September 30, 2019. In January 2019, we extended this lease with a new term expiring on December 31, 2024.</w:t>
      </w:r>
    </w:p>
    <w:p>
      <w:pPr>
        <w:spacing w:after="0" w:line="3" w:lineRule="exact"/>
        <w:rPr>
          <w:rFonts w:ascii="Arial" w:cs="Arial" w:eastAsia="Arial" w:hAnsi="Arial"/>
          <w:sz w:val="17"/>
          <w:szCs w:val="17"/>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commitments include principal, interest, and an 8% final payment of the amounts drawn under the Term Loan.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During the periods presented we did not have and we do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Please read Note 2 to our consolidated financial statements included in Part II, Item 8, “Financial Statements and Supplementary Data,” of this Annual Report for a description of recent accounting pronouncements applicable to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ind w:right="414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 ABOUT MARKET RISK </w:t>
      </w:r>
      <w:r>
        <w:rPr>
          <w:rFonts w:ascii="Arial" w:cs="Arial" w:eastAsia="Arial" w:hAnsi="Arial"/>
          <w:sz w:val="18"/>
          <w:szCs w:val="18"/>
          <w:b w:val="1"/>
          <w:bCs w:val="1"/>
          <w:i w:val="1"/>
          <w:iCs w:val="1"/>
          <w:color w:val="auto"/>
        </w:rPr>
        <w:t>Interest Rate Fluctuation Risk</w:t>
      </w:r>
    </w:p>
    <w:p>
      <w:pPr>
        <w:ind w:right="40" w:firstLine="555"/>
        <w:spacing w:after="0" w:line="297" w:lineRule="auto"/>
        <w:rPr>
          <w:sz w:val="20"/>
          <w:szCs w:val="20"/>
          <w:color w:val="auto"/>
        </w:rPr>
      </w:pPr>
      <w:r>
        <w:rPr>
          <w:rFonts w:ascii="Arial" w:cs="Arial" w:eastAsia="Arial" w:hAnsi="Arial"/>
          <w:sz w:val="16"/>
          <w:szCs w:val="16"/>
          <w:color w:val="auto"/>
        </w:rPr>
        <w:t>Our cash, cash equivalents, and marketable securities as of December 31, 2019 consisted of cash, corporate bonds, commercial paper, certificates of deposits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December 31, 2019, the net fair value of our interest-sensitive financial instruments would result in a hypothetical decline of $0.1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consolidated statement of operations. Net foreign currency transaction gains (losses) of less than $0.1 million, $(0.2) million and $0.1 million were recorded for the years ended December 31, 2019, 2018 and 2017, respectively.</w:t>
      </w:r>
    </w:p>
    <w:p>
      <w:pPr>
        <w:spacing w:after="0" w:line="188"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December 31, 2019, a 10% unfavorable movement in foreign currency exchange rates would expose us to an increased net loss. For the year ended December 31, 2019, we estimated that a 10% unfavorable movement in foreign currency exchange rates would have increased our net loss by $0.2 million. This amount is based on a sensitivity analysis performed on our financial position as of December 31, 2019.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gridSpan w:val="9"/>
            <w:vMerge w:val="restart"/>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80" w:type="dxa"/>
            <w:vAlign w:val="bottom"/>
            <w:gridSpan w:val="9"/>
            <w:vMerge w:val="continue"/>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8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2019 and 201</w:t>
              </w:r>
            </w:hyperlink>
            <w:r>
              <w:rPr>
                <w:rFonts w:ascii="Arial" w:cs="Arial" w:eastAsia="Arial" w:hAnsi="Arial"/>
                <w:sz w:val="18"/>
                <w:szCs w:val="18"/>
                <w:color w:val="000000"/>
              </w:rPr>
              <w:t>8</w:t>
            </w: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8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 xml:space="preserve">Consolidated Statements of Operations and Comprehensive Loss for the years ended December 31, 2019, 2018 and </w:t>
              </w:r>
            </w:hyperlink>
            <w:r>
              <w:rPr>
                <w:rFonts w:ascii="Arial" w:cs="Arial" w:eastAsia="Arial" w:hAnsi="Arial"/>
                <w:sz w:val="18"/>
                <w:szCs w:val="18"/>
                <w:color w:val="000000"/>
              </w:rPr>
              <w:t>2017</w:t>
            </w: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8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Changes in Stockholders’ Equity for the years ended December 31, 2019, 2018 and 2017</w:t>
              </w:r>
            </w:hyperlink>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 for the years ended December 31, 2019, 2018 and 2017</w:t>
              </w:r>
            </w:hyperlink>
          </w:p>
        </w:tc>
        <w:tc>
          <w:tcPr>
            <w:tcW w:w="1520" w:type="dxa"/>
            <w:vAlign w:val="bottom"/>
            <w:tcBorders>
              <w:top w:val="single" w:sz="8" w:color="0000EE"/>
            </w:tcBorders>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7120" w:type="dxa"/>
            <w:vAlign w:val="bottom"/>
            <w:gridSpan w:val="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920" w:type="dxa"/>
            <w:vAlign w:val="bottom"/>
            <w:gridSpan w:val="5"/>
          </w:tcPr>
          <w:p>
            <w:pPr>
              <w:ind w:left="5620"/>
              <w:spacing w:after="0"/>
              <w:rPr>
                <w:sz w:val="20"/>
                <w:szCs w:val="20"/>
                <w:color w:val="auto"/>
              </w:rPr>
            </w:pPr>
            <w:r>
              <w:rPr>
                <w:rFonts w:ascii="Arial" w:cs="Arial" w:eastAsia="Arial" w:hAnsi="Arial"/>
                <w:sz w:val="18"/>
                <w:szCs w:val="18"/>
                <w:color w:val="auto"/>
              </w:rPr>
              <w:t>64</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Zafgen Inc., and its subsidiaries (the “Company”) as of December 31, 2019 and 2018, and the related consolidated statements of operations and comprehensive loss, of changes in stockholders’ equity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their operations and their cash flows for each of the three years in the period ended December 31, 2019 in conformity with accounting principles generally accepted in the United States of America.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jc w:val="center"/>
              <w:ind w:left="3630"/>
              <w:spacing w:after="0"/>
              <w:rPr>
                <w:sz w:val="20"/>
                <w:szCs w:val="20"/>
                <w:color w:val="auto"/>
              </w:rPr>
            </w:pPr>
            <w:r>
              <w:rPr>
                <w:rFonts w:ascii="Arial" w:cs="Arial" w:eastAsia="Arial" w:hAnsi="Arial"/>
                <w:sz w:val="18"/>
                <w:szCs w:val="18"/>
                <w:b w:val="1"/>
                <w:bCs w:val="1"/>
                <w:color w:val="auto"/>
              </w:rPr>
              <w:t>ZAFGEN, INC.</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7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27,211</w:t>
            </w:r>
          </w:p>
        </w:tc>
        <w:tc>
          <w:tcPr>
            <w:tcW w:w="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7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49,331</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68,735</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incentive receivable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121,330</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r>
      <w:tr>
        <w:trPr>
          <w:trHeight w:val="263"/>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Borders>
              <w:bottom w:val="single" w:sz="8" w:color="CFF0FC"/>
            </w:tcBorders>
          </w:tcPr>
          <w:p>
            <w:pPr>
              <w:spacing w:after="0"/>
              <w:rPr>
                <w:sz w:val="22"/>
                <w:szCs w:val="22"/>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7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restructuring costs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current</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long-term</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00" w:type="dxa"/>
            <w:vAlign w:val="bottom"/>
          </w:tcPr>
          <w:p>
            <w:pPr>
              <w:ind w:left="380"/>
              <w:spacing w:after="0"/>
              <w:rPr>
                <w:sz w:val="20"/>
                <w:szCs w:val="20"/>
                <w:color w:val="auto"/>
              </w:rPr>
            </w:pPr>
            <w:r>
              <w:rPr>
                <w:rFonts w:ascii="Arial" w:cs="Arial" w:eastAsia="Arial" w:hAnsi="Arial"/>
                <w:sz w:val="18"/>
                <w:szCs w:val="18"/>
                <w:color w:val="auto"/>
              </w:rPr>
              <w:t>Preferred stock; $0.001 par value per share; 5,000,000 shares authorized as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of December 31, 2019 and 2018; no shares issued and outstanding as of</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00" w:type="dxa"/>
            <w:vAlign w:val="bottom"/>
          </w:tcPr>
          <w:p>
            <w:pPr>
              <w:ind w:left="520"/>
              <w:spacing w:after="0"/>
              <w:rPr>
                <w:sz w:val="20"/>
                <w:szCs w:val="20"/>
                <w:color w:val="auto"/>
              </w:rPr>
            </w:pPr>
            <w:r>
              <w:rPr>
                <w:rFonts w:ascii="Arial" w:cs="Arial" w:eastAsia="Arial" w:hAnsi="Arial"/>
                <w:sz w:val="18"/>
                <w:szCs w:val="18"/>
                <w:color w:val="auto"/>
              </w:rPr>
              <w:t>and December 31, 2019 and 2018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$0.001 par value per share; 115,000,000 shares authorized as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of December 31, 2019 and 2018; 37,446,498 and 37,287,221 shares issued</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and outstanding as of December 31, 2019 and 2018, respectively</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20"/>
                <w:szCs w:val="20"/>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449,903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444,212</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(396,351)</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(350,945)</w:t>
            </w: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23"/>
        </w:trPr>
        <w:tc>
          <w:tcPr>
            <w:tcW w:w="7700" w:type="dxa"/>
            <w:vAlign w:val="bottom"/>
            <w:tcBorders>
              <w:top w:val="single" w:sz="8" w:color="CFF0FC"/>
            </w:tcBorders>
            <w:shd w:val="clear" w:color="auto" w:fill="CFF0FC"/>
          </w:tcPr>
          <w:p>
            <w:pPr>
              <w:ind w:left="12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charges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 gains (losses), net</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3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37,347,199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32,228,721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27,433,239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(45,406)</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(61,368)</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(52,028)</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(45,338)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(61,343)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w w:val="92"/>
              </w:rPr>
              <w:t>Par Value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2016</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27,332,551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359,329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(237,549)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136,992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Issuance of restricted stock units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Unrealized gain on marketable securities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(52,028)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(52,028)</w:t>
            </w:r>
          </w:p>
        </w:tc>
        <w:tc>
          <w:tcPr>
            <w:tcW w:w="0" w:type="dxa"/>
            <w:vAlign w:val="bottom"/>
          </w:tcPr>
          <w:p>
            <w:pPr>
              <w:spacing w:after="0"/>
              <w:rPr>
                <w:sz w:val="1"/>
                <w:szCs w:val="1"/>
                <w:color w:val="auto"/>
              </w:rPr>
            </w:pPr>
          </w:p>
        </w:tc>
      </w:tr>
      <w:tr>
        <w:trPr>
          <w:trHeight w:val="223"/>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Balances at December 31, 2017</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27,489,457</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367,825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(289,577)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Issuance of common stock, net of issuance costs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578,842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Issuance of restricted stock units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(61,368)</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(61,368)</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37,287,221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444,212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(350,945)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Issuance of common stock upon exercise of stock</w:t>
            </w: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143,360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Issuance of restricted stock units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(45,406)</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(45,406)</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right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37,446,498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(396,351</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w w:val="91"/>
              </w:rPr>
              <w:t>Year Ended December 31,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(45,406)</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(61,368)</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(52,028)</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Non-cash interest expense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Depreciation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Impairment of assets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Loss on disposal of fixed assets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Unrealized foreign currency transaction losses (gains)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Premium on marketable securities, net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Amortization of (discount) premium on marketable securities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40"/>
              <w:spacing w:after="0"/>
              <w:rPr>
                <w:sz w:val="20"/>
                <w:szCs w:val="20"/>
                <w:color w:val="auto"/>
              </w:rPr>
            </w:pPr>
            <w:r>
              <w:rPr>
                <w:rFonts w:ascii="Arial" w:cs="Arial" w:eastAsia="Arial" w:hAnsi="Arial"/>
                <w:sz w:val="16"/>
                <w:szCs w:val="16"/>
                <w:color w:val="auto"/>
              </w:rPr>
              <w:t>Changes in operating assets and liabilities: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Prepaid expenses and other current assets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3"/>
        </w:trPr>
        <w:tc>
          <w:tcPr>
            <w:tcW w:w="5940" w:type="dxa"/>
            <w:vAlign w:val="bottom"/>
          </w:tcPr>
          <w:p>
            <w:pPr>
              <w:ind w:left="1120"/>
              <w:spacing w:after="0"/>
              <w:rPr>
                <w:sz w:val="20"/>
                <w:szCs w:val="20"/>
                <w:color w:val="auto"/>
              </w:rPr>
            </w:pPr>
            <w:r>
              <w:rPr>
                <w:rFonts w:ascii="Arial" w:cs="Arial" w:eastAsia="Arial" w:hAnsi="Arial"/>
                <w:sz w:val="16"/>
                <w:szCs w:val="16"/>
                <w:color w:val="auto"/>
              </w:rPr>
              <w:t>Tax incentive receivable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(666)</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Accounts payable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(2,958)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1120"/>
              <w:spacing w:after="0"/>
              <w:rPr>
                <w:sz w:val="20"/>
                <w:szCs w:val="20"/>
                <w:color w:val="auto"/>
              </w:rPr>
            </w:pPr>
            <w:r>
              <w:rPr>
                <w:rFonts w:ascii="Arial" w:cs="Arial" w:eastAsia="Arial" w:hAnsi="Arial"/>
                <w:sz w:val="16"/>
                <w:szCs w:val="16"/>
                <w:color w:val="auto"/>
              </w:rPr>
              <w:t>Accrued restructuring costs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Accrued expenses and other</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Borders>
              <w:bottom w:val="single" w:sz="8" w:color="CFF0FC"/>
            </w:tcBorders>
          </w:tcPr>
          <w:p>
            <w:pPr>
              <w:ind w:left="1120"/>
              <w:spacing w:after="0"/>
              <w:rPr>
                <w:sz w:val="20"/>
                <w:szCs w:val="20"/>
                <w:color w:val="auto"/>
              </w:rPr>
            </w:pPr>
            <w:r>
              <w:rPr>
                <w:rFonts w:ascii="Arial" w:cs="Arial" w:eastAsia="Arial" w:hAnsi="Arial"/>
                <w:sz w:val="16"/>
                <w:szCs w:val="16"/>
                <w:color w:val="auto"/>
              </w:rPr>
              <w:t>Other assets</w:t>
            </w: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operating activities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(40,783)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(51,487)</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(43,784)</w:t>
            </w:r>
          </w:p>
        </w:tc>
        <w:tc>
          <w:tcPr>
            <w:tcW w:w="0" w:type="dxa"/>
            <w:vAlign w:val="bottom"/>
          </w:tcPr>
          <w:p>
            <w:pPr>
              <w:spacing w:after="0"/>
              <w:rPr>
                <w:sz w:val="1"/>
                <w:szCs w:val="1"/>
                <w:color w:val="auto"/>
              </w:rPr>
            </w:pPr>
          </w:p>
        </w:tc>
      </w:tr>
      <w:tr>
        <w:trPr>
          <w:trHeight w:val="207"/>
        </w:trPr>
        <w:tc>
          <w:tcPr>
            <w:tcW w:w="59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sales and maturities of marketable securities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110,388</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(82,861)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(117,147)</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(114,511)</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Purchases of property and equipment</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(108)</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Proceeds from sales of property and equipment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Payments for leasehold improvements on right-of-use assets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(6,867)</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Proceeds from issuance of notes payable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Repayments of notes payable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(3,633)</w:t>
            </w:r>
          </w:p>
        </w:tc>
        <w:tc>
          <w:tcPr>
            <w:tcW w:w="0" w:type="dxa"/>
            <w:vAlign w:val="bottom"/>
          </w:tcPr>
          <w:p>
            <w:pPr>
              <w:spacing w:after="0"/>
              <w:rPr>
                <w:sz w:val="1"/>
                <w:szCs w:val="1"/>
                <w:color w:val="auto"/>
              </w:rPr>
            </w:pPr>
          </w:p>
        </w:tc>
      </w:tr>
      <w:tr>
        <w:trPr>
          <w:trHeight w:val="206"/>
        </w:trPr>
        <w:tc>
          <w:tcPr>
            <w:tcW w:w="5940" w:type="dxa"/>
            <w:vAlign w:val="bottom"/>
          </w:tcPr>
          <w:p>
            <w:pPr>
              <w:ind w:left="380"/>
              <w:spacing w:after="0"/>
              <w:rPr>
                <w:sz w:val="20"/>
                <w:szCs w:val="20"/>
                <w:color w:val="auto"/>
              </w:rPr>
            </w:pPr>
            <w:r>
              <w:rPr>
                <w:rFonts w:ascii="Arial" w:cs="Arial" w:eastAsia="Arial" w:hAnsi="Arial"/>
                <w:sz w:val="16"/>
                <w:szCs w:val="16"/>
                <w:color w:val="auto"/>
              </w:rPr>
              <w:t>Proceeds from exercise of common stock options and employee stock</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500"/>
              <w:spacing w:after="0"/>
              <w:rPr>
                <w:sz w:val="20"/>
                <w:szCs w:val="20"/>
                <w:color w:val="auto"/>
              </w:rPr>
            </w:pPr>
            <w:r>
              <w:rPr>
                <w:rFonts w:ascii="Arial" w:cs="Arial" w:eastAsia="Arial" w:hAnsi="Arial"/>
                <w:sz w:val="16"/>
                <w:szCs w:val="16"/>
                <w:color w:val="auto"/>
              </w:rPr>
              <w:t>purchase plan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public offerings, net of commissions and underwriting</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discounts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64,860</w:t>
            </w: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Payments of public offering costs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FF0FC"/>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4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(5,261)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66,908</w:t>
            </w: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6"/>
                <w:szCs w:val="16"/>
                <w:b w:val="1"/>
                <w:bCs w:val="1"/>
                <w:color w:val="auto"/>
              </w:rPr>
              <w:t>Net (decrease) increase in cash, cash equivalents and restricted cash</w:t>
            </w: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color w:val="auto"/>
              </w:rPr>
              <w:t>(20,781)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40,777</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4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28,550</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49,331</w:t>
            </w:r>
          </w:p>
        </w:tc>
        <w:tc>
          <w:tcPr>
            <w:tcW w:w="26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40,777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80"/>
              <w:spacing w:after="0"/>
              <w:rPr>
                <w:sz w:val="20"/>
                <w:szCs w:val="20"/>
                <w:color w:val="auto"/>
              </w:rPr>
            </w:pPr>
            <w:r>
              <w:rPr>
                <w:rFonts w:ascii="Arial" w:cs="Arial" w:eastAsia="Arial" w:hAnsi="Arial"/>
                <w:sz w:val="16"/>
                <w:szCs w:val="16"/>
                <w:color w:val="auto"/>
              </w:rPr>
              <w:t>Public offering costs included in accounts payable</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Right-of-use asset obtained in exchange for operating lease obligation</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Cash paid for interest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color w:val="auto"/>
        </w:rPr>
        <w:t>Zafgen, Inc., or the Company, was incorporated on November 22, 2005 under the laws of the State of Delaware. The Company is a biopharmaceutical company that has leveraged its proprietary knowledge of the methionine aminopeptidase 2 (“MetAP2”) pathway to pioneer the study of MetAP2 inhibitors in both common and rare metabolic disorders.</w:t>
      </w:r>
    </w:p>
    <w:p>
      <w:pPr>
        <w:spacing w:after="0" w:line="73"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 xml:space="preserve">The Company’s prior lead product candidate, ZGN-1061, is a MetAP2 inhibitor that was in Phase 2 clinical development for the treatment of type 2 diabetes and other related metabolic disorders. In November 2018, the Company received a letter from the U.S. Food and Drug Administration (“FDA”) placing a full clinical hold on the investigational new drug application (“IND”) for the first U.S. clinical trial of ZGN-1061. The FDA cited the possibility of cardiovascular (“CV”) safety risk based on the Company’s prior compound. In July 2019, the Company reached agreement with the FDA 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animal study design and protocol to establish relevant safety margins for ZGN-1061. The study was designed to translate the data from the Company’s newly developed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endothelial cells and assessment of tissue factor expression with endothelial cells, along with other supportive assays, as it worked toward resolving the full clinical hold. Based on the preliminary results from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on September 5, 2019, the Company announced that it believes there is a low probability of resolving the clinical hold in the near-term. Subsequently, all further development activities of MetAP2 inhibitors were halted and the Company withdrew the IND for ZGN-1061 in September 2019. Therefore, the Company determined that it is in the best interest of shareholders to evaluate strategic alternatives and implemented a restructuring plan to reduce operating costs and better align the Company’s workforce with its needs, which in combination with the July restructuring actions and other attrition in 2019, resulted in a 70% reduction in workforce and closure of its San Diego facility (See Note 14).</w:t>
      </w:r>
    </w:p>
    <w:p>
      <w:pPr>
        <w:spacing w:after="0" w:line="72"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Following an extensive process of evaluating strategic alternatives for the Company and identifying and reviewing potential candidates for a strategic acquisition or other transaction, on December 17, 2019, the Company entered into an Agreement and Plan of Merger, or the Merger Agreement, with Chondrial Therapeutics, Inc. (“Chondrial”), pursuant to which a wholly owned subsidiary of the Company will merge with and into Chondrial, with Chondrial continuing as the surviving corporation and a wholly owned subsidiary of the Company and the combined publicly traded, clinical-stage biopharmaceutical company will operate under a new name, Larimar Therapeutics, Inc. Under the exchange ratio formula in the Merger Agreement, as of immediately after the merger, the former Chondrial securityholders are expected to own approximately 60% of the outstanding shares of Zafgen common stock on a fully-diluted basis and the Company’s stockholders as of immediately prior to the merger are expected to own approximately 40% of the outstanding shares of our common stock on a fully-diluted basis. Under certain circumstances further described in the Merger Agreement, the ownership percentages may be adjusted upward or downward based on the level of our net cash at the closing of the merger and certain other adjustments. The Company expects to devote significant time and resources to completion of this proposed transaction, which the Company refers to as the Merger. However, there can be no assurance that such activities will result in the completion of the Merger. Further, the completion of the Merger ultimately may not deliver the anticipated benefits or enhance shareholder value.</w:t>
      </w:r>
    </w:p>
    <w:p>
      <w:pPr>
        <w:spacing w:after="0" w:line="72"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Merger Agreement provides each of the Company and Chondrial with specified termination rights, and further provides that, upon termination of the Merger Agreement under specified circumstances, either party may be required to pay the other party a termination fee of $3,375,000. In addition, in connection with certain terminations of the Merger Agreement, either party may be required to pay the other party’s third party expenses up to $350,000. In connection with the merger, the Company will seek to amend our certificate of incorporation to: (i) effect a reverse split of our common stock at a ratio to be determined by us and Chondrial, which is intended to ensure that the listing requirements of the Nasdaq Global Market are satisfied and (ii) change the name of Zafgen to “Larimar Therapeutics, Inc.”</w:t>
      </w:r>
    </w:p>
    <w:p>
      <w:pPr>
        <w:spacing w:after="0" w:line="85" w:lineRule="exact"/>
        <w:rPr>
          <w:sz w:val="20"/>
          <w:szCs w:val="20"/>
          <w:color w:val="auto"/>
        </w:rPr>
      </w:pPr>
    </w:p>
    <w:p>
      <w:pPr>
        <w:ind w:right="160" w:firstLine="555"/>
        <w:spacing w:after="0" w:line="254" w:lineRule="auto"/>
        <w:rPr>
          <w:sz w:val="20"/>
          <w:szCs w:val="20"/>
          <w:color w:val="auto"/>
        </w:rPr>
      </w:pPr>
      <w:r>
        <w:rPr>
          <w:rFonts w:ascii="Arial" w:cs="Arial" w:eastAsia="Arial" w:hAnsi="Arial"/>
          <w:sz w:val="18"/>
          <w:szCs w:val="18"/>
          <w:color w:val="auto"/>
        </w:rPr>
        <w:t>The Company’s and Chondrial’s obligations to consummate the merger are subject to the satisfaction or waiver of customary closing conditions, including, among others, obtaining the requisite approvals of our stockholders and satisfaction of minimum net cash thresholds of $30,000,000 by the Company and not less than zero by Chondrial. The sole stockholder of Chondrial has approved the Merger Agreement. In connection with the execution of the Merger Agreement, the Company entered into stockholder support agreements with the Company’s current directors and certain officers and the Company’s largest stockholder, which collectively beneficially own or control an aggregate of approximately 9.7% of the Company’s outstanding shares of common stock. Each of the stockholders party to such stockholder support agreements has agreed to vote or cause to be voted, all of the shares of the Company’s common stock beneficially owned by such stockholder in favor of the stockholder proposals submitted at our stockholders meeting to be held in connection with the merger.</w:t>
      </w:r>
    </w:p>
    <w:p>
      <w:pPr>
        <w:spacing w:after="0" w:line="84"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ind w:right="60"/>
        <w:spacing w:after="0" w:line="264" w:lineRule="auto"/>
        <w:rPr>
          <w:sz w:val="20"/>
          <w:szCs w:val="20"/>
          <w:color w:val="auto"/>
        </w:rPr>
      </w:pPr>
      <w:r>
        <w:rPr>
          <w:rFonts w:ascii="Arial" w:cs="Arial" w:eastAsia="Arial" w:hAnsi="Arial"/>
          <w:sz w:val="18"/>
          <w:szCs w:val="18"/>
          <w:color w:val="auto"/>
        </w:rPr>
        <w:t>regulations and the need to obtain additional financing. Future product candidates, if any,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7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As a result of our potential strategic alternative, there can be no assurance that the Company’s future product candidates’ research and development, if any,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5"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The Company has incurred losses and negative cash flows from operations since its inception. As of December 31, 2019, the Company had an accumulated deficit of $396.4 million. From its inception through December 31, 2019, the Company received net proceeds of $397.9 million from the sales of redeemable convertible preferred stock, the issuance of convertible promissory notes, the proceeds from its initial public offering (“IPO”) in June 2014 and its follow-on offerings in January 2015 and July 2018. 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 As disclosed in Note 6 to the consolidated financial statements, the Company has a term loan with an aggregate principal balance of $14.5 million as of December 31, 2019. The loan agreement with Silicon Valley Bank (the “Term Loan”) requires that the Company maintain certain minimum liquidity at all times, which as of December 31, 2019, was approximately $15.3 million. If the minimum liquidity covenant is not met, the Company may be required to repay the loan prior to scheduled maturity dates. The Term Loan also includes events of default, the occurrence and continuation of any of which provides the lenders the right to exercise remedies against the Company and the collateral securing the amounts due under the Term Loan.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 During the years ended December 31, 2019 and 2018 the Company was in compliance with all covenants under the Term Loan. The Company has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the Company’s related assessment could change in the future, which in turn would impact the classification of the debt balances.</w:t>
      </w:r>
    </w:p>
    <w:p>
      <w:pPr>
        <w:spacing w:after="0" w:line="193"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Based on its current operating plans, the Company believes its cash, cash equivalents and marketable securities of $70.3 million as of December 31, 2019 will be sufficient to fund its anticipated level of operations, capital expenditures and satisfy debt repayments for a period of at least 12 months from the issuance date of this Annual Report. Until such time, if ever, as the Company can generate substantial product revenue, the Company expects to finance its cash needs through a combination of equity offerings, debt financings, collaborations, strategic alliances, licensing arrangements and other sources of funding. The Company expects to generate operating losses for the foreseeable future.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67" w:lineRule="exact"/>
        <w:rPr>
          <w:sz w:val="20"/>
          <w:szCs w:val="20"/>
          <w:color w:val="auto"/>
        </w:rPr>
      </w:pPr>
    </w:p>
    <w:p>
      <w:pPr>
        <w:ind w:right="120" w:firstLine="555"/>
        <w:spacing w:after="0" w:line="342" w:lineRule="auto"/>
        <w:rPr>
          <w:sz w:val="20"/>
          <w:szCs w:val="20"/>
          <w:color w:val="auto"/>
        </w:rPr>
      </w:pPr>
      <w:r>
        <w:rPr>
          <w:rFonts w:ascii="Arial" w:cs="Arial" w:eastAsia="Arial" w:hAnsi="Arial"/>
          <w:sz w:val="16"/>
          <w:szCs w:val="16"/>
          <w:color w:val="auto"/>
        </w:rPr>
        <w:t>The consolidated financial statements include the accounts of the Company and its wholly owned subsidiaries Zafgen Securities Corporation, Zafgen Australia Pty Limited, Zafgen Animal Health, LLC. and Zordich Merger Sub, Inc. All intercompany balances and transactions have been eliminated.</w:t>
      </w:r>
    </w:p>
    <w:p>
      <w:pPr>
        <w:spacing w:after="0" w:line="124"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1" w:name="page72"/>
    <w:bookmarkEnd w:id="71"/>
    <w:p>
      <w:pPr>
        <w:ind w:right="7800" w:firstLine="8"/>
        <w:spacing w:after="0" w:line="378" w:lineRule="auto"/>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80" w:firstLine="55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consolidated financial statements, and the reported amounts of expenses during the reporting periods. Significant estimates and assumptions reflected in these consolidated financial statements include, but are not limited to, the valuation of stock-based awards. Estimates are periodically reviewed in light of changes in circumstances, facts and experience.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Cash equivalents, which consist of money market funds, U.S. government securities, corporate bonds, and commercial paper, are stated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and marketable securities. The Company has all cash, cash equivalents and marketable securities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ind w:right="160" w:firstLine="555"/>
        <w:spacing w:after="0" w:line="279"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in its programs, if and when development programs are active.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classifies its marketable securities as available-for-sale. Accordingly, these investments are recorded at fair value, which is based on quoted market prices. Unrealized gains and losses are reported as a component of accumulated other comprehensive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other assets until such financings are consummated. After consummation of the equity financing, these costs are recorded in stockholders’ equity as a reduction of additional paid-in capital generated as a result of the offering or as a reduction to the carrying value of preferred stock issued.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firstLine="555"/>
        <w:spacing w:after="0" w:line="261"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three or five-year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Long-lived assets consist of property and equipment, net¸and the net operating lease asset.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 To date, the Company has recorded $0.1 million impairment losses on long-lived assets associated with the restructuring announced in September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 The Company records research and development expenses net of any research and development tax incentives the Company is entitled to receive from government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Company has, from time to time,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17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9"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firstLine="555"/>
        <w:spacing w:after="0" w:line="312"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 is a biopharmaceutical company that has leveraged its proprietary knowledge of the MetAP2 pathway to pioneer the study of MetAP2 inhibitors in both common and rare metabolic disorders. No revenue has been generated since inception, and all tangible assets are held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stockholders. For the years ended December 31, 2019, 2018 and 2017, the Company’s only element of other comprehensive income was unrealized gain on marketable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The new leasing 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79"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We adopted the new leasing standards using the modified retrospective transition approach, as of January 1, 2019, with no restatement of prior periods or cumulative adjustment to retained earnings.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4" w:name="page75"/>
    <w:bookmarkEnd w:id="74"/>
    <w:p>
      <w:pPr>
        <w:spacing w:after="0" w:line="259" w:lineRule="auto"/>
        <w:rPr>
          <w:sz w:val="20"/>
          <w:szCs w:val="20"/>
          <w:color w:val="auto"/>
        </w:rPr>
      </w:pPr>
      <w:r>
        <w:rPr>
          <w:rFonts w:ascii="Arial" w:cs="Arial" w:eastAsia="Arial" w:hAnsi="Arial"/>
          <w:sz w:val="18"/>
          <w:szCs w:val="18"/>
          <w:color w:val="auto"/>
        </w:rPr>
        <w:t>associated lease payments in the consolidated statements of operations on a straight-line basis over the lease term. Upon adoption of the new leasing standards we recognized an operating lease asset of approximately $1.0 million and a corresponding operating lease liability of approximately $1.0 million, which are included in our consolidated balance sheet. The adoption of the new leasing standards did not have an impact on our consolidated statements of income or cash flows.</w:t>
      </w:r>
    </w:p>
    <w:p>
      <w:pPr>
        <w:spacing w:after="0" w:line="7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81"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The lease payments used to determine our operating lease assets may include lease incentives, stated rent increases and escalation clauses linked to rates of inflation when determinable and are recognized in our operating lease assets in our consolidated balance sheets.</w:t>
      </w:r>
    </w:p>
    <w:p>
      <w:pPr>
        <w:spacing w:after="0" w:line="38" w:lineRule="exact"/>
        <w:rPr>
          <w:sz w:val="20"/>
          <w:szCs w:val="20"/>
          <w:color w:val="auto"/>
        </w:rPr>
      </w:pPr>
    </w:p>
    <w:p>
      <w:pPr>
        <w:ind w:right="700" w:firstLine="555"/>
        <w:spacing w:after="0" w:line="342" w:lineRule="auto"/>
        <w:rPr>
          <w:sz w:val="20"/>
          <w:szCs w:val="20"/>
          <w:color w:val="auto"/>
        </w:rPr>
      </w:pPr>
      <w:r>
        <w:rPr>
          <w:rFonts w:ascii="Arial" w:cs="Arial" w:eastAsia="Arial" w:hAnsi="Arial"/>
          <w:sz w:val="16"/>
          <w:szCs w:val="16"/>
          <w:color w:val="auto"/>
        </w:rPr>
        <w:t>Our operating leases are reflected in operating lease right-of-use assets, short-term operating lease liabilities and in long-term operating lease liabilities in our consolidated balance sheets. Lease expense for minimum lease payments is recognized on a straight-line basis over the lease term.</w:t>
      </w:r>
    </w:p>
    <w:p>
      <w:pPr>
        <w:spacing w:after="0" w:line="16"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 xml:space="preserve">For additional information on the adoption of the new leasing standards, please read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these consolidated financial statements.</w:t>
      </w:r>
    </w:p>
    <w:p>
      <w:pPr>
        <w:spacing w:after="0" w:line="62"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This ASU is intended to simplify aspects of share-based compensation issued to non-employees by making the guidance consistent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employee share-based compensation. This standard was effective for the Company in 2019. The adoption of this guidance had an immaterial impact on the Company’s consolidated financial statements as of and for the year ended December 31, 2019.</w:t>
      </w:r>
    </w:p>
    <w:p>
      <w:pPr>
        <w:spacing w:after="0" w:line="63" w:lineRule="exact"/>
        <w:rPr>
          <w:sz w:val="20"/>
          <w:szCs w:val="20"/>
          <w:color w:val="auto"/>
        </w:rPr>
      </w:pPr>
    </w:p>
    <w:p>
      <w:pPr>
        <w:jc w:val="both"/>
        <w:ind w:right="580" w:firstLine="555"/>
        <w:spacing w:after="0" w:line="312" w:lineRule="auto"/>
        <w:rPr>
          <w:sz w:val="20"/>
          <w:szCs w:val="20"/>
          <w:color w:val="auto"/>
        </w:rPr>
      </w:pPr>
      <w:r>
        <w:rPr>
          <w:rFonts w:ascii="Arial" w:cs="Arial" w:eastAsia="Arial" w:hAnsi="Arial"/>
          <w:sz w:val="16"/>
          <w:szCs w:val="16"/>
          <w:color w:val="auto"/>
        </w:rPr>
        <w:t>In August 2018 the FASB issued ASU No. 2018-13</w:t>
      </w:r>
      <w:r>
        <w:rPr>
          <w:rFonts w:ascii="Arial" w:cs="Arial" w:eastAsia="Arial" w:hAnsi="Arial"/>
          <w:sz w:val="16"/>
          <w:szCs w:val="16"/>
          <w:i w:val="1"/>
          <w:iCs w:val="1"/>
          <w:color w:val="auto"/>
        </w:rPr>
        <w:t>, 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standard modifies certain disclosure requirements on fair value measurements. This standard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the Company on January 1, 2020. The adoption of this standard will not have a material impact on the Company’s disclosures.</w:t>
      </w:r>
    </w:p>
    <w:p>
      <w:pPr>
        <w:spacing w:after="0" w:line="251" w:lineRule="exact"/>
        <w:rPr>
          <w:sz w:val="20"/>
          <w:szCs w:val="20"/>
          <w:color w:val="auto"/>
        </w:rPr>
      </w:pPr>
    </w:p>
    <w:p>
      <w:pPr>
        <w:ind w:right="7180" w:firstLine="8"/>
        <w:spacing w:after="0" w:line="378" w:lineRule="auto"/>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right="80" w:firstLine="555"/>
        <w:spacing w:after="0" w:line="291" w:lineRule="auto"/>
        <w:rPr>
          <w:sz w:val="20"/>
          <w:szCs w:val="20"/>
          <w:color w:val="auto"/>
        </w:rPr>
      </w:pPr>
      <w:r>
        <w:rPr>
          <w:rFonts w:ascii="Arial" w:cs="Arial" w:eastAsia="Arial" w:hAnsi="Arial"/>
          <w:sz w:val="16"/>
          <w:szCs w:val="16"/>
          <w:color w:val="auto"/>
        </w:rPr>
        <w:t>The following tables present information about the Company’s financial assets that have been measured at fair value as of December 31, 2019 and 2018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years ended December 31, 2019 and 2018, there were no transfers between Level 1 and Level 2 financial assets.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p>
      <w:pPr>
        <w:ind w:left="560"/>
        <w:spacing w:after="0"/>
        <w:rPr>
          <w:sz w:val="20"/>
          <w:szCs w:val="20"/>
          <w:color w:val="auto"/>
        </w:rPr>
      </w:pPr>
      <w:r>
        <w:rPr>
          <w:rFonts w:ascii="Arial" w:cs="Arial" w:eastAsia="Arial" w:hAnsi="Arial"/>
          <w:sz w:val="18"/>
          <w:szCs w:val="18"/>
          <w:color w:val="auto"/>
        </w:rPr>
        <w:t>The following tables summarize the Company’s cash equivalents and marketable securities as of December 31, 2019 and 2018:</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8"/>
                <w:szCs w:val="18"/>
                <w:b w:val="1"/>
                <w:bCs w:val="1"/>
                <w:color w:val="auto"/>
                <w:w w:val="90"/>
              </w:rPr>
              <w:t>December 31, 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4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30"/>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Markets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23"/>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7"/>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Cash equivalents: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12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18,289</w:t>
            </w:r>
          </w:p>
        </w:tc>
        <w:tc>
          <w:tcPr>
            <w:tcW w:w="20" w:type="dxa"/>
            <w:vAlign w:val="bottom"/>
          </w:tcPr>
          <w:p>
            <w:pPr>
              <w:spacing w:after="0"/>
              <w:rPr>
                <w:sz w:val="19"/>
                <w:szCs w:val="19"/>
                <w:color w:val="auto"/>
              </w:rPr>
            </w:pPr>
          </w:p>
        </w:tc>
        <w:tc>
          <w:tcPr>
            <w:tcW w:w="3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18,289</w:t>
            </w:r>
          </w:p>
        </w:tc>
        <w:tc>
          <w:tcPr>
            <w:tcW w:w="20" w:type="dxa"/>
            <w:vAlign w:val="bottom"/>
          </w:tcPr>
          <w:p>
            <w:pPr>
              <w:spacing w:after="0"/>
              <w:rPr>
                <w:sz w:val="19"/>
                <w:szCs w:val="19"/>
                <w:color w:val="auto"/>
              </w:rPr>
            </w:pPr>
          </w:p>
        </w:tc>
        <w:tc>
          <w:tcPr>
            <w:tcW w:w="3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securities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cash equivalents</w:t>
            </w:r>
          </w:p>
        </w:tc>
        <w:tc>
          <w:tcPr>
            <w:tcW w:w="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22,434</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b w:val="1"/>
                <w:bCs w:val="1"/>
                <w:color w:val="auto"/>
              </w:rPr>
              <w:t>Marketable securities: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securities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marketable securities</w:t>
            </w:r>
          </w:p>
        </w:tc>
        <w:tc>
          <w:tcPr>
            <w:tcW w:w="84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equivalents and marketable securities</w:t>
            </w: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65,484</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47,195</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4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8"/>
                <w:szCs w:val="18"/>
                <w:b w:val="1"/>
                <w:bCs w:val="1"/>
                <w:color w:val="auto"/>
                <w:w w:val="90"/>
              </w:rPr>
              <w:t>December 31, 2018</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Significant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(Level 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3)</w:t>
            </w:r>
          </w:p>
        </w:tc>
      </w:tr>
      <w:tr>
        <w:trPr>
          <w:trHeight w:val="223"/>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7"/>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Cash equivalents: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12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40,231</w:t>
            </w:r>
          </w:p>
        </w:tc>
        <w:tc>
          <w:tcPr>
            <w:tcW w:w="3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40,231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4,979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cash equivalents</w:t>
            </w: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45,210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40,231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r>
      <w:tr>
        <w:trPr>
          <w:trHeight w:val="223"/>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Marketable securities: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38,911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38,911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marketable securities</w:t>
            </w:r>
          </w:p>
        </w:tc>
        <w:tc>
          <w:tcPr>
            <w:tcW w:w="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68,735</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Total cash equivalents and marketable securities</w:t>
            </w:r>
          </w:p>
        </w:tc>
        <w:tc>
          <w:tcPr>
            <w:tcW w:w="860" w:type="dxa"/>
            <w:vAlign w:val="bottom"/>
            <w:gridSpan w:val="2"/>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113,945</w:t>
            </w:r>
          </w:p>
        </w:tc>
        <w:tc>
          <w:tcPr>
            <w:tcW w:w="180" w:type="dxa"/>
            <w:vAlign w:val="bottom"/>
            <w:gridSpan w:val="2"/>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40,231</w:t>
            </w:r>
          </w:p>
        </w:tc>
        <w:tc>
          <w:tcPr>
            <w:tcW w:w="18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73,714</w:t>
            </w:r>
          </w:p>
        </w:tc>
        <w:tc>
          <w:tcPr>
            <w:tcW w:w="200" w:type="dxa"/>
            <w:vAlign w:val="bottom"/>
            <w:gridSpan w:val="2"/>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carrying amounts reflected in the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8"/>
          </w:tcPr>
          <w:p>
            <w:pPr>
              <w:ind w:left="560"/>
              <w:spacing w:after="0"/>
              <w:rPr>
                <w:sz w:val="20"/>
                <w:szCs w:val="20"/>
                <w:color w:val="auto"/>
              </w:rPr>
            </w:pPr>
            <w:r>
              <w:rPr>
                <w:rFonts w:ascii="Arial" w:cs="Arial" w:eastAsia="Arial" w:hAnsi="Arial"/>
                <w:sz w:val="18"/>
                <w:szCs w:val="18"/>
                <w:color w:val="auto"/>
                <w:w w:val="92"/>
              </w:rPr>
              <w:t>The following tables summarize the Company’s marketable securities as of December 31, 2019 and 2018:</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90"/>
              </w:rPr>
              <w:t>December 31, 2019</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9"/>
                <w:szCs w:val="19"/>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Unrealized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14,981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 (due within 1 year)</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Commercial paper (due within 1 year)</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tcPr>
          <w:p>
            <w:pPr>
              <w:spacing w:after="0"/>
              <w:rPr>
                <w:sz w:val="19"/>
                <w:szCs w:val="19"/>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90"/>
              </w:rPr>
              <w:t>December 31, 2018</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9"/>
                <w:szCs w:val="19"/>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Unrealized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Commercial paper (due within 1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38,921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38,911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 (due within 1 year)</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as of December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4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Useful Life</w:t>
            </w: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223"/>
        </w:trPr>
        <w:tc>
          <w:tcPr>
            <w:tcW w:w="24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18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3-5 years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880" w:type="dxa"/>
            <w:vAlign w:val="bottom"/>
            <w:gridSpan w:val="3"/>
          </w:tcPr>
          <w:p>
            <w:pPr>
              <w:jc w:val="right"/>
              <w:ind w:right="350"/>
              <w:spacing w:after="0"/>
              <w:rPr>
                <w:sz w:val="20"/>
                <w:szCs w:val="20"/>
                <w:color w:val="auto"/>
              </w:rPr>
            </w:pPr>
            <w:r>
              <w:rPr>
                <w:rFonts w:ascii="Arial" w:cs="Arial" w:eastAsia="Arial" w:hAnsi="Arial"/>
                <w:sz w:val="18"/>
                <w:szCs w:val="18"/>
                <w:color w:val="auto"/>
              </w:rPr>
              <w:t>5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w:t>
            </w:r>
          </w:p>
        </w:tc>
        <w:tc>
          <w:tcPr>
            <w:tcW w:w="1880" w:type="dxa"/>
            <w:vAlign w:val="bottom"/>
            <w:gridSpan w:val="3"/>
            <w:shd w:val="clear" w:color="auto" w:fill="CFF0FC"/>
          </w:tcPr>
          <w:p>
            <w:pPr>
              <w:jc w:val="right"/>
              <w:ind w:right="350"/>
              <w:spacing w:after="0"/>
              <w:rPr>
                <w:sz w:val="20"/>
                <w:szCs w:val="20"/>
                <w:color w:val="auto"/>
              </w:rPr>
            </w:pPr>
            <w:r>
              <w:rPr>
                <w:rFonts w:ascii="Arial" w:cs="Arial" w:eastAsia="Arial" w:hAnsi="Arial"/>
                <w:sz w:val="18"/>
                <w:szCs w:val="18"/>
                <w:color w:val="auto"/>
              </w:rPr>
              <w:t>5 years</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Leasehold improvements</w:t>
            </w:r>
          </w:p>
        </w:tc>
        <w:tc>
          <w:tcPr>
            <w:tcW w:w="1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r>
      <w:tr>
        <w:trPr>
          <w:trHeight w:val="223"/>
        </w:trPr>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46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*shorter of asset life or lease term</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Depreciation expense was $0.3 million, $0.3 million and $0.2 million for the years ended December 31, 2019, 2018 and 2017,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560"/>
              <w:spacing w:after="0"/>
              <w:rPr>
                <w:sz w:val="20"/>
                <w:szCs w:val="20"/>
                <w:color w:val="auto"/>
              </w:rPr>
            </w:pPr>
            <w:r>
              <w:rPr>
                <w:rFonts w:ascii="Arial" w:cs="Arial" w:eastAsia="Arial" w:hAnsi="Arial"/>
                <w:sz w:val="18"/>
                <w:szCs w:val="18"/>
                <w:color w:val="auto"/>
              </w:rPr>
              <w:t>Accrued expenses consisted of the following as of December 31, 2019 and 2018:</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3"/>
        </w:trPr>
        <w:tc>
          <w:tcPr>
            <w:tcW w:w="7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w w:val="99"/>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r>
      <w:tr>
        <w:trPr>
          <w:trHeight w:val="223"/>
        </w:trPr>
        <w:tc>
          <w:tcPr>
            <w:tcW w:w="7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w w:val="95"/>
              </w:rPr>
              <w:t>(in thousands)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178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FF0FC"/>
            </w:tcBorders>
          </w:tcPr>
          <w:p>
            <w:pPr>
              <w:spacing w:after="0"/>
              <w:rPr>
                <w:sz w:val="19"/>
                <w:szCs w:val="19"/>
                <w:color w:val="auto"/>
              </w:rPr>
            </w:pPr>
          </w:p>
        </w:tc>
      </w:tr>
      <w:tr>
        <w:trPr>
          <w:trHeight w:val="223"/>
        </w:trPr>
        <w:tc>
          <w:tcPr>
            <w:tcW w:w="7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w:t>
      </w:r>
    </w:p>
    <w:p>
      <w:pPr>
        <w:spacing w:after="0" w:line="121"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147"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Upon entering into this Term Loan, the Company is obligated to make monthly, interest-only payments until March 29, 2019 and, thereafter, to pay 33 consecutive, equal monthly installments of principal and interest from April 1, 2019 through December 1, 2021. The outstanding Term Loan bears a variable annual interest rate of 1.25% above the prime rate, which as of December 31, 2019 was 4.75%.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 The effective annual interest rate of the outstanding debt under the Term Loan is approximately 9.2% as of December 31, 2019.</w:t>
      </w:r>
    </w:p>
    <w:p>
      <w:pPr>
        <w:spacing w:after="0" w:line="165" w:lineRule="exact"/>
        <w:rPr>
          <w:sz w:val="20"/>
          <w:szCs w:val="20"/>
          <w:color w:val="auto"/>
        </w:rPr>
      </w:pPr>
    </w:p>
    <w:p>
      <w:pPr>
        <w:jc w:val="both"/>
        <w:ind w:right="280" w:firstLine="555"/>
        <w:spacing w:after="0" w:line="264" w:lineRule="auto"/>
        <w:rPr>
          <w:sz w:val="20"/>
          <w:szCs w:val="20"/>
          <w:color w:val="auto"/>
        </w:rPr>
      </w:pPr>
      <w:r>
        <w:rPr>
          <w:rFonts w:ascii="Arial" w:cs="Arial" w:eastAsia="Arial" w:hAnsi="Arial"/>
          <w:sz w:val="18"/>
          <w:szCs w:val="18"/>
          <w:color w:val="auto"/>
        </w:rPr>
        <w:t>Additionally, the Company, as the borrower, is required to maintain a minimum cash, cash equivalents and marketable securities balance at Silicon Valley Bank of no less than 105% of the total outstanding principal balance of the Term Loan, which as of December 31, 2019 was $15.3 million and as of December 31, 2018 was $21.0 million.</w:t>
      </w:r>
    </w:p>
    <w:p>
      <w:pPr>
        <w:spacing w:after="0" w:line="18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Further, as of 45 days after the Term Loan was entered in, the Company must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87"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permitting the aggregate value of cash maintained by its Australian subsidiary not to exceed $4.0 million and certain other business transactions.</w:t>
      </w:r>
    </w:p>
    <w:p>
      <w:pPr>
        <w:spacing w:after="0" w:line="166"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 During the years ended December 31, 2019 and 2018 the Company was in compliance with all covenants under the Term Loan.</w:t>
      </w:r>
    </w:p>
    <w:p>
      <w:pPr>
        <w:spacing w:after="0" w:line="173"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Company has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the Company’s related assessment could change in the future, which in turn would impact the classification of the debt balances.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ind w:left="560"/>
              <w:spacing w:after="0"/>
              <w:rPr>
                <w:sz w:val="20"/>
                <w:szCs w:val="20"/>
                <w:color w:val="auto"/>
              </w:rPr>
            </w:pPr>
            <w:r>
              <w:rPr>
                <w:rFonts w:ascii="Arial" w:cs="Arial" w:eastAsia="Arial" w:hAnsi="Arial"/>
                <w:sz w:val="18"/>
                <w:szCs w:val="18"/>
                <w:color w:val="auto"/>
              </w:rPr>
              <w:t>As of December 31, 2019 and 2018, notes payable consist of the following:</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9"/>
                <w:szCs w:val="19"/>
                <w:color w:val="auto"/>
              </w:rPr>
            </w:pPr>
          </w:p>
        </w:tc>
        <w:tc>
          <w:tcPr>
            <w:tcW w:w="1600" w:type="dxa"/>
            <w:vAlign w:val="bottom"/>
            <w:gridSpan w:val="3"/>
          </w:tcPr>
          <w:p>
            <w:pPr>
              <w:jc w:val="right"/>
              <w:ind w:right="230"/>
              <w:spacing w:after="0"/>
              <w:rPr>
                <w:sz w:val="20"/>
                <w:szCs w:val="20"/>
                <w:color w:val="auto"/>
              </w:rPr>
            </w:pPr>
            <w:r>
              <w:rPr>
                <w:rFonts w:ascii="Arial" w:cs="Arial" w:eastAsia="Arial" w:hAnsi="Arial"/>
                <w:sz w:val="18"/>
                <w:szCs w:val="18"/>
                <w:color w:val="auto"/>
              </w:rPr>
              <w:t>(7,273)</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23"/>
        </w:trPr>
        <w:tc>
          <w:tcPr>
            <w:tcW w:w="7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7,272</w:t>
            </w: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Accretion related to final payment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payable, long term</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560"/>
              <w:spacing w:after="0"/>
              <w:rPr>
                <w:sz w:val="20"/>
                <w:szCs w:val="20"/>
                <w:color w:val="auto"/>
              </w:rPr>
            </w:pPr>
            <w:r>
              <w:rPr>
                <w:rFonts w:ascii="Arial" w:cs="Arial" w:eastAsia="Arial" w:hAnsi="Arial"/>
                <w:sz w:val="18"/>
                <w:szCs w:val="18"/>
                <w:color w:val="auto"/>
              </w:rPr>
              <w:t>As of December 31, 2019, the estimated future principal payments due are as follows: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57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FF0FC"/>
            </w:tcBorders>
            <w:shd w:val="clear" w:color="auto" w:fill="CFF0FC"/>
          </w:tcPr>
          <w:p>
            <w:pPr>
              <w:spacing w:after="0"/>
              <w:rPr>
                <w:sz w:val="19"/>
                <w:szCs w:val="19"/>
                <w:color w:val="auto"/>
              </w:rPr>
            </w:pPr>
          </w:p>
        </w:tc>
        <w:tc>
          <w:tcPr>
            <w:tcW w:w="5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firstLine="555"/>
        <w:spacing w:after="0" w:line="264" w:lineRule="auto"/>
        <w:rPr>
          <w:sz w:val="20"/>
          <w:szCs w:val="20"/>
          <w:color w:val="auto"/>
        </w:rPr>
      </w:pPr>
      <w:r>
        <w:rPr>
          <w:rFonts w:ascii="Arial" w:cs="Arial" w:eastAsia="Arial" w:hAnsi="Arial"/>
          <w:sz w:val="18"/>
          <w:szCs w:val="18"/>
          <w:color w:val="auto"/>
        </w:rPr>
        <w:t>During the years ended December 31, 2019, 2018 and 2017, the Company recognized $1.8 million, $1.9 million and less than $0.1 million, respectively, of interest expense related to the Term Loan. During the year ended December 31, 2017, the Company recognized $0.2 million of interest expense related to the 2014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right="100" w:firstLine="555"/>
        <w:spacing w:after="0" w:line="342" w:lineRule="auto"/>
        <w:rPr>
          <w:sz w:val="20"/>
          <w:szCs w:val="20"/>
          <w:color w:val="auto"/>
        </w:rPr>
      </w:pPr>
      <w:r>
        <w:rPr>
          <w:rFonts w:ascii="Arial" w:cs="Arial" w:eastAsia="Arial" w:hAnsi="Arial"/>
          <w:sz w:val="16"/>
          <w:szCs w:val="16"/>
          <w:color w:val="auto"/>
        </w:rPr>
        <w:t>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w:t>
      </w:r>
    </w:p>
    <w:p>
      <w:pPr>
        <w:spacing w:after="0" w:line="124" w:lineRule="exact"/>
        <w:rPr>
          <w:sz w:val="20"/>
          <w:szCs w:val="20"/>
          <w:color w:val="auto"/>
        </w:rPr>
      </w:pPr>
    </w:p>
    <w:p>
      <w:pPr>
        <w:ind w:right="280" w:firstLine="555"/>
        <w:spacing w:after="0" w:line="288" w:lineRule="auto"/>
        <w:rPr>
          <w:sz w:val="20"/>
          <w:szCs w:val="20"/>
          <w:color w:val="auto"/>
        </w:rPr>
      </w:pPr>
      <w:r>
        <w:rPr>
          <w:rFonts w:ascii="Arial" w:cs="Arial" w:eastAsia="Arial" w:hAnsi="Arial"/>
          <w:sz w:val="16"/>
          <w:szCs w:val="16"/>
          <w:color w:val="auto"/>
        </w:rPr>
        <w:t>On November 9, 2018, the Company entered into a sales agreement (the “Sales Agreement”) with Cowen and Company, LLC (“Cowen”), to sell shares of the Company’s common stock, with aggregate gross sales proceeds of up to $50.0 million, from time to time, through an at-the-market equity offering program under which Cowen will act as its sales agent (the “ATM Offering Program”). Cowen is entitled to compensation for its services equal to</w:t>
      </w:r>
    </w:p>
    <w:p>
      <w:pPr>
        <w:spacing w:after="0" w:line="253" w:lineRule="auto"/>
        <w:rPr>
          <w:sz w:val="20"/>
          <w:szCs w:val="20"/>
          <w:color w:val="auto"/>
        </w:rPr>
      </w:pPr>
      <w:r>
        <w:rPr>
          <w:rFonts w:ascii="Arial" w:cs="Arial" w:eastAsia="Arial" w:hAnsi="Arial"/>
          <w:sz w:val="18"/>
          <w:szCs w:val="18"/>
          <w:color w:val="auto"/>
        </w:rPr>
        <w:t>3.0% of the gross proceeds of any shares of common stock sold through Cowen under the Sales Agreement. The Company has no obligation to sell any shares under the Sales Agreement, and may at any time suspend solicitation and offers under the Sales Agreement. The shares will be issued pursuant to the Company’s Registration Statement on Form S-3 filed on August 9, 2017 with the Securities and Exchange Commission (“SEC”). The Company filed a prospectus supplement, dated November 9, 2018, with the SEC in connection with the offer and sale of the shares pursuant to the Sales Agreement. As of December 31, 2019, the Company has not sold shares under the Sales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right="80" w:firstLine="555"/>
        <w:spacing w:after="0" w:line="264"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authorizes the Company to issue 5,000,000 shares of $0.001 par value preferred stock. The rights, preferences, restrictions, qualifications and limitations of such stock are to be determined by the Company’s board of directors.</w:t>
      </w:r>
    </w:p>
    <w:p>
      <w:pPr>
        <w:spacing w:after="0" w:line="181" w:lineRule="exact"/>
        <w:rPr>
          <w:sz w:val="20"/>
          <w:szCs w:val="20"/>
          <w:color w:val="auto"/>
        </w:rPr>
      </w:pPr>
    </w:p>
    <w:p>
      <w:pPr>
        <w:ind w:right="840" w:firstLine="555"/>
        <w:spacing w:after="0" w:line="277"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authorizes the Company to issue 115,000,000 shares of $0.001 par value common stock.</w:t>
      </w:r>
    </w:p>
    <w:p>
      <w:pPr>
        <w:spacing w:after="0" w:line="275" w:lineRule="exact"/>
        <w:rPr>
          <w:sz w:val="20"/>
          <w:szCs w:val="20"/>
          <w:color w:val="auto"/>
        </w:rPr>
      </w:pPr>
    </w:p>
    <w:p>
      <w:pPr>
        <w:ind w:right="9680" w:firstLine="8"/>
        <w:spacing w:after="0" w:line="453" w:lineRule="auto"/>
        <w:tabs>
          <w:tab w:leader="none" w:pos="180"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Awards Stock Option Plan</w:t>
      </w:r>
    </w:p>
    <w:p>
      <w:pPr>
        <w:spacing w:after="0" w:line="1"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The Company’s 2014 Stock Option and Incentive Plan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number of shares initially reserved for issuance under the 2014 Plan was 2,168,221 shares of common stock. The number of shares reserved for issuance may be increased by the number of shares under the previously authorized 2006 Stock Option Plan that are not needed to fulfill the Company’s obligations for awards issued under the 2006 Stock Option Plan as a result of forfeiture, expiration, cancellation, termination or net issuances of awards thereunder. The number of shares of common stock that may be issued under the 2014 Plan is also subject to increase on the first day of each fiscal year by the lesser of (i) 4% of the Company’s outstanding shares of common stock as of that date, or (ii) an amount determined by the board of directors. As of December 31, 2019, 5,278,653 shares are available for grant under the 2014 Plan, including 1,491,488 shares automatically added to the 2014 Plan on January 1, 2019, and 69,522 shares are available for issuance to participating employees under the ESPP.</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Option Grants with time-based vesting conditions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years ended December 31, 2019, 2018 and 2017, the Company granted 1,901,197, 1,823,386 and 1,214,874 stock options, respectively,</w:t>
      </w:r>
    </w:p>
    <w:p>
      <w:pPr>
        <w:spacing w:after="0" w:line="8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under the 2014 Plan. The vesting of these awards is time-based and the restrictions typically lapse over periods of three to four years. Stock options were granted with exercise prices equal to the fair value of the Company’s common stock on the date of grant. The Company bases fair value of common stock on the quoted market price of the Company’s common stock. During the years ended December 31, 2019, 2018 and 2017 the Company granted 375,000, 225,000, and 550,000 options, respectively, with time-based vesting as inducement grants outside of the 2014 Plan in accordance with NASDAQ Listing Rule 5635(c)(4). These stock options have a ten-year term and an exercise price equal to the closing price of the Company’s common stock on the grant date. The options vest as to 25% of the shares on the first anniversary of the grant date and the remainder in equal monthly installments thereafter over a 3-year period.</w:t>
      </w:r>
    </w:p>
    <w:p>
      <w:pPr>
        <w:spacing w:after="0" w:line="160"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fair value of each service-based stock option grant to employees and directors is estimated on the date of grant using the Black-Scholes option-pricing model. The Company estimates its expected volatility using a weighted average of the historical volatility of publicly-traded peer companies and its own common stock since its IPO in June 2014, and expects to continue to do so until such time as it has adequate historical data regarding the volatility of its own traded stock price for the duration of the expected term.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assumptions that the Company used to determine the fair value of the stock options granted to employees and directors are as follows, presented on a weighted average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647"/>
        </w:trPr>
        <w:tc>
          <w:tcPr>
            <w:tcW w:w="6620" w:type="dxa"/>
            <w:vAlign w:val="bottom"/>
          </w:tcPr>
          <w:p>
            <w:pPr>
              <w:ind w:left="5620"/>
              <w:spacing w:after="0"/>
              <w:rPr>
                <w:sz w:val="20"/>
                <w:szCs w:val="20"/>
                <w:color w:val="auto"/>
              </w:rPr>
            </w:pPr>
            <w:r>
              <w:rPr>
                <w:rFonts w:ascii="Arial" w:cs="Arial" w:eastAsia="Arial" w:hAnsi="Arial"/>
                <w:sz w:val="18"/>
                <w:szCs w:val="18"/>
                <w:color w:val="auto"/>
              </w:rPr>
              <w:t>80</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0" w:name="page81"/>
    <w:bookmarkEnd w:id="80"/>
    <w:p>
      <w:pPr>
        <w:ind w:left="560"/>
        <w:spacing w:after="0"/>
        <w:rPr>
          <w:sz w:val="20"/>
          <w:szCs w:val="20"/>
          <w:color w:val="auto"/>
        </w:rPr>
      </w:pPr>
      <w:r>
        <w:rPr>
          <w:rFonts w:ascii="Arial" w:cs="Arial" w:eastAsia="Arial" w:hAnsi="Arial"/>
          <w:sz w:val="18"/>
          <w:szCs w:val="18"/>
          <w:color w:val="auto"/>
        </w:rPr>
        <w:t>The following table summarizes the Company’s stock option activity described above, since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Issuable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Under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5"/>
        </w:trPr>
        <w:tc>
          <w:tcPr>
            <w:tcW w:w="59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5,024,371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2,276,197</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(83,047)</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(3,252,814)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8.81</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3,964,707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as of December 31, 2019</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1,700,815</w:t>
            </w:r>
          </w:p>
        </w:tc>
        <w:tc>
          <w:tcPr>
            <w:tcW w:w="1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The aggregate intrinsic value was calculated based on the positive differences between the market value of the Company’s common stock and the exercise prices of the options. The aggregate intrinsic value of service-based stock options exercised was less than $0.1 million, $1.6 million and $0.3 million during the years ended December 31, 2019, 2018 and 2017, respectively.</w:t>
      </w:r>
    </w:p>
    <w:p>
      <w:pPr>
        <w:spacing w:after="0" w:line="181"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The Company received cash proceeds from the exercise of stock options of $0.1 million, $2.2 million, and $0.1 million during the years ended December 31, 2019, 2018 and 2017, respectively.</w:t>
      </w:r>
    </w:p>
    <w:p>
      <w:pPr>
        <w:spacing w:after="0" w:line="170"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weighted average grant-date fair value of service-based stock options granted to employees and directors during the years ended December 31, 2019, 2018 and 2017 was $3.14, $6.08 and $2.91, per share, respectively.</w:t>
      </w:r>
    </w:p>
    <w:p>
      <w:pPr>
        <w:spacing w:after="0" w:line="170"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As of December 31, 2019 and 2018, there were outstanding unvested service-based stock options held by nonemployees for the purchase of 25,834 and 45,209 shares of common stock,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Option Grants with market-based vesting conditions</w:t>
      </w:r>
    </w:p>
    <w:p>
      <w:pPr>
        <w:spacing w:after="0" w:line="117" w:lineRule="exact"/>
        <w:rPr>
          <w:sz w:val="20"/>
          <w:szCs w:val="20"/>
          <w:color w:val="auto"/>
        </w:rPr>
      </w:pPr>
    </w:p>
    <w:p>
      <w:pPr>
        <w:jc w:val="both"/>
        <w:ind w:right="100" w:firstLine="555"/>
        <w:spacing w:after="0" w:line="293" w:lineRule="auto"/>
        <w:rPr>
          <w:sz w:val="20"/>
          <w:szCs w:val="20"/>
          <w:color w:val="auto"/>
        </w:rPr>
      </w:pPr>
      <w:r>
        <w:rPr>
          <w:rFonts w:ascii="Arial" w:cs="Arial" w:eastAsia="Arial" w:hAnsi="Arial"/>
          <w:sz w:val="16"/>
          <w:szCs w:val="16"/>
          <w:color w:val="auto"/>
        </w:rPr>
        <w:t>In October 2017, the Company granted 687,500 common stock options that vest on the third anniversary of the grant date upon achievement by the Company of minimum common stock prices for 20 consecutive days during the Earning Period, the (“Price Target Options”). The Earning Period is defined as the period between the first anniversary of the grant date and the third anniversary of the grant date. Of the 687,500 Price Target Options granted in 2017, 137,500 were granted under the 2014 Stock Plan and 550,000 were granted to the newly-hired Chief Executive Officer as an inducement grant outside of the 2014 Plan in accordance with NASDAQ Listing Rule 5635(c)(4). These stock options have a ten-year term and an exercise price equal to the closing price of the Company’s common stock on the grant date. In August 2018, the 137,500 shares granted under the 2014 Stock Plan were forfeited.</w:t>
      </w:r>
    </w:p>
    <w:p>
      <w:pPr>
        <w:spacing w:after="0" w:line="165"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The number of Price Target Options that will vest upon achievement of the target will vary based on the level of achievement from a maximum of 200% of the target shares to a threshold of 50% of the target shares, with no vesting, absent certain circumstances, if the threshold requirement is not achieved or the employee is no longer with the Company at the end of the three-year period. The Price Target Options are valued using Monte Carlo simulation models. The number of options expected to vest, based on achievement of the specified market condition, is factored into the grant date Monte Carlo valuations for the Price Target Options. Compensation expense is recognized ratably over the attribution period.</w:t>
      </w:r>
    </w:p>
    <w:p>
      <w:pPr>
        <w:spacing w:after="0" w:line="173"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Price Target Options granted to employees were as follows, presented on a weighted average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CFF0FC"/>
            </w:tcBorders>
          </w:tcPr>
          <w:p>
            <w:pPr>
              <w:spacing w:after="0"/>
              <w:rPr>
                <w:sz w:val="20"/>
                <w:szCs w:val="20"/>
                <w:color w:val="auto"/>
              </w:rPr>
            </w:pPr>
          </w:p>
        </w:tc>
        <w:tc>
          <w:tcPr>
            <w:tcW w:w="5640" w:type="dxa"/>
            <w:vAlign w:val="bottom"/>
            <w:tcBorders>
              <w:bottom w:val="single" w:sz="8" w:color="CFF0FC"/>
            </w:tcBorders>
          </w:tcPr>
          <w:p>
            <w:pPr>
              <w:spacing w:after="0"/>
              <w:rPr>
                <w:sz w:val="20"/>
                <w:szCs w:val="20"/>
                <w:color w:val="auto"/>
              </w:rPr>
            </w:pPr>
          </w:p>
        </w:tc>
        <w:tc>
          <w:tcPr>
            <w:tcW w:w="1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64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7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647"/>
        </w:trPr>
        <w:tc>
          <w:tcPr>
            <w:tcW w:w="3700" w:type="dxa"/>
            <w:vAlign w:val="bottom"/>
          </w:tcPr>
          <w:p>
            <w:pPr>
              <w:spacing w:after="0"/>
              <w:rPr>
                <w:sz w:val="24"/>
                <w:szCs w:val="24"/>
                <w:color w:val="auto"/>
              </w:rPr>
            </w:pPr>
          </w:p>
        </w:tc>
        <w:tc>
          <w:tcPr>
            <w:tcW w:w="5640" w:type="dxa"/>
            <w:vAlign w:val="bottom"/>
          </w:tcPr>
          <w:p>
            <w:pPr>
              <w:jc w:val="right"/>
              <w:ind w:right="3450"/>
              <w:spacing w:after="0"/>
              <w:rPr>
                <w:sz w:val="20"/>
                <w:szCs w:val="20"/>
                <w:color w:val="auto"/>
              </w:rPr>
            </w:pPr>
            <w:r>
              <w:rPr>
                <w:rFonts w:ascii="Arial" w:cs="Arial" w:eastAsia="Arial" w:hAnsi="Arial"/>
                <w:sz w:val="18"/>
                <w:szCs w:val="18"/>
                <w:color w:val="auto"/>
              </w:rPr>
              <w:t>81</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81" w:name="page82"/>
    <w:bookmarkEnd w:id="81"/>
    <w:p>
      <w:pPr>
        <w:ind w:right="300" w:firstLine="555"/>
        <w:spacing w:after="0" w:line="308" w:lineRule="auto"/>
        <w:rPr>
          <w:sz w:val="20"/>
          <w:szCs w:val="20"/>
          <w:color w:val="auto"/>
        </w:rPr>
      </w:pPr>
      <w:r>
        <w:rPr>
          <w:rFonts w:ascii="Arial" w:cs="Arial" w:eastAsia="Arial" w:hAnsi="Arial"/>
          <w:sz w:val="17"/>
          <w:szCs w:val="17"/>
          <w:color w:val="auto"/>
        </w:rPr>
        <w:t>The Price Target Options had a grant date total fair value of $3.1 million and a weighted average fair value of $4.56 per share. As of December 31, 2019, the 550,000 Price Target Options had an aggregate intrinsic value of $0 and a remaining contractual term of 7.77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20" w:firstLine="555"/>
        <w:spacing w:after="0" w:line="253" w:lineRule="auto"/>
        <w:rPr>
          <w:sz w:val="20"/>
          <w:szCs w:val="20"/>
          <w:color w:val="auto"/>
        </w:rPr>
      </w:pPr>
      <w:r>
        <w:rPr>
          <w:rFonts w:ascii="Arial" w:cs="Arial" w:eastAsia="Arial" w:hAnsi="Arial"/>
          <w:sz w:val="18"/>
          <w:szCs w:val="18"/>
          <w:color w:val="auto"/>
        </w:rPr>
        <w:t>Restricted stock units awarded to employees generally vest one-half on the anniversary of the date of grant and the remaining one-half on the 18-month anniversary of the date of grant, provided the employee remains continuously employed with us, except as otherwise provided in the plan. Shares of our common stock will be delivered to the employee upon vesting, subject to payment of applicable withholding taxes. Restricted stock units are awarded to directors in lieu of cash fees for service on our Board of Directors and vest quarterly over a one year period, provided in each case that the director continues to serve on our Board of Directors through the vesting date. Shares of our common stock will be delivered to the director upon vesting and are not subject to any withholding taxes.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300" w:type="dxa"/>
            <w:vAlign w:val="bottom"/>
          </w:tcPr>
          <w:p>
            <w:pPr>
              <w:ind w:left="740"/>
              <w:spacing w:after="0"/>
              <w:rPr>
                <w:sz w:val="20"/>
                <w:szCs w:val="20"/>
                <w:color w:val="auto"/>
              </w:rPr>
            </w:pPr>
            <w:r>
              <w:rPr>
                <w:rFonts w:ascii="Arial" w:cs="Arial" w:eastAsia="Arial" w:hAnsi="Arial"/>
                <w:sz w:val="18"/>
                <w:szCs w:val="18"/>
                <w:b w:val="1"/>
                <w:bCs w:val="1"/>
                <w:color w:val="auto"/>
                <w:w w:val="89"/>
              </w:rPr>
              <w:t>Shares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2018</w:t>
            </w: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355,187</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(15,267)</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(290,784)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2019</w:t>
            </w:r>
          </w:p>
        </w:tc>
        <w:tc>
          <w:tcPr>
            <w:tcW w:w="13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During the years ended December 31, 2018 and 2017, the Company granted 17,856 and 22,128 restricted stock units, respectively, all of which vested during 2018 and 2017, respectively, at a weighted average grant-date fair value of $5.18 and $4.18, respectively. The aggregate intrinsic value of restricted stock units that vested during the years ended December 31, 2018 and 2017 was $0.2 million and $0.1 million, respectively, calculated as the fair value of the Company’s common stock on the date it vests.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Employee Stock Purchase Plan</w:t>
      </w:r>
    </w:p>
    <w:p>
      <w:pPr>
        <w:spacing w:after="0" w:line="121"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The Company has a 2014 Employee Stock Purchase Plan (the “ESPP”) under which a total of 265,000 shares of common stock were reserved for issuance. During both 2019 and 2018 there were two offering periods, January 1 through June 30 and July 1 through December 31. The per share purchase price for offerings is equal to the lesser of 85% of the closing market price of the Company’s common stock on the first day or last day of the offering period. The Company issued 60,313 and 46,181 shares during the years ended December 31, 2019 and 2018, respectively. As of December 31, 2019 and 2018, there are 69,522 and 129,835 shares, respectively, of common stock available for issuance to participating employees under the ESPP.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common stock in the following expense categories within its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4,175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5,497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555"/>
        <w:spacing w:after="0" w:line="308" w:lineRule="auto"/>
        <w:rPr>
          <w:sz w:val="20"/>
          <w:szCs w:val="20"/>
          <w:color w:val="auto"/>
        </w:rPr>
      </w:pPr>
      <w:r>
        <w:rPr>
          <w:rFonts w:ascii="Arial" w:cs="Arial" w:eastAsia="Arial" w:hAnsi="Arial"/>
          <w:sz w:val="17"/>
          <w:szCs w:val="17"/>
          <w:color w:val="auto"/>
        </w:rPr>
        <w:t>As of December 31, 2019, the Company had unrecognized stock-based compensation expense related to its unvested service-based stock option awards of $6.1 million, which is expected to be recognized over the remaining weighted average vesting period of 2.6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82" w:name="page83"/>
    <w:bookmarkEnd w:id="82"/>
    <w:p>
      <w:pPr>
        <w:ind w:right="500" w:firstLine="555"/>
        <w:spacing w:after="0" w:line="308" w:lineRule="auto"/>
        <w:rPr>
          <w:sz w:val="20"/>
          <w:szCs w:val="20"/>
          <w:color w:val="auto"/>
        </w:rPr>
      </w:pPr>
      <w:r>
        <w:rPr>
          <w:rFonts w:ascii="Arial" w:cs="Arial" w:eastAsia="Arial" w:hAnsi="Arial"/>
          <w:sz w:val="17"/>
          <w:szCs w:val="17"/>
          <w:color w:val="auto"/>
        </w:rPr>
        <w:t>As of December 31, 2019, the Company had unrecognized stock-based compensation expense related to its unvested market-based stock option awards of $0.7 million, which is expected to be recognized over the remaining weighted average vesting period of 0.8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Basic and diluted net loss per share was calculated as follows:</w:t>
      </w:r>
    </w:p>
    <w:p>
      <w:pPr>
        <w:spacing w:after="0" w:line="235"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6780" w:type="dxa"/>
        <w:tblCellMar>
          <w:top w:w="0" w:type="dxa"/>
          <w:left w:w="0" w:type="dxa"/>
          <w:bottom w:w="0" w:type="dxa"/>
          <w:right w:w="0" w:type="dxa"/>
        </w:tblCellMar>
      </w:tblPr>
      <w:tr>
        <w:trPr>
          <w:trHeight w:val="237"/>
        </w:trPr>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84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2017</w:t>
            </w:r>
          </w:p>
        </w:tc>
      </w:tr>
      <w:tr>
        <w:trPr>
          <w:trHeight w:val="228"/>
        </w:trPr>
        <w:tc>
          <w:tcPr>
            <w:tcW w:w="84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ind w:left="140"/>
        <w:spacing w:after="0"/>
        <w:rPr>
          <w:sz w:val="20"/>
          <w:szCs w:val="20"/>
          <w:color w:val="auto"/>
        </w:rPr>
      </w:pPr>
      <w:r>
        <w:rPr>
          <w:rFonts w:ascii="Arial" w:cs="Arial" w:eastAsia="Arial" w:hAnsi="Arial"/>
          <w:sz w:val="18"/>
          <w:szCs w:val="18"/>
          <w:color w:val="auto"/>
        </w:rPr>
        <w:t>Basic and diluted net loss per share:</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760" w:right="1320" w:hanging="134"/>
        <w:spacing w:after="0" w:line="276" w:lineRule="auto"/>
        <w:rPr>
          <w:sz w:val="20"/>
          <w:szCs w:val="20"/>
          <w:color w:val="auto"/>
        </w:rPr>
      </w:pPr>
      <w:r>
        <w:rPr>
          <w:rFonts w:ascii="Arial" w:cs="Arial" w:eastAsia="Arial" w:hAnsi="Arial"/>
          <w:sz w:val="18"/>
          <w:szCs w:val="18"/>
          <w:color w:val="auto"/>
        </w:rPr>
        <w:t>Weighted average common shares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(45,406)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(61,368)</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(52,028)</w:t>
            </w:r>
          </w:p>
        </w:tc>
      </w:tr>
      <w:tr>
        <w:trPr>
          <w:trHeight w:val="56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37,347,199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32,228,721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27,433,239</w:t>
            </w:r>
          </w:p>
        </w:tc>
        <w:tc>
          <w:tcPr>
            <w:tcW w:w="6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0"/>
        </w:trPr>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640"/>
          </w:cols>
          <w:pgMar w:left="240" w:top="341" w:right="239" w:bottom="1440" w:gutter="0" w:footer="0" w:header="0"/>
          <w:type w:val="continuous"/>
        </w:sectPr>
      </w:pPr>
    </w:p>
    <w:p>
      <w:pPr>
        <w:spacing w:after="0" w:line="42"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Company excluded the following common stock equivalents outstanding as of December 31, 2019, 2018 and 2017 from the computation of diluted net loss per share for the years ended December 31, 2019, 2018 and 2017 because they had an anti-dilutive impact due to the net loss incurred for the periods: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9"/>
              </w:rPr>
              <w:t>As of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78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3,964,707</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5,024,371</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4,494,201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49,136</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4,013,843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5,024,371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4,494,201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right="8600" w:firstLine="8"/>
        <w:spacing w:after="0" w:line="378" w:lineRule="auto"/>
        <w:tabs>
          <w:tab w:leader="none" w:pos="27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80" w:firstLine="555"/>
        <w:spacing w:after="0" w:line="291" w:lineRule="auto"/>
        <w:rPr>
          <w:sz w:val="20"/>
          <w:szCs w:val="20"/>
          <w:color w:val="auto"/>
        </w:rPr>
      </w:pPr>
      <w:r>
        <w:rPr>
          <w:rFonts w:ascii="Arial" w:cs="Arial" w:eastAsia="Arial" w:hAnsi="Arial"/>
          <w:sz w:val="16"/>
          <w:szCs w:val="16"/>
          <w:color w:val="auto"/>
        </w:rPr>
        <w:t>On February 12, 2019, the Company entered into a lease with Shigo Center Plaza Owners, LLC, for approximately 17,705 square feet of office space for a new headquarters located at 3 Center Plaza, Boston, Massachusetts. The lease has a term of 124 months with an option to extend the lease for 60 additional months. As part of the agreement the Company is required to maintain a letter of credit, which upon signing was $1.3 million and is classified as restricted cash within the consolidated financial statements. Under the lease agreement, the Company began paying monthly rent beginning four months after the lease commencement, which was June 21, 2019, with total lease payments over the initial term of $10.7 million. During the fourth quarter of 2019 and in conjunction with entering into a merger agreement with Chondrial, the Company performed an impairment review of the Company’s headquarters lease and related assets and determined that an impairment had not occurred as the estimated fair value of the asset exceeded the carrying value.</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prior headquarters lease was terminated, effective as of June 30, 2019.</w:t>
      </w:r>
    </w:p>
    <w:p>
      <w:pPr>
        <w:spacing w:after="0" w:line="117" w:lineRule="exact"/>
        <w:rPr>
          <w:sz w:val="20"/>
          <w:szCs w:val="20"/>
          <w:color w:val="auto"/>
        </w:rPr>
      </w:pPr>
    </w:p>
    <w:p>
      <w:pPr>
        <w:ind w:right="240" w:firstLine="555"/>
        <w:spacing w:after="0" w:line="302" w:lineRule="auto"/>
        <w:rPr>
          <w:sz w:val="20"/>
          <w:szCs w:val="20"/>
          <w:color w:val="auto"/>
        </w:rPr>
      </w:pPr>
      <w:r>
        <w:rPr>
          <w:rFonts w:ascii="Arial" w:cs="Arial" w:eastAsia="Arial" w:hAnsi="Arial"/>
          <w:sz w:val="16"/>
          <w:szCs w:val="16"/>
          <w:color w:val="auto"/>
        </w:rPr>
        <w:t>In March 2015, the Company entered into an operating lease for office space in Boston, Massachusetts, effective as of April 15, 2015, with a term expiring on July 31, 2020, and an option to extend this lease for three additional years. In addition, with the landlord’s consent, the Company has subleased 2,976 square feet of office space in Boston, Massachusetts to an unrelated third party beginning on January 1, 2017 and expiring on July 31, 2020, and the Company expects to receive approximately $0.1 million in sublease rental income from January 1, 2020 through the end of the sublease term.</w:t>
      </w:r>
    </w:p>
    <w:p>
      <w:pPr>
        <w:spacing w:after="0" w:line="46"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In October 2015, the Company entered into an operating lease for office space in San Diego, California, effective as of October 1, 2015, with a term extended to expire on December 31, 2024. Following the restructuring announced in September 2019, the Company recorded a $0.1 million impairment loss on Operating lease right-of-use asset.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83" w:name="page84"/>
    <w:bookmarkEnd w:id="83"/>
    <w:p>
      <w:pPr>
        <w:ind w:left="560"/>
        <w:spacing w:after="0"/>
        <w:rPr>
          <w:sz w:val="20"/>
          <w:szCs w:val="20"/>
          <w:color w:val="auto"/>
        </w:rPr>
      </w:pPr>
      <w:r>
        <w:rPr>
          <w:rFonts w:ascii="Arial" w:cs="Arial" w:eastAsia="Arial" w:hAnsi="Arial"/>
          <w:sz w:val="18"/>
          <w:szCs w:val="18"/>
          <w:color w:val="auto"/>
        </w:rPr>
        <w:t>Future minimum lease payments for its operating leases for the next five years and thereafter as of December 31, 2019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Operating</w:t>
            </w:r>
          </w:p>
        </w:tc>
      </w:tr>
      <w:tr>
        <w:trPr>
          <w:trHeight w:val="156"/>
        </w:trPr>
        <w:tc>
          <w:tcPr>
            <w:tcW w:w="16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41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gridSpan w:val="2"/>
          </w:tcPr>
          <w:p>
            <w:pPr>
              <w:jc w:val="right"/>
              <w:ind w:right="1080"/>
              <w:spacing w:after="0" w:line="155" w:lineRule="exact"/>
              <w:rPr>
                <w:sz w:val="20"/>
                <w:szCs w:val="20"/>
                <w:color w:val="auto"/>
              </w:rPr>
            </w:pPr>
            <w:r>
              <w:rPr>
                <w:rFonts w:ascii="Arial" w:cs="Arial" w:eastAsia="Arial" w:hAnsi="Arial"/>
                <w:sz w:val="14"/>
                <w:szCs w:val="14"/>
                <w:b w:val="1"/>
                <w:bCs w:val="1"/>
                <w:color w:val="auto"/>
              </w:rPr>
              <w:t>Leases</w:t>
            </w: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100" w:type="dxa"/>
            <w:vAlign w:val="bottom"/>
            <w:shd w:val="clear" w:color="auto" w:fill="CFF0FC"/>
          </w:tcPr>
          <w:p>
            <w:pPr>
              <w:spacing w:after="0"/>
              <w:rPr>
                <w:sz w:val="19"/>
                <w:szCs w:val="19"/>
                <w:color w:val="auto"/>
              </w:rPr>
            </w:pPr>
          </w:p>
        </w:tc>
        <w:tc>
          <w:tcPr>
            <w:tcW w:w="3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FF0FC"/>
          </w:tcPr>
          <w:p>
            <w:pPr>
              <w:spacing w:after="0"/>
              <w:rPr>
                <w:sz w:val="19"/>
                <w:szCs w:val="19"/>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4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100" w:type="dxa"/>
            <w:vAlign w:val="bottom"/>
            <w:shd w:val="clear" w:color="auto" w:fill="CFF0FC"/>
          </w:tcPr>
          <w:p>
            <w:pPr>
              <w:spacing w:after="0"/>
              <w:rPr>
                <w:sz w:val="19"/>
                <w:szCs w:val="19"/>
                <w:color w:val="auto"/>
              </w:rPr>
            </w:pPr>
          </w:p>
        </w:tc>
        <w:tc>
          <w:tcPr>
            <w:tcW w:w="3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FF0FC"/>
          </w:tcPr>
          <w:p>
            <w:pPr>
              <w:spacing w:after="0"/>
              <w:rPr>
                <w:sz w:val="19"/>
                <w:szCs w:val="19"/>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4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100" w:type="dxa"/>
            <w:vAlign w:val="bottom"/>
            <w:shd w:val="clear" w:color="auto" w:fill="CFF0FC"/>
          </w:tcPr>
          <w:p>
            <w:pPr>
              <w:spacing w:after="0"/>
              <w:rPr>
                <w:sz w:val="19"/>
                <w:szCs w:val="19"/>
                <w:color w:val="auto"/>
              </w:rPr>
            </w:pPr>
          </w:p>
        </w:tc>
        <w:tc>
          <w:tcPr>
            <w:tcW w:w="3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3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(4,261)</w:t>
            </w:r>
          </w:p>
        </w:tc>
      </w:tr>
      <w:tr>
        <w:trPr>
          <w:trHeight w:val="223"/>
        </w:trPr>
        <w:tc>
          <w:tcPr>
            <w:tcW w:w="57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32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Under the prior lease guidance minimum rental commitments under non-cancelable leases for each of the next five years and thereafter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Operating</w:t>
            </w:r>
          </w:p>
        </w:tc>
      </w:tr>
      <w:tr>
        <w:trPr>
          <w:trHeight w:val="156"/>
        </w:trPr>
        <w:tc>
          <w:tcPr>
            <w:tcW w:w="16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7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gridSpan w:val="2"/>
          </w:tcPr>
          <w:p>
            <w:pPr>
              <w:jc w:val="center"/>
              <w:ind w:right="600"/>
              <w:spacing w:after="0" w:line="155" w:lineRule="exact"/>
              <w:rPr>
                <w:sz w:val="20"/>
                <w:szCs w:val="20"/>
                <w:color w:val="auto"/>
              </w:rPr>
            </w:pPr>
            <w:r>
              <w:rPr>
                <w:rFonts w:ascii="Arial" w:cs="Arial" w:eastAsia="Arial" w:hAnsi="Arial"/>
                <w:sz w:val="14"/>
                <w:szCs w:val="14"/>
                <w:b w:val="1"/>
                <w:bCs w:val="1"/>
                <w:color w:val="auto"/>
                <w:w w:val="84"/>
              </w:rPr>
              <w:t>Leases</w:t>
            </w: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7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9"/>
                <w:szCs w:val="19"/>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7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7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7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980" w:type="dxa"/>
            <w:vAlign w:val="bottom"/>
            <w:gridSpan w:val="2"/>
          </w:tcPr>
          <w:p>
            <w:pPr>
              <w:ind w:left="260"/>
              <w:spacing w:after="0"/>
              <w:rPr>
                <w:sz w:val="20"/>
                <w:szCs w:val="20"/>
                <w:color w:val="auto"/>
              </w:rPr>
            </w:pPr>
            <w:r>
              <w:rPr>
                <w:rFonts w:ascii="Arial" w:cs="Arial" w:eastAsia="Arial" w:hAnsi="Arial"/>
                <w:sz w:val="18"/>
                <w:szCs w:val="18"/>
                <w:color w:val="auto"/>
              </w:rPr>
              <w:t>Total lease payments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815"/>
        <w:spacing w:after="0" w:line="277" w:lineRule="auto"/>
        <w:rPr>
          <w:sz w:val="20"/>
          <w:szCs w:val="20"/>
          <w:color w:val="auto"/>
        </w:rPr>
      </w:pPr>
      <w:r>
        <w:rPr>
          <w:rFonts w:ascii="Arial" w:cs="Arial" w:eastAsia="Arial" w:hAnsi="Arial"/>
          <w:sz w:val="18"/>
          <w:szCs w:val="18"/>
          <w:color w:val="auto"/>
        </w:rPr>
        <w:t>During the year ended December 31, 2019 we incurred $0.6 million of lease expense associated with research and development and $0.4 million of lease expense associated with general and administrative activities. The components of lease expense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56"/>
        </w:trPr>
        <w:tc>
          <w:tcPr>
            <w:tcW w:w="8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Pr>
          <w:p>
            <w:pPr>
              <w:jc w:val="center"/>
              <w:ind w:right="3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FF0FC"/>
          </w:tcPr>
          <w:p>
            <w:pPr>
              <w:spacing w:after="0"/>
              <w:rPr>
                <w:sz w:val="19"/>
                <w:szCs w:val="19"/>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r>
      <w:tr>
        <w:trPr>
          <w:trHeight w:val="223"/>
        </w:trPr>
        <w:tc>
          <w:tcPr>
            <w:tcW w:w="8980" w:type="dxa"/>
            <w:vAlign w:val="bottom"/>
          </w:tcPr>
          <w:p>
            <w:pPr>
              <w:ind w:left="26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During the years ended December 31, 2018, and 2017 the Company recognized $0.4 million and $0.3 million, respectively, of rental expense related to office space.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6880" w:type="dxa"/>
            <w:vAlign w:val="bottom"/>
          </w:tcPr>
          <w:p>
            <w:pPr>
              <w:jc w:val="center"/>
              <w:ind w:left="4117"/>
              <w:spacing w:after="0"/>
              <w:rPr>
                <w:sz w:val="20"/>
                <w:szCs w:val="20"/>
                <w:color w:val="auto"/>
              </w:rPr>
            </w:pPr>
            <w:r>
              <w:rPr>
                <w:rFonts w:ascii="Arial" w:cs="Arial" w:eastAsia="Arial" w:hAnsi="Arial"/>
                <w:sz w:val="14"/>
                <w:szCs w:val="14"/>
                <w:b w:val="1"/>
                <w:bCs w:val="1"/>
                <w:color w:val="auto"/>
                <w:w w:val="92"/>
              </w:rPr>
              <w:t>As of December 31,</w:t>
            </w:r>
          </w:p>
        </w:tc>
        <w:tc>
          <w:tcPr>
            <w:tcW w:w="2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6880" w:type="dxa"/>
            <w:vAlign w:val="bottom"/>
          </w:tcPr>
          <w:p>
            <w:pPr>
              <w:jc w:val="right"/>
              <w:ind w:right="111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6880" w:type="dxa"/>
            <w:vAlign w:val="bottom"/>
            <w:shd w:val="clear" w:color="auto" w:fill="CFF0FC"/>
          </w:tcPr>
          <w:p>
            <w:pPr>
              <w:ind w:left="6380"/>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880" w:type="dxa"/>
            <w:vAlign w:val="bottom"/>
          </w:tcPr>
          <w:p>
            <w:pPr>
              <w:ind w:left="6380"/>
              <w:spacing w:after="0"/>
              <w:rPr>
                <w:sz w:val="20"/>
                <w:szCs w:val="20"/>
                <w:color w:val="auto"/>
              </w:rPr>
            </w:pPr>
            <w:r>
              <w:rPr>
                <w:rFonts w:ascii="Arial" w:cs="Arial" w:eastAsia="Arial" w:hAnsi="Arial"/>
                <w:sz w:val="18"/>
                <w:szCs w:val="18"/>
                <w:color w:val="auto"/>
                <w:w w:val="93"/>
              </w:rPr>
              <w:t>11.1%</w:t>
            </w:r>
          </w:p>
        </w:tc>
        <w:tc>
          <w:tcPr>
            <w:tcW w:w="20" w:type="dxa"/>
            <w:vAlign w:val="bottom"/>
          </w:tcPr>
          <w:p>
            <w:pPr>
              <w:spacing w:after="0"/>
              <w:rPr>
                <w:sz w:val="20"/>
                <w:szCs w:val="20"/>
                <w:color w:val="auto"/>
              </w:rPr>
            </w:pPr>
          </w:p>
        </w:tc>
      </w:tr>
      <w:tr>
        <w:trPr>
          <w:trHeight w:val="431"/>
        </w:trPr>
        <w:tc>
          <w:tcPr>
            <w:tcW w:w="4540" w:type="dxa"/>
            <w:vAlign w:val="bottom"/>
          </w:tcPr>
          <w:p>
            <w:pPr>
              <w:spacing w:after="0"/>
              <w:rPr>
                <w:sz w:val="24"/>
                <w:szCs w:val="24"/>
                <w:color w:val="auto"/>
              </w:rPr>
            </w:pPr>
          </w:p>
        </w:tc>
        <w:tc>
          <w:tcPr>
            <w:tcW w:w="6880" w:type="dxa"/>
            <w:vAlign w:val="bottom"/>
          </w:tcPr>
          <w:p>
            <w:pPr>
              <w:jc w:val="right"/>
              <w:ind w:right="5537"/>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4" w:name="page85"/>
    <w:bookmarkEnd w:id="84"/>
    <w:p>
      <w:pPr>
        <w:ind w:left="560"/>
        <w:spacing w:after="0"/>
        <w:rPr>
          <w:sz w:val="20"/>
          <w:szCs w:val="20"/>
          <w:color w:val="auto"/>
        </w:rPr>
      </w:pPr>
      <w:r>
        <w:rPr>
          <w:rFonts w:ascii="Arial" w:cs="Arial" w:eastAsia="Arial" w:hAnsi="Arial"/>
          <w:sz w:val="18"/>
          <w:szCs w:val="18"/>
          <w:color w:val="auto"/>
        </w:rPr>
        <w:t>Supplemental cash flow information related to leases was as follow: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7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56"/>
        </w:trPr>
        <w:tc>
          <w:tcPr>
            <w:tcW w:w="7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cash flows from operating leases</w:t>
            </w:r>
          </w:p>
        </w:tc>
        <w:tc>
          <w:tcPr>
            <w:tcW w:w="1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1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6,817</w:t>
            </w:r>
          </w:p>
        </w:tc>
        <w:tc>
          <w:tcPr>
            <w:tcW w:w="120" w:type="dxa"/>
            <w:vAlign w:val="bottom"/>
            <w:shd w:val="clear" w:color="auto" w:fill="CFF0FC"/>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66"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As of December 31, 2019,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93"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color w:val="auto"/>
        </w:rPr>
        <w:t>There were no milestones achieved during the years ended December 31, 2019, 2018 or 2017. The Company is also obligated to pay to the licensors a percentage of fees received if and when the Company sublicenses the technology. As of December 31, 2019, the Company has not yet developed a commercial product using the licensed technologies and it has not entered into any sublicense agreements for the technologies.</w:t>
      </w:r>
    </w:p>
    <w:p>
      <w:pPr>
        <w:spacing w:after="0" w:line="166"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During the fourth quarter of 2019 the Company terminated the license agreement with Chong Kun Dang Pharmaceutical Corp. of South Korea (“CKD”) and provided written notice to Children’s Medical Center Corporation (“Children’s”), indicating that the agreement will be terminated by the end of the first quarter of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management team and the board of directors of the Company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material claims as of December 31,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5" w:name="page86"/>
    <w:bookmarkEnd w:id="85"/>
    <w:p>
      <w:pPr>
        <w:ind w:right="20" w:firstLine="555"/>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During the years ended December 31, 2019, 2018 and 2017, the Company recorded no income tax benefits for the net operating losses incurred in each year due to its uncertainty of realizing a benefit from those items.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560"/>
              <w:spacing w:after="0"/>
              <w:rPr>
                <w:sz w:val="20"/>
                <w:szCs w:val="20"/>
                <w:color w:val="auto"/>
              </w:rPr>
            </w:pPr>
            <w:r>
              <w:rPr>
                <w:rFonts w:ascii="Arial" w:cs="Arial" w:eastAsia="Arial" w:hAnsi="Arial"/>
                <w:sz w:val="18"/>
                <w:szCs w:val="18"/>
                <w:color w:val="auto"/>
                <w:w w:val="91"/>
              </w:rPr>
              <w:t>The domestic and foreign components of loss before income taxes are as follows: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(45,205)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(58,708)</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(49,954)</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(2,074)</w:t>
            </w:r>
          </w:p>
        </w:tc>
      </w:tr>
      <w:tr>
        <w:trPr>
          <w:trHeight w:val="22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35"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40"/>
              <w:spacing w:after="0"/>
              <w:rPr>
                <w:sz w:val="20"/>
                <w:szCs w:val="20"/>
                <w:color w:val="auto"/>
              </w:rPr>
            </w:pPr>
            <w:r>
              <w:rPr>
                <w:rFonts w:ascii="Arial" w:cs="Arial" w:eastAsia="Arial" w:hAnsi="Arial"/>
                <w:sz w:val="18"/>
                <w:szCs w:val="18"/>
                <w:color w:val="auto"/>
              </w:rPr>
              <w:t>Federal and state research and development tax credit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(4.1)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State taxes, net of federal benefit</w:t>
            </w:r>
          </w:p>
        </w:tc>
        <w:tc>
          <w:tcPr>
            <w:tcW w:w="13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(4.7)</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40"/>
              <w:spacing w:after="0"/>
              <w:rPr>
                <w:sz w:val="20"/>
                <w:szCs w:val="20"/>
                <w:color w:val="auto"/>
              </w:rPr>
            </w:pPr>
            <w:r>
              <w:rPr>
                <w:rFonts w:ascii="Arial" w:cs="Arial" w:eastAsia="Arial" w:hAnsi="Arial"/>
                <w:sz w:val="18"/>
                <w:szCs w:val="18"/>
                <w:color w:val="auto"/>
              </w:rPr>
              <w:t>Stock compensation expense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Nondeductible Australia research and development expenses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40"/>
              <w:spacing w:after="0"/>
              <w:rPr>
                <w:sz w:val="20"/>
                <w:szCs w:val="20"/>
                <w:color w:val="auto"/>
              </w:rPr>
            </w:pPr>
            <w:r>
              <w:rPr>
                <w:rFonts w:ascii="Arial" w:cs="Arial" w:eastAsia="Arial" w:hAnsi="Arial"/>
                <w:sz w:val="18"/>
                <w:szCs w:val="18"/>
                <w:color w:val="auto"/>
              </w:rPr>
              <w:t>Impact of federal rate change related to tax reform</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items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Change in deferred tax asset valuation allowance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24.0</w:t>
            </w:r>
          </w:p>
        </w:tc>
        <w:tc>
          <w:tcPr>
            <w:tcW w:w="38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80" w:type="dxa"/>
            <w:vAlign w:val="bottom"/>
            <w:gridSpan w:val="2"/>
          </w:tcPr>
          <w:p>
            <w:pPr>
              <w:ind w:left="560"/>
              <w:spacing w:after="0"/>
              <w:rPr>
                <w:sz w:val="20"/>
                <w:szCs w:val="20"/>
                <w:color w:val="auto"/>
              </w:rPr>
            </w:pPr>
            <w:r>
              <w:rPr>
                <w:rFonts w:ascii="Arial" w:cs="Arial" w:eastAsia="Arial" w:hAnsi="Arial"/>
                <w:sz w:val="18"/>
                <w:szCs w:val="18"/>
                <w:color w:val="auto"/>
                <w:w w:val="92"/>
              </w:rPr>
              <w:t>Net deferred tax assets as of December 31, 2019 and 2018 consisted of the following:</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88"/>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Noncurrent deferred tax assets: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Capitalized research and development expenses</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65,994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58,832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Tax credit carryforwards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19,331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Capitalized legal expenses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Other temporary differences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Total noncurrent deferred tax assets</w:t>
            </w:r>
          </w:p>
        </w:tc>
        <w:tc>
          <w:tcPr>
            <w:tcW w:w="94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114,369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101,692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gross deferred tax assets</w:t>
            </w:r>
          </w:p>
        </w:tc>
        <w:tc>
          <w:tcPr>
            <w:tcW w:w="9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101,692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Noncurrent deferred tax liability:</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(1,790)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260"/>
              <w:spacing w:after="0"/>
              <w:rPr>
                <w:sz w:val="20"/>
                <w:szCs w:val="20"/>
                <w:color w:val="auto"/>
              </w:rPr>
            </w:pPr>
            <w:r>
              <w:rPr>
                <w:rFonts w:ascii="Arial" w:cs="Arial" w:eastAsia="Arial" w:hAnsi="Arial"/>
                <w:sz w:val="18"/>
                <w:szCs w:val="18"/>
                <w:color w:val="auto"/>
              </w:rPr>
              <w:t>Valuation allowance</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(112,579)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Net deferred tax assets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562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6" w:name="page87"/>
    <w:bookmarkEnd w:id="86"/>
    <w:p>
      <w:pPr>
        <w:ind w:right="120" w:firstLine="555"/>
        <w:spacing w:after="0" w:line="308" w:lineRule="auto"/>
        <w:rPr>
          <w:sz w:val="20"/>
          <w:szCs w:val="20"/>
          <w:color w:val="auto"/>
        </w:rPr>
      </w:pPr>
      <w:r>
        <w:rPr>
          <w:rFonts w:ascii="Arial" w:cs="Arial" w:eastAsia="Arial" w:hAnsi="Arial"/>
          <w:sz w:val="17"/>
          <w:szCs w:val="17"/>
          <w:color w:val="auto"/>
        </w:rPr>
        <w:t>Changes in the valuation allowance for deferred tax assets during the years ended December 31, 2019, 2018 and 2017 related primarily to changes in net operating loss carryforwards, capitalized research and development expenses and tax credit carryforwards and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as of beginning of year</w:t>
            </w:r>
          </w:p>
        </w:tc>
        <w:tc>
          <w:tcPr>
            <w:tcW w:w="1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101,692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87,681</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97,720</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Decreases recorded as benefit to income tax provision</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(10,039)</w:t>
            </w: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Increases recorded to income tax provision</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Valuation allowance as of end of year</w:t>
            </w:r>
          </w:p>
        </w:tc>
        <w:tc>
          <w:tcPr>
            <w:tcW w:w="1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112,579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87,681</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As of December 31, 2019, the Company had net operating loss carryforwards that expire for federal and state income tax purposes of $55.7 million and $57.0 million, respectively, which begin to expire in 2026 and 2030, respectively. As of December 31, 2019, the Company had net operating loss carryforwards that were generated after December 31, 2017 of $21.2 million that do not expire, but the carryforwards are limited to 80% of the taxable income in any one tax period. As of December 31, 2019, the Company also had available tax credit carryforwards for federal and state income tax purposes of $17.9 million and $4.2 million, respectively, which begin to expire in 2026 and 2022, respectively. Utilization of the net operating loss carryforwards and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w:t>
      </w:r>
    </w:p>
    <w:p>
      <w:pPr>
        <w:spacing w:after="0" w:line="192" w:lineRule="exact"/>
        <w:rPr>
          <w:sz w:val="20"/>
          <w:szCs w:val="20"/>
          <w:color w:val="auto"/>
        </w:rPr>
      </w:pPr>
    </w:p>
    <w:p>
      <w:pPr>
        <w:ind w:right="80" w:firstLine="555"/>
        <w:spacing w:after="0" w:line="290" w:lineRule="auto"/>
        <w:rPr>
          <w:sz w:val="20"/>
          <w:szCs w:val="20"/>
          <w:color w:val="auto"/>
        </w:rPr>
      </w:pPr>
      <w:r>
        <w:rPr>
          <w:rFonts w:ascii="Arial" w:cs="Arial" w:eastAsia="Arial" w:hAnsi="Arial"/>
          <w:sz w:val="16"/>
          <w:szCs w:val="16"/>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166"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For fiscal years through December 31, 2019, the Company generated research credits but has not conducted a study to document the qualified activities. This study may result in an adjustment to the Company’s research and development tax credit carry forwards; however, until a study is completed, and any adjustment is known, no amounts are being presented as an uncertain tax position as of December 31, 2019 or 2018. A full valuation allowance has been provided against the Company’s research and development tax credit carryforwards and, if an adjustment were to be required, this adjustment would be offset by a corresponding reduction to the valuation allowance.</w:t>
      </w:r>
    </w:p>
    <w:p>
      <w:pPr>
        <w:spacing w:after="0" w:line="188"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As of December 31, 2019 and 2018, the Company’s net deferred tax asset balance before the valuation allowance was $112.6 million and $101.7 million, respectively, and was comprised principally of net operating loss carryforwards, capitalized research and development expenses and tax credit carryforwards. During the years ended December 31, 2019, 2018 and 2017, gross deferred tax assets increased due to additional net operating loss carryforwards, research and development tax credits generated and additional research and development expenses capitalized for tax purposes and the effects of tax reform.</w:t>
      </w:r>
    </w:p>
    <w:p>
      <w:pPr>
        <w:spacing w:after="0" w:line="188" w:lineRule="exact"/>
        <w:rPr>
          <w:sz w:val="20"/>
          <w:szCs w:val="20"/>
          <w:color w:val="auto"/>
        </w:rPr>
      </w:pPr>
    </w:p>
    <w:p>
      <w:pPr>
        <w:jc w:val="both"/>
        <w:ind w:right="100" w:firstLine="555"/>
        <w:spacing w:after="0" w:line="28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ind w:right="160"/>
        <w:spacing w:after="0" w:line="261" w:lineRule="auto"/>
        <w:rPr>
          <w:sz w:val="20"/>
          <w:szCs w:val="20"/>
          <w:color w:val="auto"/>
        </w:rPr>
      </w:pPr>
      <w:r>
        <w:rPr>
          <w:rFonts w:ascii="Arial" w:cs="Arial" w:eastAsia="Arial" w:hAnsi="Arial"/>
          <w:sz w:val="18"/>
          <w:szCs w:val="18"/>
          <w:color w:val="auto"/>
        </w:rPr>
        <w:t>Accordingly, a full valuation allowance has been established against the deferred tax assets as of December 31, 2019 and 2018. Management reevaluates the positive and negative evidence at each reporting period.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recorded any amounts for unrecognized tax benefits as of December 31,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7" w:name="page88"/>
    <w:bookmarkEnd w:id="87"/>
    <w:p>
      <w:pPr>
        <w:ind w:right="20" w:firstLine="555"/>
        <w:spacing w:after="0" w:line="302" w:lineRule="auto"/>
        <w:rPr>
          <w:sz w:val="20"/>
          <w:szCs w:val="20"/>
          <w:color w:val="auto"/>
        </w:rPr>
      </w:pPr>
      <w:r>
        <w:rPr>
          <w:rFonts w:ascii="Arial" w:cs="Arial" w:eastAsia="Arial" w:hAnsi="Arial"/>
          <w:sz w:val="16"/>
          <w:szCs w:val="16"/>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2015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w:t>
      </w:r>
    </w:p>
    <w:p>
      <w:pPr>
        <w:spacing w:after="0" w:line="121"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Effective January 1, 2018, the Company adopted a 401(k) plan for its employees. Under the terms of the plan, the Company contributes 3% of an employee’s annual base salary, up to a maximum of the annual Internal Revenue Service compensation limits, for all employees. The Company terminated its Savings Incentive Match Plan, or SIMPLE IRA as of December 31, 2017.</w:t>
      </w:r>
    </w:p>
    <w:p>
      <w:pPr>
        <w:spacing w:after="0" w:line="181"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color w:val="auto"/>
        </w:rPr>
        <w:t>For the years ended December 31, 2019 and 2018, the Company recognized $0.2 million and $0.3 million, respectively, of expense related to its contributions to the 401(k)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year ended December 31, 2017 the Company recognized $0.1 million of expense related to its contributions to the SIMPLE IRA.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Australia Research and Development Tax Incentive</w:t>
      </w:r>
    </w:p>
    <w:p>
      <w:pPr>
        <w:spacing w:after="0" w:line="121"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years ended December 31, 2019, 2018 and 2017, $0.2 million, $1.6 million and $0.9 million, respectively, were recorded as a reduction to research and development expenses in the consolidated statements of operations. These amounts represented 43.5% for 2019, 2018 and 2017, of the Company’s qualified research and development spending in Australia. The refund is denominated in Australian dollars and, therefore, the related receivable is re-measured into U.S. dollars as of each reporting date. For the years ended December 31, 2019, 2018 and 2017, the Company recorded in its consolidated statements of operations unrealized foreign currency exchange gains (losses) of less than $0.1 million, $(0.2) million, and $0.1 million, respectively, related to this tax incentive receivable. As of December 31, 2019 and 2018, the Company’s tax incentive receivable from the Australian government was $0.2 million and $1.5 million,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229"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In September 2019, the Company’s Board of Directors approved a restructuring plan to reduce operating costs and better align the Company’s workforce with the needs of its business following the Company’s September 5, 2019 announcement regarding the low probability of resolving the clinical hold of ZGN-1061 in the near-term and that the Company will be seeking strategic alternatives.</w:t>
      </w:r>
    </w:p>
    <w:p>
      <w:pPr>
        <w:spacing w:after="0" w:line="7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Under the restructuring plan and a previously announced July 2019 restructuring, the Company reduced its workforce by 20 employees and closed its office in San Diego, California. Affected employees are eligible to receive severance payments and outplacement services in connection with the reduction. In the year ended December 31, 2019, the Company recorded aggregate restructuring charges of approximately $5.6 million related to contract termination, closing of its office in San Diego, severance payments and other employee-related costs. The Company does not expect to incur any additional significant costs associated with these restructurings. During the year ended December 31, 2019, $2.8 million of the estimated restructuring charges were paid. The Company expects the remaining accrued restructuring costs of $2.7 million will be paid in the next 12 months.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color w:val="auto"/>
        </w:rPr>
        <w:t>The following table shows the total amount expected to be incurred and the liability related to the 2019 restructuring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center"/>
              <w:ind w:left="950"/>
              <w:spacing w:after="0"/>
              <w:rPr>
                <w:sz w:val="20"/>
                <w:szCs w:val="20"/>
                <w:color w:val="auto"/>
              </w:rPr>
            </w:pPr>
            <w:r>
              <w:rPr>
                <w:rFonts w:ascii="Arial" w:cs="Arial" w:eastAsia="Arial" w:hAnsi="Arial"/>
                <w:sz w:val="18"/>
                <w:szCs w:val="18"/>
                <w:b w:val="1"/>
                <w:bCs w:val="1"/>
                <w:color w:val="auto"/>
                <w:w w:val="90"/>
              </w:rPr>
              <w:t>Year Ended December 31, 2019</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One-Time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Contract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Termination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Termination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Benefits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3"/>
              </w:rPr>
              <w:t>Costs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Expenses</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Accrued restructuring costs beginning balance</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Restructuring charges incurred during the period</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paid during the period</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(1,408)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Accrued restructuring costs as of December 31, 2019</w:t>
            </w: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restructuring charges by category for the period ending December 31,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0"/>
              </w:rPr>
              <w:t>Year Ended December 31, 2019</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8"/>
        </w:trPr>
        <w:tc>
          <w:tcPr>
            <w:tcW w:w="6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Cash</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Non-Cash</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5,473</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121" w:lineRule="exact"/>
        <w:rPr>
          <w:sz w:val="20"/>
          <w:szCs w:val="20"/>
          <w:color w:val="auto"/>
        </w:rPr>
      </w:pPr>
    </w:p>
    <w:p>
      <w:pPr>
        <w:jc w:val="both"/>
        <w:ind w:right="720" w:firstLine="555"/>
        <w:spacing w:after="0" w:line="277" w:lineRule="auto"/>
        <w:rPr>
          <w:sz w:val="20"/>
          <w:szCs w:val="20"/>
          <w:color w:val="auto"/>
        </w:rPr>
      </w:pPr>
      <w:r>
        <w:rPr>
          <w:rFonts w:ascii="Arial" w:cs="Arial" w:eastAsia="Arial" w:hAnsi="Arial"/>
          <w:sz w:val="18"/>
          <w:szCs w:val="18"/>
          <w:color w:val="auto"/>
        </w:rPr>
        <w:t>The following information has been derived from unaudited consolidated financial statements that, in the opinion of management, include all recurring adjustments necessary for a fair statement of such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March 31,</w:t>
            </w:r>
          </w:p>
        </w:tc>
        <w:tc>
          <w:tcPr>
            <w:tcW w:w="300" w:type="dxa"/>
            <w:vAlign w:val="bottom"/>
          </w:tcPr>
          <w:p>
            <w:pPr>
              <w:spacing w:after="0"/>
              <w:rPr>
                <w:sz w:val="18"/>
                <w:szCs w:val="18"/>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2019</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60" w:type="dxa"/>
            <w:vAlign w:val="bottom"/>
            <w:gridSpan w:val="4"/>
          </w:tcPr>
          <w:p>
            <w:pPr>
              <w:ind w:left="100"/>
              <w:spacing w:after="0"/>
              <w:rPr>
                <w:sz w:val="20"/>
                <w:szCs w:val="20"/>
                <w:color w:val="auto"/>
              </w:rPr>
            </w:pPr>
            <w:r>
              <w:rPr>
                <w:rFonts w:ascii="Arial" w:cs="Arial" w:eastAsia="Arial" w:hAnsi="Arial"/>
                <w:sz w:val="18"/>
                <w:szCs w:val="18"/>
                <w:b w:val="1"/>
                <w:bCs w:val="1"/>
                <w:color w:val="auto"/>
                <w:w w:val="92"/>
              </w:rPr>
              <w:t>(in thousands, except per share data)</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13,277</w:t>
            </w:r>
          </w:p>
        </w:tc>
        <w:tc>
          <w:tcPr>
            <w:tcW w:w="3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12,190</w:t>
            </w:r>
          </w:p>
        </w:tc>
        <w:tc>
          <w:tcPr>
            <w:tcW w:w="36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12,906</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(12,129)</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(12,914)</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(7,251)</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9"/>
                <w:szCs w:val="19"/>
                <w:color w:val="auto"/>
              </w:rPr>
            </w:pPr>
          </w:p>
        </w:tc>
      </w:tr>
      <w:tr>
        <w:trPr>
          <w:trHeight w:val="215"/>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37,313,947</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37,326,853</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37,369,829</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37,377,223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689"/>
        </w:trPr>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March 31,</w:t>
            </w:r>
          </w:p>
        </w:tc>
        <w:tc>
          <w:tcPr>
            <w:tcW w:w="300" w:type="dxa"/>
            <w:vAlign w:val="bottom"/>
          </w:tcPr>
          <w:p>
            <w:pPr>
              <w:spacing w:after="0"/>
              <w:rPr>
                <w:sz w:val="18"/>
                <w:szCs w:val="18"/>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60" w:type="dxa"/>
            <w:vAlign w:val="bottom"/>
            <w:gridSpan w:val="4"/>
          </w:tcPr>
          <w:p>
            <w:pPr>
              <w:ind w:left="100"/>
              <w:spacing w:after="0"/>
              <w:rPr>
                <w:sz w:val="20"/>
                <w:szCs w:val="20"/>
                <w:color w:val="auto"/>
              </w:rPr>
            </w:pPr>
            <w:r>
              <w:rPr>
                <w:rFonts w:ascii="Arial" w:cs="Arial" w:eastAsia="Arial" w:hAnsi="Arial"/>
                <w:sz w:val="18"/>
                <w:szCs w:val="18"/>
                <w:b w:val="1"/>
                <w:bCs w:val="1"/>
                <w:color w:val="auto"/>
                <w:w w:val="92"/>
              </w:rPr>
              <w:t>(in thousands, except per share data)</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15,702</w:t>
            </w:r>
          </w:p>
        </w:tc>
        <w:tc>
          <w:tcPr>
            <w:tcW w:w="3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15,560</w:t>
            </w:r>
          </w:p>
        </w:tc>
        <w:tc>
          <w:tcPr>
            <w:tcW w:w="36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15,169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(15,775)</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(15,067)</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(14,570)</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(0.58)</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r>
      <w:tr>
        <w:trPr>
          <w:trHeight w:val="215"/>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27,541,594</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27,565,064</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36,619,575</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37,036,065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891"/>
        </w:trPr>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90"/>
              <w:spacing w:after="0"/>
              <w:rPr>
                <w:sz w:val="20"/>
                <w:szCs w:val="20"/>
                <w:color w:val="auto"/>
              </w:rPr>
            </w:pPr>
            <w:r>
              <w:rPr>
                <w:rFonts w:ascii="Arial" w:cs="Arial" w:eastAsia="Arial" w:hAnsi="Arial"/>
                <w:sz w:val="18"/>
                <w:szCs w:val="18"/>
                <w:color w:val="auto"/>
                <w:w w:val="89"/>
              </w:rPr>
              <w:t>89</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Disclosure controls and procedures (as defined in Exchange Act Rules 13a-15(e) and 15d-15(e)) are designed only to provide reasonable assurance that they will meet their objectives. Under the supervision and with the participation of our management, including our principal executive officer and principal financial officer, we conducted an evaluation of the effectiveness, as of December 31, 2019, of the design and operation of our disclosure controls and procedures, as such term is defined in Exchange Act Rules 13a-15(e) and 15d-15(e). Based on this evaluation, our principal executive officer and principal financial officer have concluded that, as of such date, our disclosure controls and procedures are effective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00" w:firstLine="55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system is designed to provide reasonable assurance to our management and board of directors regarding the preparation and fair presentation of published financial statements. All internal control systems, no matter how well designed, have inherent</w:t>
      </w:r>
    </w:p>
    <w:p>
      <w:pPr>
        <w:ind w:right="260"/>
        <w:spacing w:after="0" w:line="261" w:lineRule="auto"/>
        <w:rPr>
          <w:sz w:val="20"/>
          <w:szCs w:val="20"/>
          <w:color w:val="auto"/>
        </w:rPr>
      </w:pPr>
      <w:r>
        <w:rPr>
          <w:rFonts w:ascii="Arial" w:cs="Arial" w:eastAsia="Arial" w:hAnsi="Arial"/>
          <w:sz w:val="18"/>
          <w:szCs w:val="18"/>
          <w:color w:val="auto"/>
        </w:rPr>
        <w:t>limitations. Therefore, even those systems determined to be effective can provide only reasonable assurance with respect to financial statement preparation and presentation.</w:t>
      </w:r>
    </w:p>
    <w:p>
      <w:pPr>
        <w:spacing w:after="0" w:line="18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Our management has assessed the effectiveness of our internal control over financial reporting as of December 31, 2019.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our management has concluded that as of December 31, 2019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15d-15(d) under the Exchange Act) during the fourth quarter of the year ended December 31, 2019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On March 3, 2020, Zafgen and Jeffrey S. Hatfield, our chief executive officer, executed an amendment to his performance-based option to acquire 1,100,000 shares of our common stock, granted October 9, 2017, which will vest and become exercisable if our stock price meets certain performance targets on or prior to October 9, 2020 (the “Performance Option”) to provide that, in the event Mr. Hatfield’s employment terminates prior to achievement of the performance vesting conditions, the Performance Option will continue to remain outstanding and eligible to vest according to its terms and, to the extent it meets the performance criteria on or prior to October 9, 2020, shall remain outstanding and exercisable for two years after the termination of Mr. Hatfield’s employment with us.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2019.</w:t>
      </w:r>
    </w:p>
    <w:p>
      <w:pPr>
        <w:spacing w:after="0" w:line="28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2019.</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560" w:hanging="552"/>
        <w:spacing w:after="0"/>
        <w:tabs>
          <w:tab w:leader="none" w:pos="5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1. Consolidated Financial Statements.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For a list of the consolidated financial statements included herein, see Index on page 64 of this report.</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required information is included in the financial statements or notes thereto.</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 List of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Exhibit Index in Item 15(b) below.</w:t>
      </w:r>
    </w:p>
    <w:p>
      <w:pPr>
        <w:spacing w:after="0" w:line="329"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20" w:type="dxa"/>
            <w:vAlign w:val="bottom"/>
            <w:gridSpan w:val="16"/>
          </w:tcPr>
          <w:p>
            <w:pPr>
              <w:ind w:left="4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291"/>
        </w:trPr>
        <w:tc>
          <w:tcPr>
            <w:tcW w:w="102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968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Agreement and Plan of Merger, dated as of December 17, 2019, by and among the Registrant, Chondrial Therapeutics, Inc., Chondrial</w:t>
              </w:r>
            </w:hyperlink>
          </w:p>
        </w:tc>
        <w:tc>
          <w:tcPr>
            <w:tcW w:w="560" w:type="dxa"/>
            <w:vAlign w:val="bottom"/>
            <w:tcBorders>
              <w:top w:val="single" w:sz="8" w:color="auto"/>
            </w:tcBorders>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Therapeutics Holdings, LLC, and Zordich Merger Sub, Inc. (incorporated by reference to Exhibit 2.1 of the Registrant’s Current Report on</w:t>
              </w:r>
            </w:hyperlink>
          </w:p>
        </w:tc>
        <w:tc>
          <w:tcPr>
            <w:tcW w:w="2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Form 8-K (File No. 001-36510) filed on December 18, 2019)</w:t>
              </w:r>
            </w:hyperlink>
          </w:p>
        </w:tc>
        <w:tc>
          <w:tcPr>
            <w:tcW w:w="58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Ninth Amended and Restated Certificate of Incorporation of the Registrant, as currently in effect (incorporated by reference to Exhibit 3.1 of</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the Registrant’s Form 8-K filed on June 24, 2014)</w:t>
              </w:r>
            </w:hyperlink>
          </w:p>
        </w:tc>
        <w:tc>
          <w:tcPr>
            <w:tcW w:w="6540" w:type="dxa"/>
            <w:vAlign w:val="bottom"/>
            <w:tcBorders>
              <w:top w:val="single" w:sz="8" w:color="0000EE"/>
            </w:tcBorders>
            <w:gridSpan w:val="13"/>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120" w:type="dxa"/>
            <w:vAlign w:val="bottom"/>
            <w:tcBorders>
              <w:bottom w:val="single" w:sz="8" w:color="0000EE"/>
            </w:tcBorders>
            <w:gridSpan w:val="19"/>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Amended and Restated By-laws of the Registrant, as currently in effect (incorporated by reference to Exhibit 3.2 of the Registrant’s Form 8-</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K filed on June 24, 2014)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Specimen Common Stock Certificate (incorporated by reference to Exhibit 4.1 of the Registrant’s Registration Statement on Form S-1 (File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No. 333-195391) filed on June 18, 2014)</w:t>
              </w:r>
            </w:hyperlink>
          </w:p>
        </w:tc>
        <w:tc>
          <w:tcPr>
            <w:tcW w:w="7100" w:type="dxa"/>
            <w:vAlign w:val="bottom"/>
            <w:tcBorders>
              <w:top w:val="single" w:sz="8" w:color="0000EE"/>
            </w:tcBorders>
            <w:gridSpan w:val="10"/>
          </w:tcPr>
          <w:p>
            <w:pPr>
              <w:spacing w:after="0"/>
              <w:rPr>
                <w:sz w:val="17"/>
                <w:szCs w:val="17"/>
                <w:color w:val="auto"/>
              </w:rPr>
            </w:pPr>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080" w:type="dxa"/>
            <w:vAlign w:val="bottom"/>
            <w:tcBorders>
              <w:bottom w:val="single" w:sz="8" w:color="0000EE"/>
            </w:tcBorders>
            <w:gridSpan w:val="17"/>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Third Amended and Restated Investors’ Rights Agreement by and among the Registrant and certain of its stockholders dated November 25,</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2013 (incorporated by reference to Exhibit 4.2 of the Registrant’s Registration Statement on Form S-1 (File No. 333-195391) filed on</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June 18, 2014)</w:t>
              </w:r>
            </w:hyperlink>
          </w:p>
        </w:tc>
        <w:tc>
          <w:tcPr>
            <w:tcW w:w="6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ind w:right="391"/>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7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Description of Registrant’s Securities</w:t>
              </w:r>
            </w:hyperlink>
          </w:p>
        </w:tc>
        <w:tc>
          <w:tcPr>
            <w:tcW w:w="754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Amended and Restated 2006 Stock Option Plan and forms of award agreements thereunder (incorporated by reference to Exhibit 10.1 of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Registrant’s Registration Statement on Form S-1 (File No. 333-195391) filed on June 18, 2014)</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ind w:right="391"/>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240" w:type="dxa"/>
            <w:vAlign w:val="bottom"/>
            <w:gridSpan w:val="24"/>
          </w:tcPr>
          <w:p>
            <w:pPr>
              <w:spacing w:after="0"/>
              <w:rPr>
                <w:rFonts w:ascii="Arial" w:cs="Arial" w:eastAsia="Arial" w:hAnsi="Arial"/>
                <w:sz w:val="18"/>
                <w:szCs w:val="18"/>
                <w:color w:val="0000EE"/>
                <w:w w:val="98"/>
              </w:rPr>
            </w:pPr>
            <w:hyperlink r:id="rId123">
              <w:r>
                <w:rPr>
                  <w:rFonts w:ascii="Arial" w:cs="Arial" w:eastAsia="Arial" w:hAnsi="Arial"/>
                  <w:sz w:val="18"/>
                  <w:szCs w:val="18"/>
                  <w:color w:val="0000EE"/>
                  <w:w w:val="98"/>
                </w:rPr>
                <w:t>2014 Stock Option and Incentive Plan and forms of award agreements thereunder (incorporated by reference to Exhibit 10.2 of the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Registrant’s Registration Statement on Form S-1 (File No. 333-195391) filed on June 18, 2014)</w:t>
              </w:r>
            </w:hyperlink>
          </w:p>
        </w:tc>
        <w:tc>
          <w:tcPr>
            <w:tcW w:w="8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10.3(a)†</w:t>
            </w:r>
          </w:p>
        </w:tc>
        <w:tc>
          <w:tcPr>
            <w:tcW w:w="10220" w:type="dxa"/>
            <w:vAlign w:val="bottom"/>
            <w:tcBorders>
              <w:bottom w:val="single" w:sz="8" w:color="0000EE"/>
            </w:tcBorders>
            <w:gridSpan w:val="23"/>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Exclusive License Agreement by and between the Registrant and Chong Kun Dang Pharmaceutical Corp. of South Korea, dated July 6, 2009,</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as amended (incorporated by reference to Exhibit 10.3 of the Registrant’s Registration Statement on Form S-1 (File No. 333-195391) filed on</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June 18, 2014)</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10.3(b)</w:t>
            </w:r>
          </w:p>
        </w:tc>
        <w:tc>
          <w:tcPr>
            <w:tcW w:w="10240" w:type="dxa"/>
            <w:vAlign w:val="bottom"/>
            <w:gridSpan w:val="24"/>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Amendment No. 4 to Exclusive License Agreement by and between the Registrant and Chong Kun Dang Pharmaceutical Corporation, dated</w:t>
              </w:r>
            </w:hyperlink>
          </w:p>
        </w:tc>
        <w:tc>
          <w:tcPr>
            <w:tcW w:w="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October 29, 2014 (incorporated by reference to Exhibit 10.3(b) of the Registrant’s Registration Statement on Form S-1 (File No. 333-201439)</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filed on January 12, 2015)</w:t>
              </w:r>
            </w:hyperlink>
          </w:p>
        </w:tc>
        <w:tc>
          <w:tcPr>
            <w:tcW w:w="832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Subscription Agreement by and between the Registrant and Chong Kun Dang Pharmaceutical Corporation, dated November 20, 2014</w:t>
              </w:r>
            </w:hyperlink>
          </w:p>
        </w:tc>
        <w:tc>
          <w:tcPr>
            <w:tcW w:w="6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(incorporated by reference to Exhibit 10.4 of the Registrant’s Registration Statement on Form S-1 (File No. 333-201439) filed on January 12,</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6">
              <w:r>
                <w:rPr>
                  <w:rFonts w:ascii="Arial" w:cs="Arial" w:eastAsia="Arial" w:hAnsi="Arial"/>
                  <w:sz w:val="18"/>
                  <w:szCs w:val="18"/>
                  <w:color w:val="0000EE"/>
                  <w:w w:val="86"/>
                </w:rPr>
                <w:t>2015)</w:t>
              </w:r>
            </w:hyperlink>
          </w:p>
        </w:tc>
        <w:tc>
          <w:tcPr>
            <w:tcW w:w="6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right"/>
              <w:ind w:right="471"/>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9420" w:type="dxa"/>
            <w:vAlign w:val="bottom"/>
            <w:tcBorders>
              <w:bottom w:val="single" w:sz="8" w:color="0000EE"/>
            </w:tcBorders>
            <w:gridSpan w:val="11"/>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Letter by and between the Registrant and Thomas E. Hughes, dated July 25, 2008 (incorporated by reference to Exhibit 10.5 of the</w:t>
              </w:r>
            </w:hyperlink>
          </w:p>
        </w:tc>
        <w:tc>
          <w:tcPr>
            <w:tcW w:w="8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2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Registrant’s Registration Statement on Form S-1 (File No. 333-195391) filed on June 18, 2014)</w:t>
              </w:r>
            </w:hyperlink>
          </w:p>
        </w:tc>
        <w:tc>
          <w:tcPr>
            <w:tcW w:w="20" w:type="dxa"/>
            <w:vAlign w:val="bottom"/>
          </w:tcPr>
          <w:p>
            <w:pPr>
              <w:spacing w:after="0"/>
              <w:rPr>
                <w:sz w:val="17"/>
                <w:szCs w:val="17"/>
                <w:color w:val="auto"/>
              </w:rPr>
            </w:pPr>
          </w:p>
        </w:tc>
      </w:tr>
      <w:tr>
        <w:trPr>
          <w:trHeight w:val="574"/>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Borders>
              <w:top w:val="single" w:sz="8" w:color="0000EE"/>
            </w:tcBorders>
            <w:gridSpan w:val="9"/>
          </w:tcPr>
          <w:p>
            <w:pPr>
              <w:ind w:left="4440"/>
              <w:spacing w:after="0"/>
              <w:rPr>
                <w:sz w:val="20"/>
                <w:szCs w:val="20"/>
                <w:color w:val="auto"/>
              </w:rPr>
            </w:pPr>
            <w:r>
              <w:rPr>
                <w:rFonts w:ascii="Arial" w:cs="Arial" w:eastAsia="Arial" w:hAnsi="Arial"/>
                <w:sz w:val="18"/>
                <w:szCs w:val="18"/>
                <w:color w:val="auto"/>
              </w:rPr>
              <w:t>92</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140"/>
              <w:spacing w:after="0"/>
              <w:rPr>
                <w:sz w:val="20"/>
                <w:szCs w:val="20"/>
                <w:color w:val="auto"/>
              </w:rPr>
            </w:pPr>
            <w:r>
              <w:rPr>
                <w:rFonts w:ascii="Arial" w:cs="Arial" w:eastAsia="Arial" w:hAnsi="Arial"/>
                <w:sz w:val="18"/>
                <w:szCs w:val="18"/>
                <w:color w:val="auto"/>
              </w:rPr>
              <w:t>10.6</w:t>
            </w:r>
          </w:p>
        </w:tc>
        <w:tc>
          <w:tcPr>
            <w:tcW w:w="9940" w:type="dxa"/>
            <w:vAlign w:val="bottom"/>
            <w:tcBorders>
              <w:bottom w:val="single" w:sz="8" w:color="0000EE"/>
            </w:tcBorders>
            <w:gridSpan w:val="19"/>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Employee Non-Competition, Non-Solicitation, Confidentiality and Assignment Agreement by and between the Registrant and Thomas E.</w:t>
              </w:r>
            </w:hyperlink>
          </w:p>
        </w:tc>
        <w:tc>
          <w:tcPr>
            <w:tcW w:w="320" w:type="dxa"/>
            <w:vAlign w:val="bottom"/>
            <w:gridSpan w:val="10"/>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Hughes, dated July 29, 2008 (incorporated by reference to Exhibit 10.6 of the Registrant’s Registration Statement on Form S-1 (File No. 333-</w:t>
              </w:r>
            </w:hyperlink>
          </w:p>
        </w:tc>
        <w:tc>
          <w:tcPr>
            <w:tcW w:w="4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195391) filed on June 18, 2014)</w:t>
              </w:r>
            </w:hyperlink>
          </w:p>
        </w:tc>
        <w:tc>
          <w:tcPr>
            <w:tcW w:w="7940" w:type="dxa"/>
            <w:vAlign w:val="bottom"/>
            <w:gridSpan w:val="26"/>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10.7</w:t>
            </w:r>
          </w:p>
        </w:tc>
        <w:tc>
          <w:tcPr>
            <w:tcW w:w="10260" w:type="dxa"/>
            <w:vAlign w:val="bottom"/>
            <w:gridSpan w:val="29"/>
          </w:tcPr>
          <w:p>
            <w:pPr>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Letter by and between the Registrant and Dennis D. Kim, dated August 23, 2011 (incorporated by reference to Exhibit 10.7 of the</w:t>
              </w:r>
            </w:hyperlink>
          </w:p>
        </w:tc>
      </w:tr>
      <w:tr>
        <w:trPr>
          <w:trHeight w:val="196"/>
        </w:trPr>
        <w:tc>
          <w:tcPr>
            <w:tcW w:w="1180" w:type="dxa"/>
            <w:vAlign w:val="bottom"/>
          </w:tcPr>
          <w:p>
            <w:pPr>
              <w:spacing w:after="0"/>
              <w:rPr>
                <w:sz w:val="17"/>
                <w:szCs w:val="17"/>
                <w:color w:val="auto"/>
              </w:rPr>
            </w:pPr>
          </w:p>
        </w:tc>
        <w:tc>
          <w:tcPr>
            <w:tcW w:w="9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Registrant’s Registration Statement on Form S-1 (File No. 333-195391) filed on June 18, 2014)</w:t>
              </w:r>
            </w:hyperlink>
          </w:p>
        </w:tc>
        <w:tc>
          <w:tcPr>
            <w:tcW w:w="920" w:type="dxa"/>
            <w:vAlign w:val="bottom"/>
            <w:gridSpan w:val="18"/>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10.8</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Employee Non-Competition, Non-Solicitation, Confidentiality and Assignment Agreement by and between the Registrant and Dennis D.</w:t>
              </w:r>
            </w:hyperlink>
          </w:p>
        </w:tc>
        <w:tc>
          <w:tcPr>
            <w:tcW w:w="380" w:type="dxa"/>
            <w:vAlign w:val="bottom"/>
            <w:gridSpan w:val="1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Kim, dated August 29, 2013 (incorporated by reference to Exhibit 10.8 of the Registrant’s Registration Statement on Form S-1 (File No. 333-</w:t>
              </w:r>
            </w:hyperlink>
          </w:p>
        </w:tc>
        <w:tc>
          <w:tcPr>
            <w:tcW w:w="6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195391) filed on June 18, 2014)</w:t>
              </w:r>
            </w:hyperlink>
          </w:p>
        </w:tc>
        <w:tc>
          <w:tcPr>
            <w:tcW w:w="7940" w:type="dxa"/>
            <w:vAlign w:val="bottom"/>
            <w:gridSpan w:val="26"/>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10.9</w:t>
            </w:r>
          </w:p>
        </w:tc>
        <w:tc>
          <w:tcPr>
            <w:tcW w:w="9680" w:type="dxa"/>
            <w:vAlign w:val="bottom"/>
            <w:tcBorders>
              <w:bottom w:val="single" w:sz="8" w:color="0000EE"/>
            </w:tcBorders>
            <w:gridSpan w:val="13"/>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Letter by and between the Registrant and Patricia L. Allen, dated December 10, 2012 (incorporated by reference to Exhibit 10.9 of the</w:t>
              </w:r>
            </w:hyperlink>
          </w:p>
        </w:tc>
        <w:tc>
          <w:tcPr>
            <w:tcW w:w="580" w:type="dxa"/>
            <w:vAlign w:val="bottom"/>
            <w:gridSpan w:val="1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9"/>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Registrant’s Registration Statement on Form S-1 (File No. 333-195391) filed on June 18, 2014)</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10.10</w:t>
            </w:r>
          </w:p>
        </w:tc>
        <w:tc>
          <w:tcPr>
            <w:tcW w:w="9900" w:type="dxa"/>
            <w:vAlign w:val="bottom"/>
            <w:tcBorders>
              <w:bottom w:val="single" w:sz="8" w:color="0000EE"/>
            </w:tcBorders>
            <w:gridSpan w:val="17"/>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Employee Non-Competition, Non-Solicitation, Confidentiality and Assignment Agreement by and between the Registrant and Patricia L.</w:t>
              </w:r>
            </w:hyperlink>
          </w:p>
        </w:tc>
        <w:tc>
          <w:tcPr>
            <w:tcW w:w="360" w:type="dxa"/>
            <w:vAlign w:val="bottom"/>
            <w:gridSpan w:val="1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9"/>
          </w:tcPr>
          <w:p>
            <w:pPr>
              <w:spacing w:after="0" w:line="196" w:lineRule="exact"/>
              <w:rPr>
                <w:rFonts w:ascii="Arial" w:cs="Arial" w:eastAsia="Arial" w:hAnsi="Arial"/>
                <w:sz w:val="18"/>
                <w:szCs w:val="18"/>
                <w:color w:val="0000EE"/>
                <w:w w:val="96"/>
              </w:rPr>
            </w:pPr>
            <w:hyperlink r:id="rId135">
              <w:r>
                <w:rPr>
                  <w:rFonts w:ascii="Arial" w:cs="Arial" w:eastAsia="Arial" w:hAnsi="Arial"/>
                  <w:sz w:val="18"/>
                  <w:szCs w:val="18"/>
                  <w:color w:val="0000EE"/>
                  <w:w w:val="96"/>
                </w:rPr>
                <w:t>Allen, dated August 29, 2013 (incorporated by reference to Exhibit 10.10 of the Registrant’s Registration Statement on Form S-1 (File</w:t>
              </w:r>
            </w:hyperlink>
          </w:p>
        </w:tc>
      </w:tr>
      <w:tr>
        <w:trPr>
          <w:trHeight w:val="196"/>
        </w:trPr>
        <w:tc>
          <w:tcPr>
            <w:tcW w:w="118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No. 333-195391) filed on June 18, 2014)</w:t>
              </w:r>
            </w:hyperlink>
          </w:p>
        </w:tc>
        <w:tc>
          <w:tcPr>
            <w:tcW w:w="6720" w:type="dxa"/>
            <w:vAlign w:val="bottom"/>
            <w:tcBorders>
              <w:top w:val="single" w:sz="8" w:color="0000EE"/>
            </w:tcBorders>
            <w:gridSpan w:val="9"/>
          </w:tcPr>
          <w:p>
            <w:pPr>
              <w:spacing w:after="0"/>
              <w:rPr>
                <w:sz w:val="17"/>
                <w:szCs w:val="17"/>
                <w:color w:val="auto"/>
              </w:rPr>
            </w:pPr>
          </w:p>
        </w:tc>
        <w:tc>
          <w:tcPr>
            <w:tcW w:w="580" w:type="dxa"/>
            <w:vAlign w:val="bottom"/>
            <w:gridSpan w:val="16"/>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10.11(a)</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Form of Indemnification Agreement, to be entered into between the Registrant and its directors (incorporated by reference to Exhibit 10.11(a)</w:t>
              </w:r>
            </w:hyperlink>
          </w:p>
        </w:tc>
        <w:tc>
          <w:tcPr>
            <w:tcW w:w="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9"/>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of the Registrant’s Registration Statement on Form S-1 (File No. 333-195391) filed on June 18, 2014)</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10.11(b)</w:t>
            </w:r>
          </w:p>
        </w:tc>
        <w:tc>
          <w:tcPr>
            <w:tcW w:w="10160" w:type="dxa"/>
            <w:vAlign w:val="bottom"/>
            <w:tcBorders>
              <w:bottom w:val="single" w:sz="8" w:color="0000EE"/>
            </w:tcBorders>
            <w:gridSpan w:val="25"/>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Form of Indemnification Agreement, to be entered into between the Registrant and its officers (incorporated by reference to Exhibit 10.11(b)</w:t>
              </w:r>
            </w:hyperlink>
          </w:p>
        </w:tc>
        <w:tc>
          <w:tcPr>
            <w:tcW w:w="10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9"/>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of the Registrant’s Registration Statement on Form S-1 (File No. 333-195391) filed on June 18, 2014)</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10.12#</w:t>
            </w:r>
          </w:p>
        </w:tc>
        <w:tc>
          <w:tcPr>
            <w:tcW w:w="10260" w:type="dxa"/>
            <w:vAlign w:val="bottom"/>
            <w:gridSpan w:val="29"/>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Senior Executive Cash Incentive Bonus Plan (incorporated by reference to Exhibit 10.12 of the Registrant’s Registration Statement on Form</w:t>
              </w:r>
            </w:hyperlink>
          </w:p>
        </w:tc>
      </w:tr>
      <w:tr>
        <w:trPr>
          <w:trHeight w:val="196"/>
        </w:trPr>
        <w:tc>
          <w:tcPr>
            <w:tcW w:w="11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S-1 (File No. 333-195391) filed on June 18, 2014)</w:t>
              </w:r>
            </w:hyperlink>
          </w:p>
        </w:tc>
        <w:tc>
          <w:tcPr>
            <w:tcW w:w="6460" w:type="dxa"/>
            <w:vAlign w:val="bottom"/>
            <w:tcBorders>
              <w:top w:val="single" w:sz="8" w:color="0000EE"/>
            </w:tcBorders>
            <w:gridSpan w:val="18"/>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10.13†</w:t>
            </w:r>
          </w:p>
        </w:tc>
        <w:tc>
          <w:tcPr>
            <w:tcW w:w="10260" w:type="dxa"/>
            <w:vAlign w:val="bottom"/>
            <w:gridSpan w:val="29"/>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Exclusive License Agreement by and between the Registrant and Children’s Medical Center Corporation, dated January 4, 2007, as amended</w:t>
              </w:r>
            </w:hyperlink>
          </w:p>
        </w:tc>
      </w:tr>
      <w:tr>
        <w:trPr>
          <w:trHeight w:val="196"/>
        </w:trPr>
        <w:tc>
          <w:tcPr>
            <w:tcW w:w="1180" w:type="dxa"/>
            <w:vAlign w:val="bottom"/>
          </w:tcPr>
          <w:p>
            <w:pPr>
              <w:spacing w:after="0"/>
              <w:rPr>
                <w:sz w:val="17"/>
                <w:szCs w:val="17"/>
                <w:color w:val="auto"/>
              </w:rPr>
            </w:pPr>
          </w:p>
        </w:tc>
        <w:tc>
          <w:tcPr>
            <w:tcW w:w="1016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January 15, 2007 (incorporated by reference to Exhibit 10.13 of the Registrant’s Registration Statement on Form S-1 (File No. 333-195391)</w:t>
              </w:r>
            </w:hyperlink>
          </w:p>
        </w:tc>
        <w:tc>
          <w:tcPr>
            <w:tcW w:w="10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filed on June 18, 2014)</w:t>
              </w:r>
            </w:hyperlink>
          </w:p>
        </w:tc>
        <w:tc>
          <w:tcPr>
            <w:tcW w:w="180" w:type="dxa"/>
            <w:vAlign w:val="bottom"/>
            <w:gridSpan w:val="7"/>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10.14</w:t>
            </w:r>
          </w:p>
        </w:tc>
        <w:tc>
          <w:tcPr>
            <w:tcW w:w="9920" w:type="dxa"/>
            <w:vAlign w:val="bottom"/>
            <w:tcBorders>
              <w:bottom w:val="single" w:sz="8" w:color="0000EE"/>
            </w:tcBorders>
            <w:gridSpan w:val="18"/>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Commercial Lease by and between the Registrant and Minerva Holdings, LLC, dated May 15, 2014 (incorporated by reference to Exhibit</w:t>
              </w:r>
            </w:hyperlink>
          </w:p>
        </w:tc>
        <w:tc>
          <w:tcPr>
            <w:tcW w:w="340" w:type="dxa"/>
            <w:vAlign w:val="bottom"/>
            <w:gridSpan w:val="11"/>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8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w:t>
              </w:r>
              <w:r>
                <w:rPr>
                  <w:rFonts w:ascii="Arial" w:cs="Arial" w:eastAsia="Arial" w:hAnsi="Arial"/>
                  <w:sz w:val="18"/>
                  <w:szCs w:val="18"/>
                  <w:color w:val="0000EE"/>
                  <w:w w:val="90"/>
                </w:rPr>
                <w:t xml:space="preserve"> of the Registrant’s Registration Statement on Form S-1 (File No. 333-195391) filed on June 18, 2014)</w:t>
              </w:r>
            </w:hyperlink>
          </w:p>
        </w:tc>
        <w:tc>
          <w:tcPr>
            <w:tcW w:w="2460" w:type="dxa"/>
            <w:vAlign w:val="bottom"/>
            <w:gridSpan w:val="20"/>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10.15</w:t>
            </w:r>
          </w:p>
        </w:tc>
        <w:tc>
          <w:tcPr>
            <w:tcW w:w="10260" w:type="dxa"/>
            <w:vAlign w:val="bottom"/>
            <w:gridSpan w:val="29"/>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Commercial Lease by and between the Company and Contour LLC, dated March 30, 2015 (incorporated by reference to Exhibit 10.1 of the</w:t>
              </w:r>
            </w:hyperlink>
          </w:p>
        </w:tc>
      </w:tr>
      <w:tr>
        <w:trPr>
          <w:trHeight w:val="196"/>
        </w:trPr>
        <w:tc>
          <w:tcPr>
            <w:tcW w:w="118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Registrant’s Quarterly Report on Form 10-Q (File No. 001-36510) filed on May 14, 2015)</w:t>
              </w:r>
            </w:hyperlink>
          </w:p>
        </w:tc>
        <w:tc>
          <w:tcPr>
            <w:tcW w:w="3560" w:type="dxa"/>
            <w:vAlign w:val="bottom"/>
            <w:tcBorders>
              <w:top w:val="single" w:sz="8" w:color="0000EE"/>
            </w:tcBorders>
            <w:gridSpan w:val="15"/>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10.16#</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2014 Employee Stock Purchase Plan (incorporated by reference to Exhibit 10.15 of the Registrant’s Registration Statement on Form S-1 (File</w:t>
              </w:r>
            </w:hyperlink>
          </w:p>
        </w:tc>
        <w:tc>
          <w:tcPr>
            <w:tcW w:w="4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9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No. 333-195391) filed on June 18, 2014)</w:t>
              </w:r>
            </w:hyperlink>
          </w:p>
        </w:tc>
        <w:tc>
          <w:tcPr>
            <w:tcW w:w="7300" w:type="dxa"/>
            <w:vAlign w:val="bottom"/>
            <w:gridSpan w:val="25"/>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10.17</w:t>
            </w:r>
          </w:p>
        </w:tc>
        <w:tc>
          <w:tcPr>
            <w:tcW w:w="10260" w:type="dxa"/>
            <w:vAlign w:val="bottom"/>
            <w:gridSpan w:val="29"/>
          </w:tcPr>
          <w:p>
            <w:pPr>
              <w:spacing w:after="0"/>
              <w:rPr>
                <w:rFonts w:ascii="Arial" w:cs="Arial" w:eastAsia="Arial" w:hAnsi="Arial"/>
                <w:sz w:val="18"/>
                <w:szCs w:val="18"/>
                <w:color w:val="0000EE"/>
                <w:w w:val="95"/>
              </w:rPr>
            </w:pPr>
            <w:hyperlink r:id="rId143">
              <w:r>
                <w:rPr>
                  <w:rFonts w:ascii="Arial" w:cs="Arial" w:eastAsia="Arial" w:hAnsi="Arial"/>
                  <w:sz w:val="18"/>
                  <w:szCs w:val="18"/>
                  <w:color w:val="0000EE"/>
                  <w:w w:val="95"/>
                </w:rPr>
                <w:t>Severance and Change in Control Agreement by and between the Registrant and Thomas E. Hughes, PhD. dated as of June 30, 2016</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80" w:type="dxa"/>
            <w:vAlign w:val="bottom"/>
            <w:gridSpan w:val="9"/>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(incorporated by reference to Exhibit 10.1 of the Registrant’s Quarterly Report on Form 10-Q (File No. 001-36510) filed on August 5, 2016)</w:t>
              </w:r>
            </w:hyperlink>
          </w:p>
        </w:tc>
        <w:tc>
          <w:tcPr>
            <w:tcW w:w="120" w:type="dxa"/>
            <w:vAlign w:val="bottom"/>
            <w:gridSpan w:val="5"/>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10.18</w:t>
            </w:r>
          </w:p>
        </w:tc>
        <w:tc>
          <w:tcPr>
            <w:tcW w:w="10260" w:type="dxa"/>
            <w:vAlign w:val="bottom"/>
            <w:gridSpan w:val="29"/>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Severance and Change in Control Agreement by and between the Registrant and Patricia Allen dated as of June 30, 2016 (incorporated by</w:t>
              </w:r>
            </w:hyperlink>
          </w:p>
        </w:tc>
      </w:tr>
      <w:tr>
        <w:trPr>
          <w:trHeight w:val="196"/>
        </w:trPr>
        <w:tc>
          <w:tcPr>
            <w:tcW w:w="118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reference to Exhibit 10.4 of the Registrant’s Quarterly Report on Form 10-Q (File No. 001-36510) filed on August 5, 2016)</w:t>
              </w:r>
            </w:hyperlink>
          </w:p>
        </w:tc>
        <w:tc>
          <w:tcPr>
            <w:tcW w:w="1040" w:type="dxa"/>
            <w:vAlign w:val="bottom"/>
            <w:tcBorders>
              <w:top w:val="single" w:sz="8" w:color="0000EE"/>
            </w:tcBorders>
            <w:gridSpan w:val="9"/>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10.19</w:t>
            </w:r>
          </w:p>
        </w:tc>
        <w:tc>
          <w:tcPr>
            <w:tcW w:w="10260" w:type="dxa"/>
            <w:vAlign w:val="bottom"/>
            <w:gridSpan w:val="29"/>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First Amendment to Severance and Change-in-Control Agreement by and between Registrant and Patricia Allen dated September 12, 2019</w:t>
              </w:r>
            </w:hyperlink>
          </w:p>
        </w:tc>
      </w:tr>
      <w:tr>
        <w:trPr>
          <w:trHeight w:val="196"/>
        </w:trPr>
        <w:tc>
          <w:tcPr>
            <w:tcW w:w="1180" w:type="dxa"/>
            <w:vAlign w:val="bottom"/>
          </w:tcPr>
          <w:p>
            <w:pPr>
              <w:spacing w:after="0"/>
              <w:rPr>
                <w:sz w:val="17"/>
                <w:szCs w:val="17"/>
                <w:color w:val="auto"/>
              </w:rPr>
            </w:pPr>
          </w:p>
        </w:tc>
        <w:tc>
          <w:tcPr>
            <w:tcW w:w="1002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(incorporated by reference to Exhibit 10.2 of the Registrant’s Current Report on Form 8-K (File No. 001-36510) filed on September 10,</w:t>
              </w:r>
            </w:hyperlink>
          </w:p>
        </w:tc>
        <w:tc>
          <w:tcPr>
            <w:tcW w:w="240" w:type="dxa"/>
            <w:vAlign w:val="bottom"/>
            <w:gridSpan w:val="9"/>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2019)</w:t>
              </w:r>
            </w:hyperlink>
          </w:p>
        </w:tc>
        <w:tc>
          <w:tcPr>
            <w:tcW w:w="1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80" w:type="dxa"/>
            <w:vAlign w:val="bottom"/>
          </w:tcPr>
          <w:p>
            <w:pPr>
              <w:ind w:left="140"/>
              <w:spacing w:after="0"/>
              <w:rPr>
                <w:sz w:val="20"/>
                <w:szCs w:val="20"/>
                <w:color w:val="auto"/>
              </w:rPr>
            </w:pPr>
            <w:r>
              <w:rPr>
                <w:rFonts w:ascii="Arial" w:cs="Arial" w:eastAsia="Arial" w:hAnsi="Arial"/>
                <w:sz w:val="18"/>
                <w:szCs w:val="18"/>
                <w:color w:val="auto"/>
              </w:rPr>
              <w:t>10.20</w:t>
            </w:r>
          </w:p>
        </w:tc>
        <w:tc>
          <w:tcPr>
            <w:tcW w:w="9700" w:type="dxa"/>
            <w:vAlign w:val="bottom"/>
            <w:tcBorders>
              <w:bottom w:val="single" w:sz="8" w:color="0000EE"/>
            </w:tcBorders>
            <w:gridSpan w:val="14"/>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Severance and Change in Control Agreement by and between the Registrant and Dennis Kim, M.D., M.B.A. dated as of June 30, 2016</w:t>
              </w:r>
            </w:hyperlink>
          </w:p>
        </w:tc>
        <w:tc>
          <w:tcPr>
            <w:tcW w:w="560" w:type="dxa"/>
            <w:vAlign w:val="bottom"/>
            <w:gridSpan w:val="1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9"/>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(incorporated by reference to Exhibit 10.5 of the Registrant’s Quarterly Report on Form 10-Q (File No. 001-36510) filed on August 5, 2016)</w:t>
              </w:r>
            </w:hyperlink>
          </w:p>
        </w:tc>
      </w:tr>
      <w:tr>
        <w:trPr>
          <w:trHeight w:val="574"/>
        </w:trPr>
        <w:tc>
          <w:tcPr>
            <w:tcW w:w="1180" w:type="dxa"/>
            <w:vAlign w:val="bottom"/>
          </w:tcPr>
          <w:p>
            <w:pPr>
              <w:spacing w:after="0"/>
              <w:rPr>
                <w:sz w:val="24"/>
                <w:szCs w:val="24"/>
                <w:color w:val="auto"/>
              </w:rPr>
            </w:pPr>
          </w:p>
        </w:tc>
        <w:tc>
          <w:tcPr>
            <w:tcW w:w="6500" w:type="dxa"/>
            <w:vAlign w:val="bottom"/>
            <w:tcBorders>
              <w:top w:val="single" w:sz="8" w:color="0000EE"/>
            </w:tcBorders>
            <w:gridSpan w:val="6"/>
          </w:tcPr>
          <w:p>
            <w:pPr>
              <w:ind w:left="4440"/>
              <w:spacing w:after="0"/>
              <w:rPr>
                <w:sz w:val="20"/>
                <w:szCs w:val="20"/>
                <w:color w:val="auto"/>
              </w:rPr>
            </w:pPr>
            <w:r>
              <w:rPr>
                <w:rFonts w:ascii="Arial" w:cs="Arial" w:eastAsia="Arial" w:hAnsi="Arial"/>
                <w:sz w:val="18"/>
                <w:szCs w:val="18"/>
                <w:color w:val="auto"/>
              </w:rPr>
              <w:t>93</w:t>
            </w:r>
          </w:p>
        </w:tc>
        <w:tc>
          <w:tcPr>
            <w:tcW w:w="3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type w:val="continuous"/>
        </w:sectPr>
      </w:pPr>
    </w:p>
    <w:bookmarkStart w:id="93" w:name="page94"/>
    <w:bookmarkEnd w:id="93"/>
    <w:p>
      <w:pPr>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140"/>
              <w:spacing w:after="0"/>
              <w:rPr>
                <w:sz w:val="20"/>
                <w:szCs w:val="20"/>
                <w:color w:val="auto"/>
              </w:rPr>
            </w:pPr>
            <w:r>
              <w:rPr>
                <w:rFonts w:ascii="Arial" w:cs="Arial" w:eastAsia="Arial" w:hAnsi="Arial"/>
                <w:sz w:val="18"/>
                <w:szCs w:val="18"/>
                <w:color w:val="auto"/>
              </w:rPr>
              <w:t>10.21</w:t>
            </w:r>
          </w:p>
        </w:tc>
        <w:tc>
          <w:tcPr>
            <w:tcW w:w="10260" w:type="dxa"/>
            <w:vAlign w:val="bottom"/>
            <w:gridSpan w:val="26"/>
          </w:tcPr>
          <w:p>
            <w:pPr>
              <w:spacing w:after="0"/>
              <w:rPr>
                <w:rFonts w:ascii="Arial" w:cs="Arial" w:eastAsia="Arial" w:hAnsi="Arial"/>
                <w:sz w:val="18"/>
                <w:szCs w:val="18"/>
                <w:color w:val="0000EE"/>
                <w:w w:val="99"/>
              </w:rPr>
            </w:pPr>
            <w:hyperlink r:id="rId150">
              <w:r>
                <w:rPr>
                  <w:rFonts w:ascii="Arial" w:cs="Arial" w:eastAsia="Arial" w:hAnsi="Arial"/>
                  <w:sz w:val="18"/>
                  <w:szCs w:val="18"/>
                  <w:color w:val="0000EE"/>
                  <w:w w:val="99"/>
                </w:rPr>
                <w:t>Loan and Security Agreement between the Registrant, as borrower, and Silicon Valley Bank, as lender dated December 29, 2017</w:t>
              </w:r>
            </w:hyperlink>
          </w:p>
        </w:tc>
      </w:tr>
      <w:tr>
        <w:trPr>
          <w:trHeight w:val="196"/>
        </w:trPr>
        <w:tc>
          <w:tcPr>
            <w:tcW w:w="118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(incorporated by reference to Exhibit 10.1 of the Registrant’s Form 8-K (File No. 001-36510)</w:t>
              </w:r>
            </w:hyperlink>
          </w:p>
        </w:tc>
        <w:tc>
          <w:tcPr>
            <w:tcW w:w="2520" w:type="dxa"/>
            <w:vAlign w:val="bottom"/>
            <w:tcBorders>
              <w:top w:val="single" w:sz="8" w:color="0000EE"/>
            </w:tcBorders>
            <w:gridSpan w:val="9"/>
          </w:tcPr>
          <w:p>
            <w:pPr>
              <w:spacing w:after="0"/>
              <w:rPr>
                <w:sz w:val="17"/>
                <w:szCs w:val="17"/>
                <w:color w:val="auto"/>
              </w:rPr>
            </w:pPr>
          </w:p>
        </w:tc>
        <w:tc>
          <w:tcPr>
            <w:tcW w:w="1000" w:type="dxa"/>
            <w:vAlign w:val="bottom"/>
            <w:gridSpan w:val="1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filed January 5, 2018)</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10.22</w:t>
            </w:r>
          </w:p>
        </w:tc>
        <w:tc>
          <w:tcPr>
            <w:tcW w:w="10140" w:type="dxa"/>
            <w:vAlign w:val="bottom"/>
            <w:tcBorders>
              <w:bottom w:val="single" w:sz="8" w:color="0000EE"/>
            </w:tcBorders>
            <w:gridSpan w:val="22"/>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Employment Offer Letter Agreement by and between the Registrant and Jeffrey S. Hatfield, effective as of October 9, 2017 (incorporated by</w:t>
              </w:r>
            </w:hyperlink>
          </w:p>
        </w:tc>
        <w:tc>
          <w:tcPr>
            <w:tcW w:w="12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reference to Exhibit 10.2 of the Registrant’s Form 8-K (File No. 001-36510) filed on October 12, 2017)</w:t>
              </w:r>
            </w:hyperlink>
          </w:p>
        </w:tc>
        <w:tc>
          <w:tcPr>
            <w:tcW w:w="2800" w:type="dxa"/>
            <w:vAlign w:val="bottom"/>
            <w:gridSpan w:val="18"/>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10.23</w:t>
            </w:r>
          </w:p>
        </w:tc>
        <w:tc>
          <w:tcPr>
            <w:tcW w:w="10260" w:type="dxa"/>
            <w:vAlign w:val="bottom"/>
            <w:gridSpan w:val="26"/>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Severance and Change in Control Agreement by and between Registrant and Jeffrey S. Hatfield, effective as of October 9, 2017 (incorporated</w:t>
              </w:r>
            </w:hyperlink>
          </w:p>
        </w:tc>
      </w:tr>
      <w:tr>
        <w:trPr>
          <w:trHeight w:val="196"/>
        </w:trPr>
        <w:tc>
          <w:tcPr>
            <w:tcW w:w="1180" w:type="dxa"/>
            <w:vAlign w:val="bottom"/>
          </w:tcPr>
          <w:p>
            <w:pPr>
              <w:spacing w:after="0"/>
              <w:rPr>
                <w:sz w:val="17"/>
                <w:szCs w:val="17"/>
                <w:color w:val="auto"/>
              </w:rPr>
            </w:pPr>
          </w:p>
        </w:tc>
        <w:tc>
          <w:tcPr>
            <w:tcW w:w="102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by reference to Exhibit 10.3 of the Registrant’s Form 8-K (File No. 001-36510) filed on October 12, 2017)</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10.24#</w:t>
            </w:r>
          </w:p>
        </w:tc>
        <w:tc>
          <w:tcPr>
            <w:tcW w:w="10260" w:type="dxa"/>
            <w:vAlign w:val="bottom"/>
            <w:gridSpan w:val="26"/>
          </w:tcPr>
          <w:p>
            <w:pPr>
              <w:spacing w:after="0"/>
              <w:rPr>
                <w:rFonts w:ascii="Arial" w:cs="Arial" w:eastAsia="Arial" w:hAnsi="Arial"/>
                <w:sz w:val="18"/>
                <w:szCs w:val="18"/>
                <w:color w:val="0000EE"/>
                <w:w w:val="93"/>
              </w:rPr>
            </w:pPr>
            <w:hyperlink r:id="rId153">
              <w:r>
                <w:rPr>
                  <w:rFonts w:ascii="Arial" w:cs="Arial" w:eastAsia="Arial" w:hAnsi="Arial"/>
                  <w:sz w:val="18"/>
                  <w:szCs w:val="18"/>
                  <w:color w:val="0000EE"/>
                  <w:w w:val="93"/>
                </w:rPr>
                <w:t>Non-Qualified Stock Option Agreement Inducement Award by and between Registrant and Jeffrey S. Hatfield granted on October 9, 2017</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(incorporated by reference to Exhibit 10.23 of the Registrant’s Annual Report on Form 10-K (File No. 001-36510) filed on March 3, 2018)</w:t>
              </w:r>
            </w:hyperlink>
          </w:p>
        </w:tc>
        <w:tc>
          <w:tcPr>
            <w:tcW w:w="240" w:type="dxa"/>
            <w:vAlign w:val="bottom"/>
            <w:gridSpan w:val="6"/>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10.25#</w:t>
            </w:r>
          </w:p>
        </w:tc>
        <w:tc>
          <w:tcPr>
            <w:tcW w:w="10260" w:type="dxa"/>
            <w:vAlign w:val="bottom"/>
            <w:gridSpan w:val="26"/>
          </w:tcPr>
          <w:p>
            <w:pPr>
              <w:spacing w:after="0"/>
              <w:rPr>
                <w:rFonts w:ascii="Arial" w:cs="Arial" w:eastAsia="Arial" w:hAnsi="Arial"/>
                <w:sz w:val="18"/>
                <w:szCs w:val="18"/>
                <w:color w:val="0000EE"/>
                <w:w w:val="93"/>
              </w:rPr>
            </w:pPr>
            <w:hyperlink r:id="rId154">
              <w:r>
                <w:rPr>
                  <w:rFonts w:ascii="Arial" w:cs="Arial" w:eastAsia="Arial" w:hAnsi="Arial"/>
                  <w:sz w:val="18"/>
                  <w:szCs w:val="18"/>
                  <w:color w:val="0000EE"/>
                  <w:w w:val="93"/>
                </w:rPr>
                <w:t>Non-Qualified Stock Option Agreement Inducement Award by and between Registrant and Jeffrey S. Hatfield granted on October 9, 2017</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(incorporated by reference to Exhibit 10.24 of the Registrant’s Annual Report on Form 10-K (File No. 001-36510) filed on March 3, 2018)</w:t>
              </w:r>
            </w:hyperlink>
          </w:p>
        </w:tc>
        <w:tc>
          <w:tcPr>
            <w:tcW w:w="240" w:type="dxa"/>
            <w:vAlign w:val="bottom"/>
            <w:gridSpan w:val="6"/>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10.26</w:t>
            </w:r>
          </w:p>
        </w:tc>
        <w:tc>
          <w:tcPr>
            <w:tcW w:w="10260" w:type="dxa"/>
            <w:vAlign w:val="bottom"/>
            <w:gridSpan w:val="26"/>
          </w:tcPr>
          <w:p>
            <w:pPr>
              <w:spacing w:after="0"/>
              <w:rPr>
                <w:rFonts w:ascii="Arial" w:cs="Arial" w:eastAsia="Arial" w:hAnsi="Arial"/>
                <w:sz w:val="18"/>
                <w:szCs w:val="18"/>
                <w:color w:val="0000EE"/>
                <w:w w:val="96"/>
              </w:rPr>
            </w:pPr>
            <w:hyperlink r:id="rId155">
              <w:r>
                <w:rPr>
                  <w:rFonts w:ascii="Arial" w:cs="Arial" w:eastAsia="Arial" w:hAnsi="Arial"/>
                  <w:sz w:val="18"/>
                  <w:szCs w:val="18"/>
                  <w:color w:val="0000EE"/>
                  <w:w w:val="96"/>
                </w:rPr>
                <w:t>Waiver to Financing Condition by and between Registrant and Jeffrey S. Hatfield, effective as of December 29, 2017 (incorporated by</w:t>
              </w:r>
            </w:hyperlink>
          </w:p>
        </w:tc>
      </w:tr>
      <w:tr>
        <w:trPr>
          <w:trHeight w:val="196"/>
        </w:trPr>
        <w:tc>
          <w:tcPr>
            <w:tcW w:w="118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reference to Exhibit 10.25 of the Registrant’s Annual Report on Form 10-K (File No. 001-36510) filed on March 3, 2018)</w:t>
              </w:r>
            </w:hyperlink>
          </w:p>
        </w:tc>
        <w:tc>
          <w:tcPr>
            <w:tcW w:w="880" w:type="dxa"/>
            <w:vAlign w:val="bottom"/>
            <w:tcBorders>
              <w:top w:val="single" w:sz="8" w:color="0000EE"/>
            </w:tcBorders>
            <w:gridSpan w:val="3"/>
          </w:tcPr>
          <w:p>
            <w:pPr>
              <w:spacing w:after="0"/>
              <w:rPr>
                <w:sz w:val="17"/>
                <w:szCs w:val="17"/>
                <w:color w:val="auto"/>
              </w:rPr>
            </w:pPr>
          </w:p>
        </w:tc>
        <w:tc>
          <w:tcPr>
            <w:tcW w:w="600" w:type="dxa"/>
            <w:vAlign w:val="bottom"/>
            <w:gridSpan w:val="11"/>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10.27</w:t>
            </w:r>
          </w:p>
        </w:tc>
        <w:tc>
          <w:tcPr>
            <w:tcW w:w="10260" w:type="dxa"/>
            <w:vAlign w:val="bottom"/>
            <w:gridSpan w:val="26"/>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First Amendment to Severance and Change-in-Control Agreement by and between Registrant and Jeffrey S. Hatfield dated September 12,</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2019 (incorporated by reference to Exhibit 10.1 of the Registrant’s Current Report on Form 8-K (File No. 001-36510) filed on September 10,</w:t>
              </w:r>
            </w:hyperlink>
          </w:p>
        </w:tc>
      </w:tr>
      <w:tr>
        <w:trPr>
          <w:trHeight w:val="196"/>
        </w:trPr>
        <w:tc>
          <w:tcPr>
            <w:tcW w:w="11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6">
              <w:r>
                <w:rPr>
                  <w:rFonts w:ascii="Arial" w:cs="Arial" w:eastAsia="Arial" w:hAnsi="Arial"/>
                  <w:sz w:val="18"/>
                  <w:szCs w:val="18"/>
                  <w:color w:val="0000EE"/>
                  <w:w w:val="86"/>
                </w:rPr>
                <w:t>2019)</w:t>
              </w:r>
            </w:hyperlink>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80" w:type="dxa"/>
            <w:vAlign w:val="bottom"/>
          </w:tcPr>
          <w:p>
            <w:pPr>
              <w:ind w:left="140"/>
              <w:spacing w:after="0"/>
              <w:rPr>
                <w:sz w:val="20"/>
                <w:szCs w:val="20"/>
                <w:color w:val="auto"/>
              </w:rPr>
            </w:pPr>
            <w:r>
              <w:rPr>
                <w:rFonts w:ascii="Arial" w:cs="Arial" w:eastAsia="Arial" w:hAnsi="Arial"/>
                <w:sz w:val="18"/>
                <w:szCs w:val="18"/>
                <w:color w:val="auto"/>
              </w:rPr>
              <w:t>10.28*</w:t>
            </w:r>
          </w:p>
        </w:tc>
        <w:tc>
          <w:tcPr>
            <w:tcW w:w="10260" w:type="dxa"/>
            <w:vAlign w:val="bottom"/>
            <w:gridSpan w:val="26"/>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First Amendment to Non-Qualified Stock Option Agreement Inducement Award by and between Registrant and Jeffrey S. Hatfield granted</w:t>
              </w:r>
            </w:hyperlink>
          </w:p>
        </w:tc>
      </w:tr>
      <w:tr>
        <w:trPr>
          <w:trHeight w:val="196"/>
        </w:trPr>
        <w:tc>
          <w:tcPr>
            <w:tcW w:w="118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on October 9, 2017</w:t>
              </w:r>
            </w:hyperlink>
          </w:p>
        </w:tc>
        <w:tc>
          <w:tcPr>
            <w:tcW w:w="8620" w:type="dxa"/>
            <w:vAlign w:val="bottom"/>
            <w:tcBorders>
              <w:top w:val="single" w:sz="8" w:color="0000EE"/>
            </w:tcBorders>
            <w:gridSpan w:val="18"/>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412"/>
        </w:trPr>
        <w:tc>
          <w:tcPr>
            <w:tcW w:w="1180" w:type="dxa"/>
            <w:vAlign w:val="bottom"/>
          </w:tcPr>
          <w:p>
            <w:pPr>
              <w:ind w:left="140"/>
              <w:spacing w:after="0"/>
              <w:rPr>
                <w:sz w:val="20"/>
                <w:szCs w:val="20"/>
                <w:color w:val="auto"/>
              </w:rPr>
            </w:pPr>
            <w:r>
              <w:rPr>
                <w:rFonts w:ascii="Arial" w:cs="Arial" w:eastAsia="Arial" w:hAnsi="Arial"/>
                <w:sz w:val="18"/>
                <w:szCs w:val="18"/>
                <w:color w:val="auto"/>
              </w:rPr>
              <w:t>10.29</w:t>
            </w:r>
          </w:p>
        </w:tc>
        <w:tc>
          <w:tcPr>
            <w:tcW w:w="10260" w:type="dxa"/>
            <w:vAlign w:val="bottom"/>
            <w:gridSpan w:val="26"/>
          </w:tcPr>
          <w:p>
            <w:pPr>
              <w:spacing w:after="0"/>
              <w:rPr>
                <w:rFonts w:ascii="Arial" w:cs="Arial" w:eastAsia="Arial" w:hAnsi="Arial"/>
                <w:sz w:val="18"/>
                <w:szCs w:val="18"/>
                <w:color w:val="0000EE"/>
                <w:w w:val="94"/>
              </w:rPr>
            </w:pPr>
            <w:hyperlink r:id="rId157">
              <w:r>
                <w:rPr>
                  <w:rFonts w:ascii="Arial" w:cs="Arial" w:eastAsia="Arial" w:hAnsi="Arial"/>
                  <w:sz w:val="18"/>
                  <w:szCs w:val="18"/>
                  <w:color w:val="0000EE"/>
                  <w:w w:val="94"/>
                </w:rPr>
                <w:t>Employment Offer Letter Agreement by and between the Registrant and Brian P. McVeigh, effective as of May 29, 2018 (incorporated by</w:t>
              </w:r>
            </w:hyperlink>
          </w:p>
        </w:tc>
      </w:tr>
      <w:tr>
        <w:trPr>
          <w:trHeight w:val="196"/>
        </w:trPr>
        <w:tc>
          <w:tcPr>
            <w:tcW w:w="1180" w:type="dxa"/>
            <w:vAlign w:val="bottom"/>
          </w:tcPr>
          <w:p>
            <w:pPr>
              <w:spacing w:after="0"/>
              <w:rPr>
                <w:sz w:val="17"/>
                <w:szCs w:val="17"/>
                <w:color w:val="auto"/>
              </w:rPr>
            </w:pPr>
          </w:p>
        </w:tc>
        <w:tc>
          <w:tcPr>
            <w:tcW w:w="9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reference to Exhibit 10.1 of the Registrant’s Form 8-K (File No. 001-36510) filed May 30, 2018)</w:t>
              </w:r>
            </w:hyperlink>
          </w:p>
        </w:tc>
        <w:tc>
          <w:tcPr>
            <w:tcW w:w="320" w:type="dxa"/>
            <w:vAlign w:val="bottom"/>
            <w:gridSpan w:val="8"/>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67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10.30</w:t>
            </w:r>
          </w:p>
        </w:tc>
        <w:tc>
          <w:tcPr>
            <w:tcW w:w="10160" w:type="dxa"/>
            <w:vAlign w:val="bottom"/>
            <w:tcBorders>
              <w:bottom w:val="single" w:sz="8" w:color="0000EE"/>
            </w:tcBorders>
            <w:gridSpan w:val="23"/>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Severance and Change in Control Agreement by and between Zafgen, Inc. and Brian P. McVeigh, effective as of May 29, 2018 (incorporated</w:t>
              </w:r>
            </w:hyperlink>
          </w:p>
        </w:tc>
        <w:tc>
          <w:tcPr>
            <w:tcW w:w="1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by reference to Exhibit 10.2 of the Registrant’s Form 8-K (File No. 001-36510) filed May 30, 2018)</w:t>
              </w:r>
            </w:hyperlink>
          </w:p>
        </w:tc>
      </w:tr>
      <w:tr>
        <w:trPr>
          <w:trHeight w:val="20"/>
        </w:trPr>
        <w:tc>
          <w:tcPr>
            <w:tcW w:w="1180" w:type="dxa"/>
            <w:vAlign w:val="bottom"/>
          </w:tcPr>
          <w:p>
            <w:pPr>
              <w:spacing w:after="0" w:line="20" w:lineRule="exact"/>
              <w:rPr>
                <w:sz w:val="1"/>
                <w:szCs w:val="1"/>
                <w:color w:val="auto"/>
              </w:rPr>
            </w:pPr>
          </w:p>
        </w:tc>
        <w:tc>
          <w:tcPr>
            <w:tcW w:w="67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10.31</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Non-Qualified Stock Option Agreement Inducement Award by and between Registrant and Brian P. McVeigh granted on May 29, 2018</w:t>
              </w:r>
            </w:hyperlink>
          </w:p>
        </w:tc>
        <w:tc>
          <w:tcPr>
            <w:tcW w:w="500" w:type="dxa"/>
            <w:vAlign w:val="bottom"/>
            <w:gridSpan w:val="10"/>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84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(incorporated by reference to Exhibit 10.3 of the Registrant’s Form 10-Q (File No. 001-36510) filed August 9, 2018)</w:t>
              </w:r>
            </w:hyperlink>
          </w:p>
        </w:tc>
        <w:tc>
          <w:tcPr>
            <w:tcW w:w="1840" w:type="dxa"/>
            <w:vAlign w:val="bottom"/>
            <w:gridSpan w:val="15"/>
          </w:tcPr>
          <w:p>
            <w:pPr>
              <w:spacing w:after="0"/>
              <w:rPr>
                <w:sz w:val="17"/>
                <w:szCs w:val="17"/>
                <w:color w:val="auto"/>
              </w:rPr>
            </w:pPr>
          </w:p>
        </w:tc>
      </w:tr>
      <w:tr>
        <w:trPr>
          <w:trHeight w:val="318"/>
        </w:trPr>
        <w:tc>
          <w:tcPr>
            <w:tcW w:w="1180" w:type="dxa"/>
            <w:vAlign w:val="bottom"/>
          </w:tcPr>
          <w:p>
            <w:pPr>
              <w:ind w:left="140"/>
              <w:spacing w:after="0"/>
              <w:rPr>
                <w:sz w:val="20"/>
                <w:szCs w:val="20"/>
                <w:color w:val="auto"/>
              </w:rPr>
            </w:pPr>
            <w:r>
              <w:rPr>
                <w:rFonts w:ascii="Arial" w:cs="Arial" w:eastAsia="Arial" w:hAnsi="Arial"/>
                <w:sz w:val="18"/>
                <w:szCs w:val="18"/>
                <w:color w:val="auto"/>
              </w:rPr>
              <w:t>10.32</w:t>
            </w:r>
          </w:p>
        </w:tc>
        <w:tc>
          <w:tcPr>
            <w:tcW w:w="9900" w:type="dxa"/>
            <w:vAlign w:val="bottom"/>
            <w:tcBorders>
              <w:bottom w:val="single" w:sz="8" w:color="0000EE"/>
            </w:tcBorders>
            <w:gridSpan w:val="17"/>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First Amendment to Severance and Change-in-Control Agreement by and between Registrant and Brian P. McVeigh dated September 12,</w:t>
              </w:r>
            </w:hyperlink>
          </w:p>
        </w:tc>
        <w:tc>
          <w:tcPr>
            <w:tcW w:w="36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2019 (incorporated by reference to Exhibit 10.3 of the Registrant’s Current Report on Form 8-K (File No. 001-36510) filed on September 10,</w:t>
              </w:r>
            </w:hyperlink>
          </w:p>
        </w:tc>
      </w:tr>
      <w:tr>
        <w:trPr>
          <w:trHeight w:val="196"/>
        </w:trPr>
        <w:tc>
          <w:tcPr>
            <w:tcW w:w="11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60">
              <w:r>
                <w:rPr>
                  <w:rFonts w:ascii="Arial" w:cs="Arial" w:eastAsia="Arial" w:hAnsi="Arial"/>
                  <w:sz w:val="18"/>
                  <w:szCs w:val="18"/>
                  <w:color w:val="0000EE"/>
                  <w:w w:val="86"/>
                </w:rPr>
                <w:t>2019)</w:t>
              </w:r>
            </w:hyperlink>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80" w:type="dxa"/>
            <w:vAlign w:val="bottom"/>
          </w:tcPr>
          <w:p>
            <w:pPr>
              <w:ind w:left="140"/>
              <w:spacing w:after="0"/>
              <w:rPr>
                <w:sz w:val="20"/>
                <w:szCs w:val="20"/>
                <w:color w:val="auto"/>
              </w:rPr>
            </w:pPr>
            <w:r>
              <w:rPr>
                <w:rFonts w:ascii="Arial" w:cs="Arial" w:eastAsia="Arial" w:hAnsi="Arial"/>
                <w:sz w:val="18"/>
                <w:szCs w:val="18"/>
                <w:color w:val="auto"/>
              </w:rPr>
              <w:t>10.33</w:t>
            </w:r>
          </w:p>
        </w:tc>
        <w:tc>
          <w:tcPr>
            <w:tcW w:w="10260" w:type="dxa"/>
            <w:vAlign w:val="bottom"/>
            <w:gridSpan w:val="26"/>
          </w:tcPr>
          <w:p>
            <w:pPr>
              <w:spacing w:after="0"/>
              <w:rPr>
                <w:rFonts w:ascii="Arial" w:cs="Arial" w:eastAsia="Arial" w:hAnsi="Arial"/>
                <w:sz w:val="18"/>
                <w:szCs w:val="18"/>
                <w:color w:val="0000EE"/>
                <w:w w:val="98"/>
              </w:rPr>
            </w:pPr>
            <w:hyperlink r:id="rId161">
              <w:r>
                <w:rPr>
                  <w:rFonts w:ascii="Arial" w:cs="Arial" w:eastAsia="Arial" w:hAnsi="Arial"/>
                  <w:sz w:val="18"/>
                  <w:szCs w:val="18"/>
                  <w:color w:val="0000EE"/>
                  <w:w w:val="98"/>
                </w:rPr>
                <w:t>Employment Offer Letter Agreement by and between the Registrant and Priya Singhal, M.D., M.P.H., effective as of March 4, 2019</w:t>
              </w:r>
            </w:hyperlink>
          </w:p>
        </w:tc>
      </w:tr>
      <w:tr>
        <w:trPr>
          <w:trHeight w:val="196"/>
        </w:trPr>
        <w:tc>
          <w:tcPr>
            <w:tcW w:w="1180" w:type="dxa"/>
            <w:vAlign w:val="bottom"/>
          </w:tcPr>
          <w:p>
            <w:pPr>
              <w:spacing w:after="0"/>
              <w:rPr>
                <w:sz w:val="17"/>
                <w:szCs w:val="17"/>
                <w:color w:val="auto"/>
              </w:rPr>
            </w:pPr>
          </w:p>
        </w:tc>
        <w:tc>
          <w:tcPr>
            <w:tcW w:w="95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(incorporated herein by reference to Exhibit 10.1 of the Registrant’s Form 10-Q filed on May 9, 2019)</w:t>
              </w:r>
            </w:hyperlink>
          </w:p>
        </w:tc>
        <w:tc>
          <w:tcPr>
            <w:tcW w:w="760" w:type="dxa"/>
            <w:vAlign w:val="bottom"/>
            <w:gridSpan w:val="1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7360" w:type="dxa"/>
            <w:vAlign w:val="bottom"/>
            <w:gridSpan w:val="7"/>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180" w:type="dxa"/>
            <w:vAlign w:val="bottom"/>
          </w:tcPr>
          <w:p>
            <w:pPr>
              <w:ind w:left="140"/>
              <w:spacing w:after="0"/>
              <w:rPr>
                <w:sz w:val="20"/>
                <w:szCs w:val="20"/>
                <w:color w:val="auto"/>
              </w:rPr>
            </w:pPr>
            <w:r>
              <w:rPr>
                <w:rFonts w:ascii="Arial" w:cs="Arial" w:eastAsia="Arial" w:hAnsi="Arial"/>
                <w:sz w:val="18"/>
                <w:szCs w:val="18"/>
                <w:color w:val="auto"/>
              </w:rPr>
              <w:t>10.34</w:t>
            </w:r>
          </w:p>
        </w:tc>
        <w:tc>
          <w:tcPr>
            <w:tcW w:w="10260" w:type="dxa"/>
            <w:vAlign w:val="bottom"/>
            <w:gridSpan w:val="26"/>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Severance and Change in Control Agreement by and between the Registrant and Priya Singhal, M.D., M.P.H., effective as of March 4, 2019</w:t>
              </w:r>
            </w:hyperlink>
          </w:p>
        </w:tc>
      </w:tr>
      <w:tr>
        <w:trPr>
          <w:trHeight w:val="196"/>
        </w:trPr>
        <w:tc>
          <w:tcPr>
            <w:tcW w:w="1180" w:type="dxa"/>
            <w:vAlign w:val="bottom"/>
          </w:tcPr>
          <w:p>
            <w:pPr>
              <w:spacing w:after="0"/>
              <w:rPr>
                <w:sz w:val="17"/>
                <w:szCs w:val="17"/>
                <w:color w:val="auto"/>
              </w:rPr>
            </w:pPr>
          </w:p>
        </w:tc>
        <w:tc>
          <w:tcPr>
            <w:tcW w:w="10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(incorporated herein by reference to Exhibit 10.2 of the Registrant’s Form 10-Q filed on May 9, 2019)</w:t>
              </w:r>
            </w:hyperlink>
          </w:p>
        </w:tc>
        <w:tc>
          <w:tcPr>
            <w:tcW w:w="180" w:type="dxa"/>
            <w:vAlign w:val="bottom"/>
            <w:gridSpan w:val="5"/>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7360" w:type="dxa"/>
            <w:vAlign w:val="bottom"/>
            <w:gridSpan w:val="7"/>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180" w:type="dxa"/>
            <w:vAlign w:val="bottom"/>
          </w:tcPr>
          <w:p>
            <w:pPr>
              <w:ind w:left="140"/>
              <w:spacing w:after="0"/>
              <w:rPr>
                <w:sz w:val="20"/>
                <w:szCs w:val="20"/>
                <w:color w:val="auto"/>
              </w:rPr>
            </w:pPr>
            <w:r>
              <w:rPr>
                <w:rFonts w:ascii="Arial" w:cs="Arial" w:eastAsia="Arial" w:hAnsi="Arial"/>
                <w:sz w:val="18"/>
                <w:szCs w:val="18"/>
                <w:color w:val="auto"/>
              </w:rPr>
              <w:t>10.35*</w:t>
            </w:r>
          </w:p>
        </w:tc>
        <w:tc>
          <w:tcPr>
            <w:tcW w:w="10260" w:type="dxa"/>
            <w:vAlign w:val="bottom"/>
            <w:gridSpan w:val="26"/>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First Amendment to Severance and Change-in-Control Agreement by and between Registrant and Priya Singhal dated September 12, 2019</w:t>
              </w:r>
            </w:hyperlink>
          </w:p>
        </w:tc>
      </w:tr>
      <w:tr>
        <w:trPr>
          <w:trHeight w:val="20"/>
        </w:trPr>
        <w:tc>
          <w:tcPr>
            <w:tcW w:w="1180" w:type="dxa"/>
            <w:vAlign w:val="bottom"/>
          </w:tcPr>
          <w:p>
            <w:pPr>
              <w:spacing w:after="0" w:line="20" w:lineRule="exact"/>
              <w:rPr>
                <w:sz w:val="1"/>
                <w:szCs w:val="1"/>
                <w:color w:val="auto"/>
              </w:rPr>
            </w:pPr>
          </w:p>
        </w:tc>
        <w:tc>
          <w:tcPr>
            <w:tcW w:w="7940" w:type="dxa"/>
            <w:vAlign w:val="bottom"/>
            <w:gridSpan w:val="10"/>
            <w:shd w:val="clear" w:color="auto" w:fill="0000EE"/>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180" w:type="dxa"/>
            <w:vAlign w:val="bottom"/>
          </w:tcPr>
          <w:p>
            <w:pPr>
              <w:ind w:left="140"/>
              <w:spacing w:after="0"/>
              <w:rPr>
                <w:sz w:val="20"/>
                <w:szCs w:val="20"/>
                <w:color w:val="auto"/>
              </w:rPr>
            </w:pPr>
            <w:r>
              <w:rPr>
                <w:rFonts w:ascii="Arial" w:cs="Arial" w:eastAsia="Arial" w:hAnsi="Arial"/>
                <w:sz w:val="18"/>
                <w:szCs w:val="18"/>
                <w:color w:val="auto"/>
              </w:rPr>
              <w:t>10.36</w:t>
            </w:r>
          </w:p>
        </w:tc>
        <w:tc>
          <w:tcPr>
            <w:tcW w:w="10160" w:type="dxa"/>
            <w:vAlign w:val="bottom"/>
            <w:tcBorders>
              <w:bottom w:val="single" w:sz="8" w:color="0000EE"/>
            </w:tcBorders>
            <w:gridSpan w:val="23"/>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Non-Qualified Stock Option Agreement Inducement Award by and between the Registrant and Priya Singhal, M.D., M.P.H. granted on April</w:t>
              </w:r>
            </w:hyperlink>
          </w:p>
        </w:tc>
        <w:tc>
          <w:tcPr>
            <w:tcW w:w="1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2, 2019 (incorporated herein by reference to Exhibit 10.3 of the Registrant’s Form 10-Q filed on May 9, 2019)</w:t>
              </w:r>
            </w:hyperlink>
          </w:p>
        </w:tc>
      </w:tr>
      <w:tr>
        <w:trPr>
          <w:trHeight w:val="669"/>
        </w:trPr>
        <w:tc>
          <w:tcPr>
            <w:tcW w:w="1180" w:type="dxa"/>
            <w:vAlign w:val="bottom"/>
          </w:tcPr>
          <w:p>
            <w:pPr>
              <w:spacing w:after="0"/>
              <w:rPr>
                <w:sz w:val="24"/>
                <w:szCs w:val="24"/>
                <w:color w:val="auto"/>
              </w:rPr>
            </w:pPr>
          </w:p>
        </w:tc>
        <w:tc>
          <w:tcPr>
            <w:tcW w:w="6740" w:type="dxa"/>
            <w:vAlign w:val="bottom"/>
            <w:tcBorders>
              <w:top w:val="single" w:sz="8" w:color="0000EE"/>
            </w:tcBorders>
            <w:gridSpan w:val="4"/>
          </w:tcPr>
          <w:p>
            <w:pPr>
              <w:ind w:left="4440"/>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1180" w:type="dxa"/>
            <w:vAlign w:val="bottom"/>
            <w:gridSpan w:val="2"/>
          </w:tcPr>
          <w:p>
            <w:pPr>
              <w:ind w:left="140"/>
              <w:spacing w:after="0"/>
              <w:rPr>
                <w:sz w:val="20"/>
                <w:szCs w:val="20"/>
                <w:color w:val="auto"/>
              </w:rPr>
            </w:pPr>
            <w:r>
              <w:rPr>
                <w:rFonts w:ascii="Arial" w:cs="Arial" w:eastAsia="Arial" w:hAnsi="Arial"/>
                <w:sz w:val="18"/>
                <w:szCs w:val="18"/>
                <w:color w:val="auto"/>
              </w:rPr>
              <w:t>10.37</w:t>
            </w:r>
            <w:r>
              <w:rPr>
                <w:rFonts w:ascii="Arial" w:cs="Arial" w:eastAsia="Arial" w:hAnsi="Arial"/>
                <w:sz w:val="21"/>
                <w:szCs w:val="21"/>
                <w:color w:val="auto"/>
              </w:rPr>
              <w:t>†</w:t>
            </w:r>
          </w:p>
        </w:tc>
        <w:tc>
          <w:tcPr>
            <w:tcW w:w="10200" w:type="dxa"/>
            <w:vAlign w:val="bottom"/>
            <w:tcBorders>
              <w:bottom w:val="single" w:sz="8" w:color="0000EE"/>
            </w:tcBorders>
            <w:gridSpan w:val="11"/>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Commercial Lease by and between the Registrant and Shigo Center Plaza Owner, LLC dated as of February 12, 2019 (incorporated herein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13"/>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reference to Exhibit 10.4 of the Registrant’s Form 10-Q filed on May 9, 2019)</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4"/>
                <w:szCs w:val="24"/>
                <w:color w:val="auto"/>
              </w:rPr>
            </w:pPr>
          </w:p>
        </w:tc>
        <w:tc>
          <w:tcPr>
            <w:tcW w:w="10240" w:type="dxa"/>
            <w:vAlign w:val="bottom"/>
            <w:gridSpan w:val="13"/>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Letter of Edelstein and Company LLP (incorporated by reference to Exhibit 16.1 of the Registrant’s Registration Statement on Form S-1 (File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No. 333-201439) filed on January 12, 2015)</w:t>
              </w:r>
            </w:hyperlink>
          </w:p>
        </w:tc>
        <w:tc>
          <w:tcPr>
            <w:tcW w:w="20" w:type="dxa"/>
            <w:vAlign w:val="bottom"/>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3180" w:type="dxa"/>
            <w:vAlign w:val="bottom"/>
            <w:tcBorders>
              <w:top w:val="single" w:sz="8" w:color="0000EE"/>
            </w:tcBorders>
            <w:gridSpan w:val="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Subsidiaries of the Registrant</w:t>
              </w:r>
            </w:hyperlink>
          </w:p>
        </w:tc>
        <w:tc>
          <w:tcPr>
            <w:tcW w:w="7060" w:type="dxa"/>
            <w:vAlign w:val="bottom"/>
            <w:gridSpan w:val="11"/>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63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Consent of PricewaterhouseCoopers LLP, independent registered public accounting firm</w:t>
              </w:r>
            </w:hyperlink>
          </w:p>
        </w:tc>
        <w:tc>
          <w:tcPr>
            <w:tcW w:w="3860" w:type="dxa"/>
            <w:vAlign w:val="bottom"/>
            <w:gridSpan w:val="6"/>
          </w:tcPr>
          <w:p>
            <w:pPr>
              <w:spacing w:after="0"/>
              <w:rPr>
                <w:sz w:val="24"/>
                <w:szCs w:val="24"/>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Certification of Principal Executive Officer pursuant to Rule 13a-14(a) or Rule 15d-14(a) of the Securities Exchange Act of 1934, as adopted</w:t>
              </w:r>
            </w:hyperlink>
          </w:p>
        </w:tc>
        <w:tc>
          <w:tcPr>
            <w:tcW w:w="6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pursuant to Section 302 of the Sarbanes-Oxley Act of 2002.</w:t>
              </w:r>
            </w:hyperlink>
          </w:p>
        </w:tc>
        <w:tc>
          <w:tcPr>
            <w:tcW w:w="5920" w:type="dxa"/>
            <w:vAlign w:val="bottom"/>
            <w:gridSpan w:val="8"/>
          </w:tcPr>
          <w:p>
            <w:pPr>
              <w:spacing w:after="0"/>
              <w:rPr>
                <w:sz w:val="17"/>
                <w:szCs w:val="17"/>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240" w:type="dxa"/>
            <w:vAlign w:val="bottom"/>
            <w:gridSpan w:val="13"/>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Certification of Principal Financial Officer pursuant to Rule 13a-14(a) or Rule 15d-14(a) of the Securities Exchange Act of 1934, as adopted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pursuant to Section 302 of the Sarbanes-Oxley Act of 2002</w:t>
              </w:r>
            </w:hyperlink>
          </w:p>
        </w:tc>
        <w:tc>
          <w:tcPr>
            <w:tcW w:w="12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240" w:type="dxa"/>
            <w:vAlign w:val="bottom"/>
            <w:gridSpan w:val="13"/>
          </w:tcPr>
          <w:p>
            <w:pPr>
              <w:spacing w:after="0"/>
              <w:rPr>
                <w:rFonts w:ascii="Arial" w:cs="Arial" w:eastAsia="Arial" w:hAnsi="Arial"/>
                <w:sz w:val="18"/>
                <w:szCs w:val="18"/>
                <w:color w:val="0000EE"/>
                <w:w w:val="96"/>
              </w:rPr>
            </w:pPr>
            <w:hyperlink w:anchor="page112">
              <w:r>
                <w:rPr>
                  <w:rFonts w:ascii="Arial" w:cs="Arial" w:eastAsia="Arial" w:hAnsi="Arial"/>
                  <w:sz w:val="18"/>
                  <w:szCs w:val="18"/>
                  <w:color w:val="0000EE"/>
                  <w:w w:val="96"/>
                </w:rPr>
                <w:t>Certification of Principal Executive Officer and Principal Financial Officer pursuant to 18 U.S.C. Section 1350, as adopted pursuant to</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Section 906 of the Sarbanes-Oxley Act of 2002</w:t>
              </w:r>
            </w:hyperlink>
          </w:p>
        </w:tc>
        <w:tc>
          <w:tcPr>
            <w:tcW w:w="6280" w:type="dxa"/>
            <w:vAlign w:val="bottom"/>
            <w:tcBorders>
              <w:top w:val="single" w:sz="8" w:color="0000EE"/>
            </w:tcBorders>
            <w:gridSpan w:val="5"/>
          </w:tcPr>
          <w:p>
            <w:pPr>
              <w:spacing w:after="0"/>
              <w:rPr>
                <w:sz w:val="17"/>
                <w:szCs w:val="17"/>
                <w:color w:val="auto"/>
              </w:rPr>
            </w:pPr>
          </w:p>
        </w:tc>
        <w:tc>
          <w:tcPr>
            <w:tcW w:w="540" w:type="dxa"/>
            <w:vAlign w:val="bottom"/>
            <w:gridSpan w:val="5"/>
          </w:tcPr>
          <w:p>
            <w:pPr>
              <w:spacing w:after="0"/>
              <w:rPr>
                <w:sz w:val="17"/>
                <w:szCs w:val="17"/>
                <w:color w:val="auto"/>
              </w:rPr>
            </w:pPr>
          </w:p>
        </w:tc>
      </w:tr>
      <w:tr>
        <w:trPr>
          <w:trHeight w:val="344"/>
        </w:trPr>
        <w:tc>
          <w:tcPr>
            <w:tcW w:w="1020" w:type="dxa"/>
            <w:vAlign w:val="bottom"/>
          </w:tcPr>
          <w:p>
            <w:pPr>
              <w:ind w:left="1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240" w:type="dxa"/>
            <w:vAlign w:val="bottom"/>
            <w:gridSpan w:val="13"/>
          </w:tcPr>
          <w:p>
            <w:pPr>
              <w:spacing w:after="0"/>
              <w:rPr>
                <w:sz w:val="20"/>
                <w:szCs w:val="20"/>
                <w:color w:val="auto"/>
              </w:rPr>
            </w:pPr>
            <w:r>
              <w:rPr>
                <w:rFonts w:ascii="Arial" w:cs="Arial" w:eastAsia="Arial" w:hAnsi="Arial"/>
                <w:sz w:val="18"/>
                <w:szCs w:val="18"/>
                <w:color w:val="auto"/>
                <w:w w:val="90"/>
              </w:rPr>
              <w:t>Interactive Data Files regarding (a) our Consolidated Balance Sheets as of December 31, 2019 and 2018, (b) our Consolidated Statements of</w:t>
            </w:r>
          </w:p>
        </w:tc>
      </w:tr>
      <w:tr>
        <w:trPr>
          <w:trHeight w:val="216"/>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gridSpan w:val="13"/>
          </w:tcPr>
          <w:p>
            <w:pPr>
              <w:spacing w:after="0"/>
              <w:rPr>
                <w:sz w:val="20"/>
                <w:szCs w:val="20"/>
                <w:color w:val="auto"/>
              </w:rPr>
            </w:pPr>
            <w:r>
              <w:rPr>
                <w:rFonts w:ascii="Arial" w:cs="Arial" w:eastAsia="Arial" w:hAnsi="Arial"/>
                <w:sz w:val="18"/>
                <w:szCs w:val="18"/>
                <w:color w:val="auto"/>
                <w:w w:val="89"/>
              </w:rPr>
              <w:t>Operations and Comprehensive Loss for the Years Ended December 31, 2019, 2018 and 2017, (c) our Consolidated Statements of Changes in</w:t>
            </w:r>
          </w:p>
        </w:tc>
      </w:tr>
      <w:tr>
        <w:trPr>
          <w:trHeight w:val="216"/>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gridSpan w:val="13"/>
          </w:tcPr>
          <w:p>
            <w:pPr>
              <w:spacing w:after="0"/>
              <w:rPr>
                <w:sz w:val="20"/>
                <w:szCs w:val="20"/>
                <w:color w:val="auto"/>
              </w:rPr>
            </w:pPr>
            <w:r>
              <w:rPr>
                <w:rFonts w:ascii="Arial" w:cs="Arial" w:eastAsia="Arial" w:hAnsi="Arial"/>
                <w:sz w:val="18"/>
                <w:szCs w:val="18"/>
                <w:color w:val="auto"/>
                <w:w w:val="92"/>
              </w:rPr>
              <w:t>Stockholders’ Equity, (d) our Consolidated Statements of Cash Flows for the Years Ended December 31, 2019, 2018 and 2017 and (e) the</w:t>
            </w:r>
          </w:p>
        </w:tc>
      </w:tr>
      <w:tr>
        <w:trPr>
          <w:trHeight w:val="230"/>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40" w:type="dxa"/>
            <w:vAlign w:val="bottom"/>
            <w:gridSpan w:val="13"/>
          </w:tcPr>
          <w:p>
            <w:pPr>
              <w:spacing w:after="0"/>
              <w:rPr>
                <w:sz w:val="20"/>
                <w:szCs w:val="20"/>
                <w:color w:val="auto"/>
              </w:rPr>
            </w:pPr>
            <w:r>
              <w:rPr>
                <w:rFonts w:ascii="Arial" w:cs="Arial" w:eastAsia="Arial" w:hAnsi="Arial"/>
                <w:sz w:val="18"/>
                <w:szCs w:val="18"/>
                <w:color w:val="auto"/>
              </w:rPr>
              <w:t>Notes to such Consolidated Financial Statements</w:t>
            </w:r>
          </w:p>
        </w:tc>
      </w:tr>
    </w:tbl>
    <w:p>
      <w:pPr>
        <w:spacing w:after="0" w:line="229"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60" w:hanging="55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confidential portions have been omitted from this exhibit.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Represents management compensation 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Pr>
          <w:p>
            <w:pPr>
              <w:spacing w:after="0"/>
              <w:rPr>
                <w:sz w:val="21"/>
                <w:szCs w:val="21"/>
                <w:color w:val="auto"/>
              </w:rPr>
            </w:pPr>
          </w:p>
        </w:tc>
        <w:tc>
          <w:tcPr>
            <w:tcW w:w="7880" w:type="dxa"/>
            <w:vAlign w:val="bottom"/>
            <w:gridSpan w:val="2"/>
          </w:tcPr>
          <w:p>
            <w:pPr>
              <w:ind w:left="1920"/>
              <w:spacing w:after="0"/>
              <w:rPr>
                <w:sz w:val="20"/>
                <w:szCs w:val="20"/>
                <w:color w:val="auto"/>
              </w:rPr>
            </w:pPr>
            <w:r>
              <w:rPr>
                <w:rFonts w:ascii="Arial" w:cs="Arial" w:eastAsia="Arial" w:hAnsi="Arial"/>
                <w:sz w:val="20"/>
                <w:szCs w:val="20"/>
                <w:color w:val="auto"/>
              </w:rPr>
              <w:t>ZAFGEN, INC.</w:t>
            </w:r>
          </w:p>
        </w:tc>
      </w:tr>
      <w:tr>
        <w:trPr>
          <w:trHeight w:val="482"/>
        </w:trPr>
        <w:tc>
          <w:tcPr>
            <w:tcW w:w="3540" w:type="dxa"/>
            <w:vAlign w:val="bottom"/>
          </w:tcPr>
          <w:p>
            <w:pPr>
              <w:spacing w:after="0"/>
              <w:rPr>
                <w:sz w:val="20"/>
                <w:szCs w:val="20"/>
                <w:color w:val="auto"/>
              </w:rPr>
            </w:pPr>
            <w:r>
              <w:rPr>
                <w:rFonts w:ascii="Arial" w:cs="Arial" w:eastAsia="Arial" w:hAnsi="Arial"/>
                <w:sz w:val="20"/>
                <w:szCs w:val="20"/>
                <w:color w:val="auto"/>
              </w:rPr>
              <w:t>Date: March 5, 2020</w:t>
            </w:r>
          </w:p>
        </w:tc>
        <w:tc>
          <w:tcPr>
            <w:tcW w:w="7880" w:type="dxa"/>
            <w:vAlign w:val="bottom"/>
            <w:gridSpan w:val="2"/>
          </w:tcPr>
          <w:p>
            <w:pPr>
              <w:ind w:left="1920"/>
              <w:spacing w:after="0"/>
              <w:rPr>
                <w:sz w:val="20"/>
                <w:szCs w:val="20"/>
                <w:color w:val="auto"/>
              </w:rPr>
            </w:pPr>
            <w:r>
              <w:rPr>
                <w:rFonts w:ascii="Arial" w:cs="Arial" w:eastAsia="Arial" w:hAnsi="Arial"/>
                <w:sz w:val="20"/>
                <w:szCs w:val="20"/>
                <w:color w:val="auto"/>
              </w:rPr>
              <w:t>By: /s/ Jeffrey Hatfield</w:t>
            </w:r>
          </w:p>
        </w:tc>
      </w:tr>
      <w:tr>
        <w:trPr>
          <w:trHeight w:val="220"/>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4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Jeffrey Hatfield</w:t>
            </w:r>
          </w:p>
        </w:tc>
      </w:tr>
      <w:tr>
        <w:trPr>
          <w:trHeight w:val="230"/>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Chief Executive Officer</w:t>
            </w:r>
          </w:p>
        </w:tc>
      </w:tr>
      <w:tr>
        <w:trPr>
          <w:trHeight w:val="250"/>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(Principal Executive Officer)</w:t>
            </w:r>
          </w:p>
        </w:tc>
      </w:tr>
      <w:tr>
        <w:trPr>
          <w:trHeight w:val="469"/>
        </w:trPr>
        <w:tc>
          <w:tcPr>
            <w:tcW w:w="3540" w:type="dxa"/>
            <w:vAlign w:val="bottom"/>
          </w:tcPr>
          <w:p>
            <w:pPr>
              <w:spacing w:after="0"/>
              <w:rPr>
                <w:sz w:val="20"/>
                <w:szCs w:val="20"/>
                <w:color w:val="auto"/>
              </w:rPr>
            </w:pPr>
            <w:r>
              <w:rPr>
                <w:rFonts w:ascii="Arial" w:cs="Arial" w:eastAsia="Arial" w:hAnsi="Arial"/>
                <w:sz w:val="20"/>
                <w:szCs w:val="20"/>
                <w:color w:val="auto"/>
              </w:rPr>
              <w:t>Date: March 5, 2020</w:t>
            </w:r>
          </w:p>
        </w:tc>
        <w:tc>
          <w:tcPr>
            <w:tcW w:w="7880" w:type="dxa"/>
            <w:vAlign w:val="bottom"/>
            <w:gridSpan w:val="2"/>
          </w:tcPr>
          <w:p>
            <w:pPr>
              <w:ind w:left="1920"/>
              <w:spacing w:after="0"/>
              <w:rPr>
                <w:sz w:val="20"/>
                <w:szCs w:val="20"/>
                <w:color w:val="auto"/>
              </w:rPr>
            </w:pPr>
            <w:r>
              <w:rPr>
                <w:rFonts w:ascii="Arial" w:cs="Arial" w:eastAsia="Arial" w:hAnsi="Arial"/>
                <w:sz w:val="20"/>
                <w:szCs w:val="20"/>
                <w:color w:val="auto"/>
              </w:rPr>
              <w:t>By: /s/ Patricia L. Allen</w:t>
            </w:r>
          </w:p>
        </w:tc>
      </w:tr>
      <w:tr>
        <w:trPr>
          <w:trHeight w:val="220"/>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4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Patricia L. Allen</w:t>
            </w:r>
          </w:p>
        </w:tc>
      </w:tr>
      <w:tr>
        <w:trPr>
          <w:trHeight w:val="230"/>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Chief Financial Officer</w:t>
            </w:r>
          </w:p>
        </w:tc>
      </w:tr>
      <w:tr>
        <w:trPr>
          <w:trHeight w:val="250"/>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(Principal Financial and Accounting Officer)</w:t>
            </w:r>
          </w:p>
        </w:tc>
      </w:tr>
    </w:tbl>
    <w:p>
      <w:pPr>
        <w:spacing w:after="0" w:line="238"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Pr>
          <w:p>
            <w:pPr>
              <w:jc w:val="center"/>
              <w:ind w:left="11"/>
              <w:spacing w:after="0"/>
              <w:rPr>
                <w:sz w:val="20"/>
                <w:szCs w:val="20"/>
                <w:color w:val="auto"/>
              </w:rPr>
            </w:pPr>
            <w:r>
              <w:rPr>
                <w:rFonts w:ascii="Arial" w:cs="Arial" w:eastAsia="Arial" w:hAnsi="Arial"/>
                <w:sz w:val="14"/>
                <w:szCs w:val="14"/>
                <w:b w:val="1"/>
                <w:bCs w:val="1"/>
                <w:color w:val="auto"/>
                <w:w w:val="94"/>
              </w:rPr>
              <w:t>Name</w:t>
            </w:r>
          </w:p>
        </w:tc>
        <w:tc>
          <w:tcPr>
            <w:tcW w:w="3820" w:type="dxa"/>
            <w:vAlign w:val="bottom"/>
          </w:tcPr>
          <w:p>
            <w:pPr>
              <w:ind w:left="2160"/>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ind w:left="16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8"/>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4"/>
              </w:rPr>
              <w:t>/s/ Jeffrey Hatfield</w:t>
            </w:r>
          </w:p>
        </w:tc>
        <w:tc>
          <w:tcPr>
            <w:tcW w:w="3820" w:type="dxa"/>
            <w:vAlign w:val="bottom"/>
          </w:tcPr>
          <w:p>
            <w:pPr>
              <w:ind w:left="100"/>
              <w:spacing w:after="0"/>
              <w:rPr>
                <w:sz w:val="20"/>
                <w:szCs w:val="20"/>
                <w:color w:val="auto"/>
              </w:rPr>
            </w:pPr>
            <w:r>
              <w:rPr>
                <w:rFonts w:ascii="Arial" w:cs="Arial" w:eastAsia="Arial" w:hAnsi="Arial"/>
                <w:sz w:val="18"/>
                <w:szCs w:val="18"/>
                <w:color w:val="auto"/>
              </w:rPr>
              <w:t>Chief Executive Officer and</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8"/>
        </w:trPr>
        <w:tc>
          <w:tcPr>
            <w:tcW w:w="4820" w:type="dxa"/>
            <w:vAlign w:val="bottom"/>
            <w:tcBorders>
              <w:bottom w:val="single" w:sz="8" w:color="auto"/>
            </w:tcBorders>
          </w:tcPr>
          <w:p>
            <w:pPr>
              <w:spacing w:after="0"/>
              <w:rPr>
                <w:sz w:val="2"/>
                <w:szCs w:val="2"/>
                <w:color w:val="auto"/>
              </w:rPr>
            </w:pPr>
          </w:p>
        </w:tc>
        <w:tc>
          <w:tcPr>
            <w:tcW w:w="382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820" w:type="dxa"/>
            <w:vAlign w:val="bottom"/>
            <w:vMerge w:val="restart"/>
          </w:tcPr>
          <w:p>
            <w:pPr>
              <w:jc w:val="center"/>
              <w:ind w:left="11"/>
              <w:spacing w:after="0"/>
              <w:rPr>
                <w:sz w:val="20"/>
                <w:szCs w:val="20"/>
                <w:color w:val="auto"/>
              </w:rPr>
            </w:pPr>
            <w:r>
              <w:rPr>
                <w:rFonts w:ascii="Arial" w:cs="Arial" w:eastAsia="Arial" w:hAnsi="Arial"/>
                <w:sz w:val="18"/>
                <w:szCs w:val="18"/>
                <w:color w:val="auto"/>
                <w:w w:val="93"/>
              </w:rPr>
              <w:t>Jeffrey Hatfield</w:t>
            </w:r>
          </w:p>
        </w:tc>
        <w:tc>
          <w:tcPr>
            <w:tcW w:w="382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820" w:type="dxa"/>
            <w:vAlign w:val="bottom"/>
            <w:vMerge w:val="continue"/>
          </w:tcPr>
          <w:p>
            <w:pPr>
              <w:spacing w:after="0"/>
              <w:rPr>
                <w:sz w:val="7"/>
                <w:szCs w:val="7"/>
                <w:color w:val="auto"/>
              </w:rPr>
            </w:pPr>
          </w:p>
        </w:tc>
        <w:tc>
          <w:tcPr>
            <w:tcW w:w="382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3"/>
              </w:rPr>
              <w:t>/s/ Patricia L. Allen</w:t>
            </w:r>
          </w:p>
        </w:tc>
        <w:tc>
          <w:tcPr>
            <w:tcW w:w="38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8"/>
        </w:trPr>
        <w:tc>
          <w:tcPr>
            <w:tcW w:w="4820" w:type="dxa"/>
            <w:vAlign w:val="bottom"/>
            <w:tcBorders>
              <w:bottom w:val="single" w:sz="8" w:color="auto"/>
            </w:tcBorders>
          </w:tcPr>
          <w:p>
            <w:pPr>
              <w:spacing w:after="0"/>
              <w:rPr>
                <w:sz w:val="2"/>
                <w:szCs w:val="2"/>
                <w:color w:val="auto"/>
              </w:rPr>
            </w:pPr>
          </w:p>
        </w:tc>
        <w:tc>
          <w:tcPr>
            <w:tcW w:w="382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(Principal Financial and</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820" w:type="dxa"/>
            <w:vAlign w:val="bottom"/>
            <w:vMerge w:val="restart"/>
          </w:tcPr>
          <w:p>
            <w:pPr>
              <w:jc w:val="center"/>
              <w:ind w:left="11"/>
              <w:spacing w:after="0"/>
              <w:rPr>
                <w:sz w:val="20"/>
                <w:szCs w:val="20"/>
                <w:color w:val="auto"/>
              </w:rPr>
            </w:pPr>
            <w:r>
              <w:rPr>
                <w:rFonts w:ascii="Arial" w:cs="Arial" w:eastAsia="Arial" w:hAnsi="Arial"/>
                <w:sz w:val="18"/>
                <w:szCs w:val="18"/>
                <w:color w:val="auto"/>
                <w:w w:val="95"/>
              </w:rPr>
              <w:t>Patricia L. Allen</w:t>
            </w:r>
          </w:p>
        </w:tc>
        <w:tc>
          <w:tcPr>
            <w:tcW w:w="382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820" w:type="dxa"/>
            <w:vAlign w:val="bottom"/>
            <w:vMerge w:val="continue"/>
          </w:tcPr>
          <w:p>
            <w:pPr>
              <w:spacing w:after="0"/>
              <w:rPr>
                <w:sz w:val="7"/>
                <w:szCs w:val="7"/>
                <w:color w:val="auto"/>
              </w:rPr>
            </w:pPr>
          </w:p>
        </w:tc>
        <w:tc>
          <w:tcPr>
            <w:tcW w:w="382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Accounting Officer)</w:t>
            </w: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0"/>
              </w:rPr>
              <w:t>/s/ Peter Barrett, Ph.D.</w:t>
            </w:r>
          </w:p>
        </w:tc>
        <w:tc>
          <w:tcPr>
            <w:tcW w:w="382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89"/>
              </w:rPr>
              <w:t>Peter Barrett, Ph.D.</w:t>
            </w:r>
          </w:p>
        </w:tc>
        <w:tc>
          <w:tcPr>
            <w:tcW w:w="3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2"/>
              </w:rPr>
              <w:t>/s/ Thomas O. Daniel, M.D.</w:t>
            </w:r>
          </w:p>
        </w:tc>
        <w:tc>
          <w:tcPr>
            <w:tcW w:w="38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3"/>
              </w:rPr>
              <w:t>Thomas O. Daniel, M.D.</w:t>
            </w:r>
          </w:p>
        </w:tc>
        <w:tc>
          <w:tcPr>
            <w:tcW w:w="3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0"/>
              </w:rPr>
              <w:t>/s/ Wendy Everett</w:t>
            </w:r>
          </w:p>
        </w:tc>
        <w:tc>
          <w:tcPr>
            <w:tcW w:w="38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0"/>
              </w:rPr>
              <w:t>Wendy Everett Sc.D.</w:t>
            </w:r>
          </w:p>
        </w:tc>
        <w:tc>
          <w:tcPr>
            <w:tcW w:w="3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1"/>
              </w:rPr>
              <w:t>/s/ John L. LaMattina, Ph.D.</w:t>
            </w:r>
          </w:p>
        </w:tc>
        <w:tc>
          <w:tcPr>
            <w:tcW w:w="38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2"/>
              </w:rPr>
              <w:t>John L. LaMattina, Ph.D.</w:t>
            </w:r>
          </w:p>
        </w:tc>
        <w:tc>
          <w:tcPr>
            <w:tcW w:w="3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/s/ Cameron Geoffrey McDonough, M.D.</w:t>
            </w:r>
          </w:p>
        </w:tc>
        <w:tc>
          <w:tcPr>
            <w:tcW w:w="38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92"/>
              </w:rPr>
              <w:t>Cameron Geoffrey McDonough, M.D.</w:t>
            </w:r>
          </w:p>
        </w:tc>
        <w:tc>
          <w:tcPr>
            <w:tcW w:w="3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88"/>
              </w:rPr>
              <w:t>/s/ Robert J. Perez</w:t>
            </w:r>
          </w:p>
        </w:tc>
        <w:tc>
          <w:tcPr>
            <w:tcW w:w="38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86"/>
              </w:rPr>
              <w:t>Robert J. Perez</w:t>
            </w:r>
          </w:p>
        </w:tc>
        <w:tc>
          <w:tcPr>
            <w:tcW w:w="3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E. Thomas</w:t>
            </w:r>
          </w:p>
        </w:tc>
        <w:tc>
          <w:tcPr>
            <w:tcW w:w="38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160"/>
              <w:spacing w:after="0"/>
              <w:rPr>
                <w:sz w:val="20"/>
                <w:szCs w:val="20"/>
                <w:color w:val="auto"/>
              </w:rPr>
            </w:pPr>
            <w:r>
              <w:rPr>
                <w:rFonts w:ascii="Arial" w:cs="Arial" w:eastAsia="Arial" w:hAnsi="Arial"/>
                <w:sz w:val="18"/>
                <w:szCs w:val="18"/>
                <w:color w:val="auto"/>
                <w:w w:val="88"/>
              </w:rPr>
              <w:t>March 5, 2020</w:t>
            </w:r>
          </w:p>
        </w:tc>
        <w:tc>
          <w:tcPr>
            <w:tcW w:w="0" w:type="dxa"/>
            <w:vAlign w:val="bottom"/>
          </w:tcPr>
          <w:p>
            <w:pPr>
              <w:spacing w:after="0"/>
              <w:rPr>
                <w:sz w:val="1"/>
                <w:szCs w:val="1"/>
                <w:color w:val="auto"/>
              </w:rPr>
            </w:pPr>
          </w:p>
        </w:tc>
      </w:tr>
      <w:tr>
        <w:trPr>
          <w:trHeight w:val="257"/>
        </w:trPr>
        <w:tc>
          <w:tcPr>
            <w:tcW w:w="4820" w:type="dxa"/>
            <w:vAlign w:val="bottom"/>
          </w:tcPr>
          <w:p>
            <w:pPr>
              <w:jc w:val="center"/>
              <w:ind w:left="11"/>
              <w:spacing w:after="0"/>
              <w:rPr>
                <w:sz w:val="20"/>
                <w:szCs w:val="20"/>
                <w:color w:val="auto"/>
              </w:rPr>
            </w:pPr>
            <w:r>
              <w:rPr>
                <w:rFonts w:ascii="Arial" w:cs="Arial" w:eastAsia="Arial" w:hAnsi="Arial"/>
                <w:sz w:val="18"/>
                <w:szCs w:val="18"/>
                <w:color w:val="auto"/>
                <w:w w:val="89"/>
              </w:rPr>
              <w:t>Frank E. Thomas</w:t>
            </w:r>
          </w:p>
        </w:tc>
        <w:tc>
          <w:tcPr>
            <w:tcW w:w="38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2"/>
        </w:trPr>
        <w:tc>
          <w:tcPr>
            <w:tcW w:w="482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Arial" w:cs="Arial" w:eastAsia="Arial" w:hAnsi="Arial"/>
                <w:sz w:val="18"/>
                <w:szCs w:val="18"/>
                <w:color w:val="auto"/>
              </w:rPr>
              <w:t>96</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Zafgen, Inc. (“Zafgen”) has one class of securities registered under Section 12 of the Securities Exchange Act of 1934, as amended (the “Exchange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Zafgen common stock, par value $0.001 per share (the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summary description sets forth some of the general terms and provisions of the common stock. Because this is a summary description, it does not contain all of the information that may be important to you. For a more detailed description of the common stock, you should refer to the provisions of our ninth amended and restated certificate of incorporation (the “Charter”) and our amended and restated bylaws (“Bylaws”), each of which is an exhibit to this Annual Report on Form 10-K to which this description is an exhibit.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Under the Charter, Zafgen is authorized to issue up to 115,000,000 shares of common stock with a par value $0.001 per share and 5,000,000 shares of preferred stock, par value $0.001 per share, all of which will be undesignated.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Holders of our common stock are entitled to one vote for each share held of record on all matters submitted to a vote of stockholders and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fully-paid and non-assessable.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We are authorized, without action by the stockholders, to designate and issue up to an aggregate of 5,000,000 shares of preferred stock in one or more series. We can designate the rights, preferences and privileges of the shares of each series and any of its qualifications, limitations or restrictions. We may authorize the issuance of preferred stock with voting or conversion rights that could adversely affect the voting power or other rights of the holders of common stock.</w:t>
      </w:r>
    </w:p>
    <w:p>
      <w:pPr>
        <w:ind w:right="40"/>
        <w:spacing w:after="0" w:line="254" w:lineRule="auto"/>
        <w:rPr>
          <w:sz w:val="20"/>
          <w:szCs w:val="20"/>
          <w:color w:val="auto"/>
        </w:rPr>
      </w:pPr>
      <w:r>
        <w:rPr>
          <w:rFonts w:ascii="Arial" w:cs="Arial" w:eastAsia="Arial" w:hAnsi="Arial"/>
          <w:sz w:val="18"/>
          <w:szCs w:val="18"/>
          <w:color w:val="auto"/>
        </w:rPr>
        <w:t>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“ZFGN.”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Certain provisions of the Delaware General Corporation Law and of our Charter and Bylaws could have the effect of delaying, deferring or discouraging another party from acquiring our control. These provisions, which are summarized below, are expected to discourage certain types of coercive takeover practices and inadequate takeover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ind w:right="60"/>
        <w:spacing w:after="0" w:line="291" w:lineRule="auto"/>
        <w:rPr>
          <w:sz w:val="20"/>
          <w:szCs w:val="20"/>
          <w:color w:val="auto"/>
        </w:rPr>
      </w:pPr>
      <w:r>
        <w:rPr>
          <w:rFonts w:ascii="Arial" w:cs="Arial" w:eastAsia="Arial" w:hAnsi="Arial"/>
          <w:sz w:val="16"/>
          <w:szCs w:val="16"/>
          <w:color w:val="auto"/>
        </w:rPr>
        <w:t>bids and, as a consequence, they might also inhibit temporary fluctuations in the market price of our common stock that often result from actual or rumored hostile takeover attempts. These provisions are also designed in part to encourage anyone seeking to acquire our control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of directors into three classes serving staggered three-year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 stockholders at an annual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 meeting, and that stockholders may not take any action by written consent in lieu of a meeting.</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Meetings of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Charter and Bylaws provide that only a majority of the members of our board of directors then in office may call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Advance Notice Requirements. </w:t>
      </w:r>
      <w:r>
        <w:rPr>
          <w:rFonts w:ascii="Arial" w:cs="Arial" w:eastAsia="Arial" w:hAnsi="Arial"/>
          <w:sz w:val="17"/>
          <w:szCs w:val="17"/>
          <w:color w:val="auto"/>
        </w:rPr>
        <w:t>Our Bylaws establish advance notice procedures with regard to stockholder proposals relating to the nomination of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Amendment to Charter and Bylaws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required by the Delaware General Corporation Law, any amendment of our Charter must first be approved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8" w:name="page99"/>
    <w:bookmarkEnd w:id="98"/>
    <w:p>
      <w:pPr>
        <w:ind w:right="260"/>
        <w:spacing w:after="0" w:line="308" w:lineRule="auto"/>
        <w:rPr>
          <w:sz w:val="20"/>
          <w:szCs w:val="20"/>
          <w:color w:val="auto"/>
        </w:rPr>
      </w:pPr>
      <w:r>
        <w:rPr>
          <w:rFonts w:ascii="Arial" w:cs="Arial" w:eastAsia="Arial" w:hAnsi="Arial"/>
          <w:sz w:val="17"/>
          <w:szCs w:val="17"/>
          <w:color w:val="auto"/>
        </w:rPr>
        <w:t>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52" w:lineRule="exact"/>
        <w:rPr>
          <w:sz w:val="20"/>
          <w:szCs w:val="20"/>
          <w:color w:val="auto"/>
        </w:rPr>
      </w:pPr>
    </w:p>
    <w:p>
      <w:pPr>
        <w:ind w:left="900" w:right="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80" w:hanging="325"/>
        <w:spacing w:after="0" w:line="31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79" w:lineRule="exact"/>
        <w:rPr>
          <w:rFonts w:ascii="Arial" w:cs="Arial" w:eastAsia="Arial" w:hAnsi="Arial"/>
          <w:sz w:val="16"/>
          <w:szCs w:val="16"/>
          <w:color w:val="auto"/>
        </w:rPr>
      </w:pPr>
    </w:p>
    <w:p>
      <w:pPr>
        <w:ind w:left="900" w:right="8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Exclusive Jurisdiction of Certain Actions</w:t>
      </w:r>
      <w:r>
        <w:rPr>
          <w:rFonts w:ascii="Arial" w:cs="Arial" w:eastAsia="Arial" w:hAnsi="Arial"/>
          <w:sz w:val="18"/>
          <w:szCs w:val="18"/>
          <w:color w:val="auto"/>
        </w:rPr>
        <w:t>. Our Charter provides that, unless we consent in writing to the selection of an alternative forum, the Court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ectPr>
          <w:pgSz w:w="11900" w:h="16838" w:orient="portrait"/>
          <w:cols w:equalWidth="0" w:num="1">
            <w:col w:w="11400"/>
          </w:cols>
          <w:pgMar w:left="240" w:top="233" w:right="25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10.28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 CENTER PLAZA, SUITE 610,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02108</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March 3, 2020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Jeffrey S. Hatfield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Performance-Vesting Option</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Dear Jeffrey:</w:t>
      </w:r>
    </w:p>
    <w:p>
      <w:pPr>
        <w:spacing w:after="0" w:line="233"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As you know, Zafgen, Inc. (the “</w:t>
      </w:r>
      <w:r>
        <w:rPr>
          <w:rFonts w:ascii="Arial" w:cs="Arial" w:eastAsia="Arial" w:hAnsi="Arial"/>
          <w:sz w:val="22"/>
          <w:szCs w:val="22"/>
          <w:u w:val="single" w:color="auto"/>
          <w:color w:val="auto"/>
        </w:rPr>
        <w:t>Company</w:t>
      </w:r>
      <w:r>
        <w:rPr>
          <w:rFonts w:ascii="Arial" w:cs="Arial" w:eastAsia="Arial" w:hAnsi="Arial"/>
          <w:sz w:val="22"/>
          <w:szCs w:val="22"/>
          <w:color w:val="auto"/>
        </w:rPr>
        <w:t>”) has entered into an Agreement and Plan of Merger, by and among Chondrial Therapeutics, Inc., (“</w:t>
      </w:r>
      <w:r>
        <w:rPr>
          <w:rFonts w:ascii="Arial" w:cs="Arial" w:eastAsia="Arial" w:hAnsi="Arial"/>
          <w:sz w:val="22"/>
          <w:szCs w:val="22"/>
          <w:u w:val="single" w:color="auto"/>
          <w:color w:val="auto"/>
        </w:rPr>
        <w:t>Chondrial</w:t>
      </w:r>
      <w:r>
        <w:rPr>
          <w:rFonts w:ascii="Arial" w:cs="Arial" w:eastAsia="Arial" w:hAnsi="Arial"/>
          <w:sz w:val="22"/>
          <w:szCs w:val="22"/>
          <w:color w:val="auto"/>
        </w:rPr>
        <w:t>”), Chondrial Therapeutics Holdings, LLC, and Zordich Merger Sub, Inc., a wholly owned subsidiary of the Company (“</w:t>
      </w:r>
      <w:r>
        <w:rPr>
          <w:rFonts w:ascii="Arial" w:cs="Arial" w:eastAsia="Arial" w:hAnsi="Arial"/>
          <w:sz w:val="22"/>
          <w:szCs w:val="22"/>
          <w:u w:val="single" w:color="auto"/>
          <w:color w:val="auto"/>
        </w:rPr>
        <w:t>Merger Sub</w:t>
      </w:r>
      <w:r>
        <w:rPr>
          <w:rFonts w:ascii="Arial" w:cs="Arial" w:eastAsia="Arial" w:hAnsi="Arial"/>
          <w:sz w:val="22"/>
          <w:szCs w:val="22"/>
          <w:color w:val="auto"/>
        </w:rPr>
        <w:t>”), pursuant to which Chondrial will be merged with and into Merger Sub (the “</w:t>
      </w:r>
      <w:r>
        <w:rPr>
          <w:rFonts w:ascii="Arial" w:cs="Arial" w:eastAsia="Arial" w:hAnsi="Arial"/>
          <w:sz w:val="22"/>
          <w:szCs w:val="22"/>
          <w:u w:val="single" w:color="auto"/>
          <w:color w:val="auto"/>
        </w:rPr>
        <w:t>Merger</w:t>
      </w:r>
      <w:r>
        <w:rPr>
          <w:rFonts w:ascii="Arial" w:cs="Arial" w:eastAsia="Arial" w:hAnsi="Arial"/>
          <w:sz w:val="22"/>
          <w:szCs w:val="22"/>
          <w:color w:val="auto"/>
        </w:rPr>
        <w:t>”), with Chondrial continuing after the Merger as the surviving company and a wholly-owned subsidiary of the Company. In connection with the Merger,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is pleased to offer you the following amendment to the terms of your option to purchase 1,100,000 shares of the Company’s common stock, granted on October 9, 2017 (the “</w:t>
      </w:r>
      <w:r>
        <w:rPr>
          <w:rFonts w:ascii="Arial" w:cs="Arial" w:eastAsia="Arial" w:hAnsi="Arial"/>
          <w:sz w:val="22"/>
          <w:szCs w:val="22"/>
          <w:u w:val="single" w:color="auto"/>
          <w:color w:val="auto"/>
        </w:rPr>
        <w:t>Performance Option</w:t>
      </w:r>
      <w:r>
        <w:rPr>
          <w:rFonts w:ascii="Arial" w:cs="Arial" w:eastAsia="Arial" w:hAnsi="Arial"/>
          <w:sz w:val="22"/>
          <w:szCs w:val="22"/>
          <w:color w:val="auto"/>
        </w:rPr>
        <w:t>”):</w:t>
      </w:r>
    </w:p>
    <w:p>
      <w:pPr>
        <w:spacing w:after="0" w:line="185" w:lineRule="exact"/>
        <w:rPr>
          <w:sz w:val="20"/>
          <w:szCs w:val="20"/>
          <w:color w:val="auto"/>
        </w:rPr>
      </w:pPr>
    </w:p>
    <w:p>
      <w:pPr>
        <w:jc w:val="both"/>
        <w:ind w:firstLine="885"/>
        <w:spacing w:after="0" w:line="234" w:lineRule="auto"/>
        <w:tabs>
          <w:tab w:leader="none" w:pos="1688"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Option Amendment</w:t>
      </w:r>
      <w:r>
        <w:rPr>
          <w:rFonts w:ascii="Arial" w:cs="Arial" w:eastAsia="Arial" w:hAnsi="Arial"/>
          <w:sz w:val="22"/>
          <w:szCs w:val="22"/>
          <w:color w:val="auto"/>
        </w:rPr>
        <w:t>. The Company hereby amends your Performance Option to provide that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Option will remain outstanding after your termination of employment for any reason other than Cause (as defined in the Performance Option) until October 9, 2020 (the “</w:t>
      </w:r>
      <w:r>
        <w:rPr>
          <w:rFonts w:ascii="Arial" w:cs="Arial" w:eastAsia="Arial" w:hAnsi="Arial"/>
          <w:sz w:val="22"/>
          <w:szCs w:val="22"/>
          <w:u w:val="single" w:color="auto"/>
          <w:color w:val="auto"/>
        </w:rPr>
        <w:t>Outside Date</w:t>
      </w:r>
      <w:r>
        <w:rPr>
          <w:rFonts w:ascii="Arial" w:cs="Arial" w:eastAsia="Arial" w:hAnsi="Arial"/>
          <w:sz w:val="22"/>
          <w:szCs w:val="22"/>
          <w:color w:val="auto"/>
        </w:rPr>
        <w:t>” and such period, the “</w:t>
      </w:r>
      <w:r>
        <w:rPr>
          <w:rFonts w:ascii="Arial" w:cs="Arial" w:eastAsia="Arial" w:hAnsi="Arial"/>
          <w:sz w:val="22"/>
          <w:szCs w:val="22"/>
          <w:u w:val="single" w:color="auto"/>
          <w:color w:val="auto"/>
        </w:rPr>
        <w:t>Option Continuation Period</w:t>
      </w:r>
      <w:r>
        <w:rPr>
          <w:rFonts w:ascii="Arial" w:cs="Arial" w:eastAsia="Arial" w:hAnsi="Arial"/>
          <w:sz w:val="22"/>
          <w:szCs w:val="22"/>
          <w:color w:val="auto"/>
        </w:rPr>
        <w:t>”). During the Option Continuation Period, your option will remain eligible to vest pursuant to the original performance vesting terms, whether you or not employed at the time of any achievement, provided the Board will make proportional adjustment to the $10.00 and $2.50 share prices to reflect any stock split, reverse stock split or similar change in capitalization. If the Performance Option does not meet the applicable performance vesting criteria on or prior to the Outside Date, it shall be forfeited in its entirety. In the event the Performance Option achieves the performance criteria on or prior to the Outside Date, it shall remain exercisable until the second anniversary of the termination of your employment (but no later than the original expiration date of the Performance Option).</w:t>
      </w:r>
    </w:p>
    <w:p>
      <w:pPr>
        <w:spacing w:after="0" w:line="180" w:lineRule="exact"/>
        <w:rPr>
          <w:rFonts w:ascii="Arial" w:cs="Arial" w:eastAsia="Arial" w:hAnsi="Arial"/>
          <w:sz w:val="22"/>
          <w:szCs w:val="22"/>
          <w:color w:val="auto"/>
        </w:rPr>
      </w:pPr>
    </w:p>
    <w:p>
      <w:pPr>
        <w:jc w:val="both"/>
        <w:ind w:firstLine="885"/>
        <w:spacing w:after="0" w:line="254" w:lineRule="auto"/>
        <w:tabs>
          <w:tab w:leader="none" w:pos="1688"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Governing Law; Interpretation</w:t>
      </w:r>
      <w:r>
        <w:rPr>
          <w:rFonts w:ascii="Arial" w:cs="Arial" w:eastAsia="Arial" w:hAnsi="Arial"/>
          <w:sz w:val="21"/>
          <w:szCs w:val="21"/>
          <w:color w:val="auto"/>
        </w:rPr>
        <w:t>. This letter agreement will be interpreted and enforced under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State of Delaware, without regard to conflict of law principles. In the event of any dispute, this letter agreement is intended by the parties to be construed as a whole, to be interpreted in accordance with its fair meaning, and not to be construed strictly for or against either you or the Company or the “drafter” of all or any portion of this letter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ACTIVE/102462332.5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0" w:name="page101"/>
    <w:bookmarkEnd w:id="100"/>
    <w:p>
      <w:pPr>
        <w:jc w:val="both"/>
        <w:ind w:firstLine="885"/>
        <w:spacing w:after="0" w:line="239" w:lineRule="auto"/>
        <w:tabs>
          <w:tab w:leader="none" w:pos="1688"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letter agreement constitutes the entire agreement between you and the Company. This</w:t>
      </w:r>
      <w:r>
        <w:rPr>
          <w:rFonts w:ascii="Arial" w:cs="Arial" w:eastAsia="Arial" w:hAnsi="Arial"/>
          <w:sz w:val="22"/>
          <w:szCs w:val="22"/>
          <w:b w:val="1"/>
          <w:bCs w:val="1"/>
          <w:color w:val="auto"/>
        </w:rPr>
        <w:t xml:space="preserve"> </w:t>
      </w:r>
      <w:r>
        <w:rPr>
          <w:rFonts w:ascii="Arial" w:cs="Arial" w:eastAsia="Arial" w:hAnsi="Arial"/>
          <w:sz w:val="22"/>
          <w:szCs w:val="22"/>
          <w:color w:val="auto"/>
        </w:rPr>
        <w:t>letter agreement supersedes any previous agreements or understandings between you and the Company, except to the extent that any agreement is expressly preserved in this letter agreement. This letter agreement may only be amended by a written amendment executed by the Company and you.</w:t>
      </w:r>
    </w:p>
    <w:p>
      <w:pPr>
        <w:spacing w:after="0" w:line="180" w:lineRule="exact"/>
        <w:rPr>
          <w:rFonts w:ascii="Arial" w:cs="Arial" w:eastAsia="Arial" w:hAnsi="Arial"/>
          <w:sz w:val="22"/>
          <w:szCs w:val="22"/>
          <w:color w:val="auto"/>
        </w:rPr>
      </w:pPr>
    </w:p>
    <w:p>
      <w:pPr>
        <w:ind w:firstLine="885"/>
        <w:spacing w:after="0" w:line="299" w:lineRule="auto"/>
        <w:tabs>
          <w:tab w:leader="none" w:pos="1688"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letter agreement may be executed in any number of counterparts, each of which when so</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and delivered will be taken to be an original, but all of which together will constitute one and the same document.</w:t>
      </w:r>
    </w:p>
    <w:p>
      <w:pPr>
        <w:spacing w:after="0" w:line="1" w:lineRule="exact"/>
        <w:rPr>
          <w:rFonts w:ascii="Arial" w:cs="Arial" w:eastAsia="Arial" w:hAnsi="Arial"/>
          <w:sz w:val="19"/>
          <w:szCs w:val="19"/>
          <w:color w:val="auto"/>
        </w:rPr>
      </w:pPr>
    </w:p>
    <w:p>
      <w:pPr>
        <w:ind w:left="5420"/>
        <w:spacing w:after="0"/>
        <w:rPr>
          <w:rFonts w:ascii="Arial" w:cs="Arial" w:eastAsia="Arial" w:hAnsi="Arial"/>
          <w:sz w:val="19"/>
          <w:szCs w:val="19"/>
          <w:color w:val="auto"/>
        </w:rPr>
      </w:pPr>
      <w:r>
        <w:rPr>
          <w:rFonts w:ascii="Arial" w:cs="Arial" w:eastAsia="Arial" w:hAnsi="Arial"/>
          <w:sz w:val="22"/>
          <w:szCs w:val="22"/>
          <w:color w:val="auto"/>
        </w:rPr>
        <w:t>* * * *</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Please indicate your agreement to the terms of this letter agreement by signing as indicated below.</w:t>
      </w:r>
    </w:p>
    <w:p>
      <w:pPr>
        <w:spacing w:after="0" w:line="206"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Z</w:t>
      </w:r>
      <w:r>
        <w:rPr>
          <w:rFonts w:ascii="Arial" w:cs="Arial" w:eastAsia="Arial" w:hAnsi="Arial"/>
          <w:sz w:val="14"/>
          <w:szCs w:val="14"/>
          <w:b w:val="1"/>
          <w:bCs w:val="1"/>
          <w:color w:val="auto"/>
        </w:rPr>
        <w:t>AFGEN</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07" w:lineRule="exact"/>
        <w:rPr>
          <w:sz w:val="20"/>
          <w:szCs w:val="20"/>
          <w:color w:val="auto"/>
        </w:rPr>
      </w:pPr>
    </w:p>
    <w:tbl>
      <w:tblPr>
        <w:tblLayout w:type="fixed"/>
        <w:tblInd w:w="242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2"/>
              </w:rPr>
              <w:t>/s/ Patricia L. Allen</w:t>
            </w: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2"/>
                <w:szCs w:val="22"/>
                <w:color w:val="auto"/>
              </w:rPr>
              <w:t>Title:</w:t>
            </w:r>
          </w:p>
        </w:tc>
        <w:tc>
          <w:tcPr>
            <w:tcW w:w="160" w:type="dxa"/>
            <w:vAlign w:val="bottom"/>
          </w:tcPr>
          <w:p>
            <w:pPr>
              <w:spacing w:after="0"/>
              <w:rPr>
                <w:sz w:val="19"/>
                <w:szCs w:val="19"/>
                <w:color w:val="auto"/>
              </w:rPr>
            </w:pPr>
          </w:p>
        </w:tc>
        <w:tc>
          <w:tcPr>
            <w:tcW w:w="58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2"/>
                <w:szCs w:val="22"/>
                <w:color w:val="auto"/>
                <w:w w:val="86"/>
              </w:rPr>
              <w:t>CFO</w:t>
            </w:r>
          </w:p>
        </w:tc>
        <w:tc>
          <w:tcPr>
            <w:tcW w:w="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Jeffrey S. Hatfield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Jeffrey S. Hatfield</w:t>
      </w:r>
    </w:p>
    <w:p>
      <w:pPr>
        <w:spacing w:after="0" w:line="215"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ACTIVE/102462332.5</w:t>
      </w:r>
    </w:p>
    <w:p>
      <w:pPr>
        <w:sectPr>
          <w:pgSz w:w="11900" w:h="16838" w:orient="portrait"/>
          <w:cols w:equalWidth="0" w:num="1">
            <w:col w:w="11420"/>
          </w:cols>
          <w:pgMar w:left="240" w:top="54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10.35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SEVERANCE </w:t>
      </w:r>
      <w:r>
        <w:rPr>
          <w:rFonts w:ascii="Arial" w:cs="Arial" w:eastAsia="Arial" w:hAnsi="Arial"/>
          <w:sz w:val="14"/>
          <w:szCs w:val="14"/>
          <w:b w:val="1"/>
          <w:bCs w:val="1"/>
          <w:color w:val="auto"/>
        </w:rPr>
        <w:t>AND</w:t>
      </w:r>
      <w:r>
        <w:rPr>
          <w:rFonts w:ascii="Arial" w:cs="Arial" w:eastAsia="Arial" w:hAnsi="Arial"/>
          <w:sz w:val="22"/>
          <w:szCs w:val="22"/>
          <w:b w:val="1"/>
          <w:bCs w:val="1"/>
          <w:color w:val="auto"/>
        </w:rPr>
        <w:t xml:space="preserve"> CHANGE IN CONTROL AGREEMENT</w:t>
      </w:r>
    </w:p>
    <w:p>
      <w:pPr>
        <w:spacing w:after="0" w:line="200" w:lineRule="exact"/>
        <w:rPr>
          <w:sz w:val="20"/>
          <w:szCs w:val="20"/>
          <w:color w:val="auto"/>
        </w:rPr>
      </w:pPr>
    </w:p>
    <w:p>
      <w:pPr>
        <w:spacing w:after="0" w:line="204" w:lineRule="exact"/>
        <w:rPr>
          <w:sz w:val="20"/>
          <w:szCs w:val="20"/>
          <w:color w:val="auto"/>
        </w:rPr>
      </w:pPr>
    </w:p>
    <w:p>
      <w:pPr>
        <w:ind w:right="100" w:firstLine="877"/>
        <w:spacing w:after="0"/>
        <w:rPr>
          <w:sz w:val="20"/>
          <w:szCs w:val="20"/>
          <w:color w:val="auto"/>
        </w:rPr>
      </w:pPr>
      <w:r>
        <w:rPr>
          <w:rFonts w:ascii="Arial" w:cs="Arial" w:eastAsia="Arial" w:hAnsi="Arial"/>
          <w:sz w:val="22"/>
          <w:szCs w:val="22"/>
          <w:color w:val="auto"/>
        </w:rPr>
        <w:t>This First Amendment to Severance and Change in Control Agreement (this “Amendment”) is entered into and effective as of September 12, 2019, by and between Zafgen, Inc., a Delaware corporation (the “Company”), and Priya Singhal, MD (the “Employee”).</w:t>
      </w:r>
    </w:p>
    <w:p>
      <w:pPr>
        <w:spacing w:after="0" w:line="180" w:lineRule="exact"/>
        <w:rPr>
          <w:sz w:val="20"/>
          <w:szCs w:val="20"/>
          <w:color w:val="auto"/>
        </w:rPr>
      </w:pPr>
    </w:p>
    <w:p>
      <w:pPr>
        <w:ind w:right="26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Employee are parties to a Severance and Change in Control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March 4, 2019 (the “Severance and Change in Control Agreement”);</w:t>
      </w:r>
    </w:p>
    <w:p>
      <w:pPr>
        <w:spacing w:after="0" w:line="163" w:lineRule="exact"/>
        <w:rPr>
          <w:sz w:val="20"/>
          <w:szCs w:val="20"/>
          <w:color w:val="auto"/>
        </w:rPr>
      </w:pPr>
    </w:p>
    <w:p>
      <w:pPr>
        <w:ind w:right="12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Employee wish to amend certain provisions of the Severance and 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w:t>
      </w:r>
    </w:p>
    <w:p>
      <w:pPr>
        <w:spacing w:after="0" w:line="163" w:lineRule="exact"/>
        <w:rPr>
          <w:sz w:val="20"/>
          <w:szCs w:val="20"/>
          <w:color w:val="auto"/>
        </w:rPr>
      </w:pPr>
    </w:p>
    <w:p>
      <w:pPr>
        <w:ind w:right="360" w:firstLine="87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capitalized terms used herein and not otherwise defined shall have the meanings ascribed to them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and Change in Control Agreement.</w:t>
      </w:r>
    </w:p>
    <w:p>
      <w:pPr>
        <w:spacing w:after="0" w:line="163" w:lineRule="exact"/>
        <w:rPr>
          <w:sz w:val="20"/>
          <w:szCs w:val="20"/>
          <w:color w:val="auto"/>
        </w:rPr>
      </w:pPr>
    </w:p>
    <w:p>
      <w:pPr>
        <w:ind w:right="360"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 hereby accepted</w:t>
      </w:r>
      <w:r>
        <w:rPr>
          <w:rFonts w:ascii="Arial" w:cs="Arial" w:eastAsia="Arial" w:hAnsi="Arial"/>
          <w:sz w:val="22"/>
          <w:szCs w:val="22"/>
          <w:b w:val="1"/>
          <w:bCs w:val="1"/>
          <w:color w:val="auto"/>
        </w:rPr>
        <w:t xml:space="preserve"> </w:t>
      </w:r>
      <w:r>
        <w:rPr>
          <w:rFonts w:ascii="Arial" w:cs="Arial" w:eastAsia="Arial" w:hAnsi="Arial"/>
          <w:sz w:val="22"/>
          <w:szCs w:val="22"/>
          <w:color w:val="auto"/>
        </w:rPr>
        <w:t>and acknowledged by the Employee and the Company, the parties agree as follows:</w:t>
      </w:r>
    </w:p>
    <w:p>
      <w:pPr>
        <w:spacing w:after="0" w:line="169" w:lineRule="exact"/>
        <w:rPr>
          <w:sz w:val="20"/>
          <w:szCs w:val="20"/>
          <w:color w:val="auto"/>
        </w:rPr>
      </w:pPr>
    </w:p>
    <w:p>
      <w:pPr>
        <w:ind w:left="880" w:right="200" w:hanging="797"/>
        <w:spacing w:after="0" w:line="251" w:lineRule="auto"/>
        <w:tabs>
          <w:tab w:leader="none" w:pos="8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Section 4 of the Severance and Change in Control Agreement is hereby amended and restated in its entirety as follows:</w:t>
      </w:r>
    </w:p>
    <w:p>
      <w:pPr>
        <w:spacing w:after="0" w:line="167" w:lineRule="exact"/>
        <w:rPr>
          <w:sz w:val="20"/>
          <w:szCs w:val="20"/>
          <w:color w:val="auto"/>
        </w:rPr>
      </w:pPr>
    </w:p>
    <w:p>
      <w:pPr>
        <w:ind w:left="1760" w:right="40" w:firstLine="3"/>
        <w:spacing w:after="0" w:line="272" w:lineRule="auto"/>
        <w:tabs>
          <w:tab w:leader="none" w:pos="257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 Payment</w:t>
      </w:r>
      <w:r>
        <w:rPr>
          <w:rFonts w:ascii="Arial" w:cs="Arial" w:eastAsia="Arial" w:hAnsi="Arial"/>
          <w:sz w:val="19"/>
          <w:szCs w:val="19"/>
          <w:color w:val="auto"/>
        </w:rPr>
        <w:t>. In the event a Terminating Event occurs on or within the 12 months</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after a Change in Control (such 12-month period, the “Change in Control Period”), subject to the Employee signing a separation agreement containing, among other provisions, a general release of claims in favor of the Company and related persons and entities (but other than claims or future claims (i) for the payments to be made, benefits to be provided and equity awards to be accelerated to or with regard to the Employee pursuant to this Agreement, (ii) for indemnification at law, pursuant to the Company’s certificate of incorporation and/or by-laws, any other written agreement between the Company and the Employee, and any governing document concerning a group benefit plan provided by or sponsored by the Company and in which the Employee is a participant, administrator or fiduciary, (iii) as the holder of securities of the Company, or (iv) for insurance coverage or costs of defense available to the Employee under any policy maintained by the Company), confidentiality, return of property and non-disparagement, in a form and manner reasonably satisfactory to the Company (the “Separation Agreement and Release”) and the Separation Agreement and Release becoming irrevocable, all within 60 days after the Date of Termination (or such shorter time period set forth in the Separation Agreement and Release), the following shall occur: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ACTIVE/100718064.2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02" w:name="page103"/>
    <w:bookmarkEnd w:id="102"/>
    <w:p>
      <w:pPr>
        <w:ind w:left="2640" w:right="20" w:firstLine="677"/>
        <w:spacing w:after="0" w:line="248" w:lineRule="auto"/>
        <w:tabs>
          <w:tab w:leader="none" w:pos="4203"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Company shall pay to the Employee an amount equal to the sum of (A) 12 months of the Employee’s annual base salary in effect immediately prior to the Terminating Event (or the Employee’s annual base salary in effect immediately prior to the Change in Control, if higher) plus (B) the Employee’s target annual incentive compensation in effect immediately prior to the Terminating Event (or the Covered Employee’s target annual incentive compensation in effect immediately prior to the Change in Control, if higher);</w:t>
      </w:r>
    </w:p>
    <w:p>
      <w:pPr>
        <w:spacing w:after="0" w:line="177" w:lineRule="exact"/>
        <w:rPr>
          <w:rFonts w:ascii="Arial" w:cs="Arial" w:eastAsia="Arial" w:hAnsi="Arial"/>
          <w:sz w:val="21"/>
          <w:szCs w:val="21"/>
          <w:color w:val="auto"/>
        </w:rPr>
      </w:pPr>
    </w:p>
    <w:p>
      <w:pPr>
        <w:ind w:left="2640" w:firstLine="677"/>
        <w:spacing w:after="0" w:line="282" w:lineRule="auto"/>
        <w:tabs>
          <w:tab w:leader="none" w:pos="4215"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the Employee was participating in the Company’s group health plan immediately prior to the Date of Termination and elects COBRA health continuation, then the Company shall pay to the Employee a monthly cash payment for 12 months, in an amount equal to the monthly employer contribution that the Company would have made to provide health insurance to the Employee (and her eligible dependents) if the Employee had remained employed by the Company;</w:t>
      </w:r>
    </w:p>
    <w:p>
      <w:pPr>
        <w:spacing w:after="0" w:line="147" w:lineRule="exact"/>
        <w:rPr>
          <w:rFonts w:ascii="Arial" w:cs="Arial" w:eastAsia="Arial" w:hAnsi="Arial"/>
          <w:sz w:val="19"/>
          <w:szCs w:val="19"/>
          <w:color w:val="auto"/>
        </w:rPr>
      </w:pPr>
    </w:p>
    <w:p>
      <w:pPr>
        <w:ind w:left="2640" w:right="80" w:firstLine="677"/>
        <w:spacing w:after="0" w:line="279" w:lineRule="auto"/>
        <w:tabs>
          <w:tab w:leader="none" w:pos="4203"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notwithstanding anything to the contrary in any applicable option agreement or stock-based award agreement, all solely time-based stock options and other stock-based awards with solely time-based vesting held by the Employee shall immediately accelerate and become fully exercisable or nonforfeitable as of the Employee’s Date of Termination; provided that any awards granted to the Employee that are solely performance-based and/or performance and time-based will be governed by the terms of the applicable award agreement; and</w:t>
      </w:r>
    </w:p>
    <w:p>
      <w:pPr>
        <w:spacing w:after="0" w:line="150" w:lineRule="exact"/>
        <w:rPr>
          <w:rFonts w:ascii="Arial" w:cs="Arial" w:eastAsia="Arial" w:hAnsi="Arial"/>
          <w:sz w:val="19"/>
          <w:szCs w:val="19"/>
          <w:color w:val="auto"/>
        </w:rPr>
      </w:pPr>
    </w:p>
    <w:p>
      <w:pPr>
        <w:ind w:left="2640" w:right="240" w:firstLine="677"/>
        <w:spacing w:after="0" w:line="279" w:lineRule="auto"/>
        <w:tabs>
          <w:tab w:leader="none" w:pos="421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amounts payable under this Section 4 shall be paid out in a lump sum commencing within 60 days after the Date of Termination; provided, however, that if the 60-day period begins in one calendar year and ends in a second calendar year, the amounts shall be paid in the second calendar year by the last day of such 60-day period; provided further, that the payments under this Section 4 shall be reduced by the amount, if any, that the Employee is paid in the same such calendar year pursuant to a garden leave payment in a noncompetition agreement.</w:t>
      </w:r>
    </w:p>
    <w:p>
      <w:pPr>
        <w:spacing w:after="0" w:line="151" w:lineRule="exact"/>
        <w:rPr>
          <w:sz w:val="20"/>
          <w:szCs w:val="20"/>
          <w:color w:val="auto"/>
        </w:rPr>
      </w:pPr>
    </w:p>
    <w:p>
      <w:pPr>
        <w:ind w:left="880" w:right="200" w:hanging="797"/>
        <w:spacing w:after="0" w:line="251" w:lineRule="auto"/>
        <w:tabs>
          <w:tab w:leader="none" w:pos="8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Section 5 of the Severance and Change in Control Agreement is hereby amended and restated in its entirety as follows:</w:t>
      </w:r>
    </w:p>
    <w:p>
      <w:pPr>
        <w:spacing w:after="0" w:line="167" w:lineRule="exact"/>
        <w:rPr>
          <w:sz w:val="20"/>
          <w:szCs w:val="20"/>
          <w:color w:val="auto"/>
        </w:rPr>
      </w:pPr>
    </w:p>
    <w:p>
      <w:pPr>
        <w:ind w:left="1760" w:right="160" w:firstLine="3"/>
        <w:spacing w:after="0" w:line="237" w:lineRule="auto"/>
        <w:tabs>
          <w:tab w:leader="none" w:pos="257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Outside the Change in Control Period</w:t>
      </w:r>
      <w:r>
        <w:rPr>
          <w:rFonts w:ascii="Arial" w:cs="Arial" w:eastAsia="Arial" w:hAnsi="Arial"/>
          <w:sz w:val="22"/>
          <w:szCs w:val="22"/>
          <w:color w:val="auto"/>
        </w:rPr>
        <w:t>. In the event a Terminating Event occurs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other than during the Change in Control Period, subject to the Employee signing the Separation Agreement and Release and the Separation Agreement and Release becoming irrevocable, all within 60 days after the Date of Termination (or such shorter time period set forth in the Separation Agreement and Release), the following shall occur:</w:t>
      </w:r>
    </w:p>
    <w:p>
      <w:pPr>
        <w:spacing w:after="0" w:line="189" w:lineRule="exact"/>
        <w:rPr>
          <w:sz w:val="20"/>
          <w:szCs w:val="20"/>
          <w:color w:val="auto"/>
        </w:rPr>
      </w:pPr>
    </w:p>
    <w:p>
      <w:pPr>
        <w:ind w:left="2640" w:right="580" w:firstLine="677"/>
        <w:spacing w:after="0" w:line="251" w:lineRule="auto"/>
        <w:tabs>
          <w:tab w:leader="none" w:pos="420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Company shall pay to the Employee an amount equal to the sum of (A) 9 months of the Employee’s annual base salary in effect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ACTIVE/100718064.2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03" w:name="page104"/>
    <w:bookmarkEnd w:id="103"/>
    <w:p>
      <w:pPr>
        <w:ind w:left="2640" w:right="860"/>
        <w:spacing w:after="0" w:line="251" w:lineRule="auto"/>
        <w:rPr>
          <w:sz w:val="20"/>
          <w:szCs w:val="20"/>
          <w:color w:val="auto"/>
        </w:rPr>
      </w:pPr>
      <w:r>
        <w:rPr>
          <w:rFonts w:ascii="Arial" w:cs="Arial" w:eastAsia="Arial" w:hAnsi="Arial"/>
          <w:sz w:val="22"/>
          <w:szCs w:val="22"/>
          <w:color w:val="auto"/>
        </w:rPr>
        <w:t>immediately prior to the Terminating Event plus (B) the Employee’s target annual incentive compensation in effect immediately prior to the Terminating Event;</w:t>
      </w:r>
    </w:p>
    <w:p>
      <w:pPr>
        <w:spacing w:after="0" w:line="173" w:lineRule="exact"/>
        <w:rPr>
          <w:sz w:val="20"/>
          <w:szCs w:val="20"/>
          <w:color w:val="auto"/>
        </w:rPr>
      </w:pPr>
    </w:p>
    <w:p>
      <w:pPr>
        <w:ind w:left="2640" w:firstLine="677"/>
        <w:spacing w:after="0" w:line="282" w:lineRule="auto"/>
        <w:tabs>
          <w:tab w:leader="none" w:pos="4215"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Employee was participating in the Company’s group health plan immediately prior to the Date of Termination and elects COBRA health continuation, then the Company shall pay to the Employee a monthly cash payment for 9 months in an amount equal to the monthly employer contribution that the Company would have made to provide health insurance to the Employee (and her eligible dependents) if the Employee had remained employed by the Company; and</w:t>
      </w:r>
    </w:p>
    <w:p>
      <w:pPr>
        <w:spacing w:after="0" w:line="147" w:lineRule="exact"/>
        <w:rPr>
          <w:rFonts w:ascii="Arial" w:cs="Arial" w:eastAsia="Arial" w:hAnsi="Arial"/>
          <w:sz w:val="19"/>
          <w:szCs w:val="19"/>
          <w:color w:val="auto"/>
        </w:rPr>
      </w:pPr>
    </w:p>
    <w:p>
      <w:pPr>
        <w:ind w:left="2640" w:right="40" w:firstLine="677"/>
        <w:spacing w:after="0" w:line="274" w:lineRule="auto"/>
        <w:tabs>
          <w:tab w:leader="none" w:pos="4203"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amounts payable under this Section 5 shall be paid out in substantially equal installments in accordance with the Company’s payroll practice over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and the payments under this Section 5 shall be reduced by the amount, if any, that the Employee is paid in the same such calendar year pursuant to a garden leave payment in a noncompetition agreement.</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3.</w:t>
            </w:r>
          </w:p>
        </w:tc>
        <w:tc>
          <w:tcPr>
            <w:tcW w:w="1080" w:type="dxa"/>
            <w:vAlign w:val="bottom"/>
          </w:tcPr>
          <w:p>
            <w:pPr>
              <w:spacing w:after="0"/>
              <w:rPr>
                <w:sz w:val="21"/>
                <w:szCs w:val="21"/>
                <w:color w:val="auto"/>
              </w:rPr>
            </w:pPr>
          </w:p>
        </w:tc>
        <w:tc>
          <w:tcPr>
            <w:tcW w:w="9720" w:type="dxa"/>
            <w:vAlign w:val="bottom"/>
            <w:gridSpan w:val="3"/>
          </w:tcPr>
          <w:p>
            <w:pPr>
              <w:spacing w:after="0"/>
              <w:rPr>
                <w:sz w:val="20"/>
                <w:szCs w:val="20"/>
                <w:color w:val="auto"/>
              </w:rPr>
            </w:pPr>
            <w:r>
              <w:rPr>
                <w:rFonts w:ascii="Arial" w:cs="Arial" w:eastAsia="Arial" w:hAnsi="Arial"/>
                <w:sz w:val="22"/>
                <w:szCs w:val="22"/>
                <w:color w:val="auto"/>
                <w:w w:val="98"/>
              </w:rPr>
              <w:t>Notwithstanding anything to the contrary in this Amendment or the Severance and Change in Control</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6"/>
              </w:rPr>
              <w:t>Agreement, this Section 3 of the Amendment shall only apply during the period between the effective date of the</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0"/>
              </w:rPr>
              <w:t>Amendment through and including the later of (i) September 1, 2020 or (ii) the date that is 12 months after a Change in</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0"/>
              </w:rPr>
              <w:t>Control in the event that a Change in Control occurs on or before September 1, 2020, after which this Section 3 shall be</w:t>
            </w:r>
          </w:p>
        </w:tc>
      </w:tr>
      <w:tr>
        <w:trPr>
          <w:trHeight w:val="275"/>
        </w:trPr>
        <w:tc>
          <w:tcPr>
            <w:tcW w:w="520" w:type="dxa"/>
            <w:vAlign w:val="bottom"/>
          </w:tcPr>
          <w:p>
            <w:pPr>
              <w:spacing w:after="0"/>
              <w:rPr>
                <w:sz w:val="23"/>
                <w:szCs w:val="23"/>
                <w:color w:val="auto"/>
              </w:rPr>
            </w:pPr>
          </w:p>
        </w:tc>
        <w:tc>
          <w:tcPr>
            <w:tcW w:w="10800" w:type="dxa"/>
            <w:vAlign w:val="bottom"/>
            <w:gridSpan w:val="4"/>
          </w:tcPr>
          <w:p>
            <w:pPr>
              <w:ind w:left="280"/>
              <w:spacing w:after="0"/>
              <w:rPr>
                <w:sz w:val="20"/>
                <w:szCs w:val="20"/>
                <w:color w:val="auto"/>
              </w:rPr>
            </w:pPr>
            <w:r>
              <w:rPr>
                <w:rFonts w:ascii="Arial" w:cs="Arial" w:eastAsia="Arial" w:hAnsi="Arial"/>
                <w:sz w:val="22"/>
                <w:szCs w:val="22"/>
                <w:color w:val="auto"/>
              </w:rPr>
              <w:t>of no further force and effect.</w:t>
            </w:r>
          </w:p>
        </w:tc>
      </w:tr>
      <w:tr>
        <w:trPr>
          <w:trHeight w:val="409"/>
        </w:trPr>
        <w:tc>
          <w:tcPr>
            <w:tcW w:w="520" w:type="dxa"/>
            <w:vAlign w:val="bottom"/>
          </w:tcPr>
          <w:p>
            <w:pPr>
              <w:spacing w:after="0"/>
              <w:rPr>
                <w:sz w:val="20"/>
                <w:szCs w:val="20"/>
                <w:color w:val="auto"/>
              </w:rPr>
            </w:pPr>
            <w:r>
              <w:rPr>
                <w:rFonts w:ascii="Arial" w:cs="Arial" w:eastAsia="Arial" w:hAnsi="Arial"/>
                <w:sz w:val="22"/>
                <w:szCs w:val="22"/>
                <w:color w:val="auto"/>
              </w:rPr>
              <w:t>(a)</w:t>
            </w:r>
          </w:p>
        </w:tc>
        <w:tc>
          <w:tcPr>
            <w:tcW w:w="108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22"/>
                <w:szCs w:val="22"/>
                <w:color w:val="auto"/>
                <w:w w:val="93"/>
              </w:rPr>
              <w:t>3-Month Lookback Period. In the event the Employee experiences a Terminating Event within the 3 months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800" w:type="dxa"/>
            <w:vAlign w:val="bottom"/>
            <w:gridSpan w:val="4"/>
          </w:tcPr>
          <w:p>
            <w:pPr>
              <w:ind w:left="280"/>
              <w:spacing w:after="0" w:line="242" w:lineRule="exact"/>
              <w:rPr>
                <w:sz w:val="20"/>
                <w:szCs w:val="20"/>
                <w:color w:val="auto"/>
              </w:rPr>
            </w:pPr>
            <w:r>
              <w:rPr>
                <w:rFonts w:ascii="Arial" w:cs="Arial" w:eastAsia="Arial" w:hAnsi="Arial"/>
                <w:sz w:val="22"/>
                <w:szCs w:val="22"/>
                <w:color w:val="auto"/>
                <w:w w:val="99"/>
              </w:rPr>
              <w:t>immediately prior to a Change in Control, and the Change in Control occurs between the effective date of the</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87"/>
              </w:rPr>
              <w:t>Amendment through and including September 1, 2020 and the Employee has signed a Separation Agreement and Release</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3"/>
              </w:rPr>
              <w:t>that has become irrevocable and is entitled to the benefits under Section 5 of the Severance and Change in Control</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1"/>
              </w:rPr>
              <w:t>Agreement, then the Employee will receive the benefits set forth in Section 4 of the Severance and Change in Control</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1"/>
              </w:rPr>
              <w:t>Agreement following the occurrence of a Change in Control; provided that the lump sum amount under Section 4 to be</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0"/>
              </w:rPr>
              <w:t>paid to the Employee following the occurrence of a Change in Control will be decreased by any previously paid benefits</w:t>
            </w:r>
          </w:p>
        </w:tc>
      </w:tr>
      <w:tr>
        <w:trPr>
          <w:trHeight w:val="243"/>
        </w:trPr>
        <w:tc>
          <w:tcPr>
            <w:tcW w:w="520" w:type="dxa"/>
            <w:vAlign w:val="bottom"/>
          </w:tcPr>
          <w:p>
            <w:pPr>
              <w:spacing w:after="0"/>
              <w:rPr>
                <w:sz w:val="21"/>
                <w:szCs w:val="21"/>
                <w:color w:val="auto"/>
              </w:rPr>
            </w:pPr>
          </w:p>
        </w:tc>
        <w:tc>
          <w:tcPr>
            <w:tcW w:w="1080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92"/>
              </w:rPr>
              <w:t>to the Employee pursuant to Section 5, and the Employee will receive no further benefits pursuant to Section 5. In no</w:t>
            </w:r>
          </w:p>
        </w:tc>
      </w:tr>
      <w:tr>
        <w:trPr>
          <w:trHeight w:val="275"/>
        </w:trPr>
        <w:tc>
          <w:tcPr>
            <w:tcW w:w="520" w:type="dxa"/>
            <w:vAlign w:val="bottom"/>
          </w:tcPr>
          <w:p>
            <w:pPr>
              <w:spacing w:after="0"/>
              <w:rPr>
                <w:sz w:val="23"/>
                <w:szCs w:val="23"/>
                <w:color w:val="auto"/>
              </w:rPr>
            </w:pPr>
          </w:p>
        </w:tc>
        <w:tc>
          <w:tcPr>
            <w:tcW w:w="10800" w:type="dxa"/>
            <w:vAlign w:val="bottom"/>
            <w:gridSpan w:val="4"/>
          </w:tcPr>
          <w:p>
            <w:pPr>
              <w:ind w:left="280"/>
              <w:spacing w:after="0"/>
              <w:rPr>
                <w:sz w:val="20"/>
                <w:szCs w:val="20"/>
                <w:color w:val="auto"/>
              </w:rPr>
            </w:pPr>
            <w:r>
              <w:rPr>
                <w:rFonts w:ascii="Arial" w:cs="Arial" w:eastAsia="Arial" w:hAnsi="Arial"/>
                <w:sz w:val="22"/>
                <w:szCs w:val="22"/>
                <w:color w:val="auto"/>
              </w:rPr>
              <w:t>event may there be duplication of benefits under Section 4 and Section 5.</w:t>
            </w:r>
          </w:p>
        </w:tc>
      </w:tr>
      <w:tr>
        <w:trPr>
          <w:trHeight w:val="409"/>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8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22"/>
                <w:szCs w:val="22"/>
                <w:color w:val="auto"/>
                <w:w w:val="95"/>
              </w:rPr>
              <w:t>Treatment of Unvested Equity. In the event the Employee experiences a Terminating Event on or prior to</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800" w:type="dxa"/>
            <w:vAlign w:val="bottom"/>
            <w:gridSpan w:val="4"/>
          </w:tcPr>
          <w:p>
            <w:pPr>
              <w:ind w:left="280"/>
              <w:spacing w:after="0" w:line="242" w:lineRule="exact"/>
              <w:rPr>
                <w:sz w:val="20"/>
                <w:szCs w:val="20"/>
                <w:color w:val="auto"/>
              </w:rPr>
            </w:pPr>
            <w:r>
              <w:rPr>
                <w:rFonts w:ascii="Arial" w:cs="Arial" w:eastAsia="Arial" w:hAnsi="Arial"/>
                <w:sz w:val="22"/>
                <w:szCs w:val="22"/>
                <w:color w:val="auto"/>
                <w:w w:val="87"/>
              </w:rPr>
              <w:t>September 1, 2020 and the Employee has signed a Separation Agreement and Release that has become irrevocable and is</w:t>
            </w:r>
          </w:p>
        </w:tc>
      </w:tr>
      <w:tr>
        <w:trPr>
          <w:trHeight w:val="275"/>
        </w:trPr>
        <w:tc>
          <w:tcPr>
            <w:tcW w:w="520" w:type="dxa"/>
            <w:vAlign w:val="bottom"/>
          </w:tcPr>
          <w:p>
            <w:pPr>
              <w:spacing w:after="0"/>
              <w:rPr>
                <w:sz w:val="23"/>
                <w:szCs w:val="23"/>
                <w:color w:val="auto"/>
              </w:rPr>
            </w:pPr>
          </w:p>
        </w:tc>
        <w:tc>
          <w:tcPr>
            <w:tcW w:w="10800" w:type="dxa"/>
            <w:vAlign w:val="bottom"/>
            <w:gridSpan w:val="4"/>
          </w:tcPr>
          <w:p>
            <w:pPr>
              <w:ind w:left="280"/>
              <w:spacing w:after="0"/>
              <w:rPr>
                <w:sz w:val="20"/>
                <w:szCs w:val="20"/>
                <w:color w:val="auto"/>
              </w:rPr>
            </w:pPr>
            <w:r>
              <w:rPr>
                <w:rFonts w:ascii="Arial" w:cs="Arial" w:eastAsia="Arial" w:hAnsi="Arial"/>
                <w:sz w:val="22"/>
                <w:szCs w:val="22"/>
                <w:color w:val="auto"/>
              </w:rPr>
              <w:t>entitled to the benefits under Section</w:t>
            </w:r>
          </w:p>
        </w:tc>
      </w:tr>
      <w:tr>
        <w:trPr>
          <w:trHeight w:val="659"/>
        </w:trPr>
        <w:tc>
          <w:tcPr>
            <w:tcW w:w="520" w:type="dxa"/>
            <w:vAlign w:val="bottom"/>
          </w:tcPr>
          <w:p>
            <w:pPr>
              <w:spacing w:after="0"/>
              <w:rPr>
                <w:sz w:val="24"/>
                <w:szCs w:val="24"/>
                <w:color w:val="auto"/>
              </w:rPr>
            </w:pPr>
          </w:p>
        </w:tc>
        <w:tc>
          <w:tcPr>
            <w:tcW w:w="10800" w:type="dxa"/>
            <w:vAlign w:val="bottom"/>
            <w:gridSpan w:val="4"/>
          </w:tcPr>
          <w:p>
            <w:pPr>
              <w:ind w:left="5060"/>
              <w:spacing w:after="0"/>
              <w:rPr>
                <w:sz w:val="20"/>
                <w:szCs w:val="20"/>
                <w:color w:val="auto"/>
              </w:rPr>
            </w:pPr>
            <w:r>
              <w:rPr>
                <w:rFonts w:ascii="Arial" w:cs="Arial" w:eastAsia="Arial" w:hAnsi="Arial"/>
                <w:sz w:val="22"/>
                <w:szCs w:val="22"/>
                <w:color w:val="auto"/>
              </w:rPr>
              <w:t>3</w:t>
            </w:r>
          </w:p>
        </w:tc>
      </w:tr>
    </w:tbl>
    <w:p>
      <w:pPr>
        <w:spacing w:after="0"/>
        <w:rPr>
          <w:sz w:val="20"/>
          <w:szCs w:val="20"/>
          <w:color w:val="auto"/>
        </w:rPr>
      </w:pPr>
      <w:r>
        <w:rPr>
          <w:rFonts w:ascii="Arial" w:cs="Arial" w:eastAsia="Arial" w:hAnsi="Arial"/>
          <w:sz w:val="14"/>
          <w:szCs w:val="14"/>
          <w:color w:val="auto"/>
        </w:rPr>
        <w:t>ACTIVE/100718064.2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04" w:name="page105"/>
    <w:bookmarkEnd w:id="104"/>
    <w:p>
      <w:pPr>
        <w:ind w:left="1680"/>
        <w:spacing w:after="0"/>
        <w:rPr>
          <w:sz w:val="20"/>
          <w:szCs w:val="20"/>
          <w:color w:val="auto"/>
        </w:rPr>
      </w:pPr>
      <w:r>
        <w:rPr>
          <w:rFonts w:ascii="Arial" w:cs="Arial" w:eastAsia="Arial" w:hAnsi="Arial"/>
          <w:sz w:val="19"/>
          <w:szCs w:val="19"/>
          <w:color w:val="auto"/>
        </w:rPr>
        <w:t>5 of the Severance and Change in Control Agreement, then notwithstanding anything to the contrary in the</w:t>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10800" w:type="dxa"/>
            <w:vAlign w:val="bottom"/>
            <w:gridSpan w:val="3"/>
          </w:tcPr>
          <w:p>
            <w:pPr>
              <w:ind w:left="280"/>
              <w:spacing w:after="0"/>
              <w:rPr>
                <w:sz w:val="20"/>
                <w:szCs w:val="20"/>
                <w:color w:val="auto"/>
              </w:rPr>
            </w:pPr>
            <w:r>
              <w:rPr>
                <w:rFonts w:ascii="Arial" w:cs="Arial" w:eastAsia="Arial" w:hAnsi="Arial"/>
                <w:sz w:val="22"/>
                <w:szCs w:val="22"/>
                <w:color w:val="auto"/>
                <w:w w:val="89"/>
              </w:rPr>
              <w:t>applicable option agreement or stock-based award agreement, any termination or forfeiture of the unvested portion of the</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Employee’s solely time-based stock options or other stock-based awards with solely time-based vesting that would</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otherwise occur on the Date of Termination in the absence of this Amendment will be delayed until the earlier of (i) the</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9"/>
              </w:rPr>
              <w:t>date that is 3 months after the Date of Termination or (ii) September 1, 2020 and will only occur if the vesting pursuant to</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8"/>
              </w:rPr>
              <w:t>Section 4(c) of the Severance and Change in Control Agreement does not occur due to the non-occurrence of a Change in</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5"/>
              </w:rPr>
              <w:t>Control during such period. For the avoidance of doubt, the termination or forfeiture of the unvested portion of any</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9"/>
              </w:rPr>
              <w:t>awards granted to the Employee that are solely performance-based and/or performance and time-based will be governed</w:t>
            </w:r>
          </w:p>
        </w:tc>
      </w:tr>
      <w:tr>
        <w:trPr>
          <w:trHeight w:val="275"/>
        </w:trPr>
        <w:tc>
          <w:tcPr>
            <w:tcW w:w="520" w:type="dxa"/>
            <w:vAlign w:val="bottom"/>
          </w:tcPr>
          <w:p>
            <w:pPr>
              <w:spacing w:after="0"/>
              <w:rPr>
                <w:sz w:val="23"/>
                <w:szCs w:val="23"/>
                <w:color w:val="auto"/>
              </w:rPr>
            </w:pPr>
          </w:p>
        </w:tc>
        <w:tc>
          <w:tcPr>
            <w:tcW w:w="10800" w:type="dxa"/>
            <w:vAlign w:val="bottom"/>
            <w:gridSpan w:val="3"/>
          </w:tcPr>
          <w:p>
            <w:pPr>
              <w:ind w:left="280"/>
              <w:spacing w:after="0"/>
              <w:rPr>
                <w:sz w:val="20"/>
                <w:szCs w:val="20"/>
                <w:color w:val="auto"/>
              </w:rPr>
            </w:pPr>
            <w:r>
              <w:rPr>
                <w:rFonts w:ascii="Arial" w:cs="Arial" w:eastAsia="Arial" w:hAnsi="Arial"/>
                <w:sz w:val="22"/>
                <w:szCs w:val="22"/>
                <w:color w:val="auto"/>
              </w:rPr>
              <w:t>by the terms of the applicable award agreement.</w:t>
            </w:r>
          </w:p>
        </w:tc>
      </w:tr>
      <w:tr>
        <w:trPr>
          <w:trHeight w:val="409"/>
        </w:trPr>
        <w:tc>
          <w:tcPr>
            <w:tcW w:w="520" w:type="dxa"/>
            <w:vAlign w:val="bottom"/>
          </w:tcPr>
          <w:p>
            <w:pPr>
              <w:spacing w:after="0"/>
              <w:rPr>
                <w:sz w:val="20"/>
                <w:szCs w:val="20"/>
                <w:color w:val="auto"/>
              </w:rPr>
            </w:pPr>
            <w:r>
              <w:rPr>
                <w:rFonts w:ascii="Arial" w:cs="Arial" w:eastAsia="Arial" w:hAnsi="Arial"/>
                <w:sz w:val="22"/>
                <w:szCs w:val="22"/>
                <w:color w:val="auto"/>
              </w:rPr>
              <w:t>(c)</w:t>
            </w:r>
          </w:p>
        </w:tc>
        <w:tc>
          <w:tcPr>
            <w:tcW w:w="108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22"/>
                <w:szCs w:val="22"/>
                <w:color w:val="auto"/>
                <w:w w:val="92"/>
              </w:rPr>
              <w:t>Extended Exercise Period. In the event the Employee experiences a Terminating Event within the 3 months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800" w:type="dxa"/>
            <w:vAlign w:val="bottom"/>
            <w:gridSpan w:val="3"/>
          </w:tcPr>
          <w:p>
            <w:pPr>
              <w:ind w:left="280"/>
              <w:spacing w:after="0" w:line="242" w:lineRule="exact"/>
              <w:rPr>
                <w:sz w:val="20"/>
                <w:szCs w:val="20"/>
                <w:color w:val="auto"/>
              </w:rPr>
            </w:pPr>
            <w:r>
              <w:rPr>
                <w:rFonts w:ascii="Arial" w:cs="Arial" w:eastAsia="Arial" w:hAnsi="Arial"/>
                <w:sz w:val="22"/>
                <w:szCs w:val="22"/>
                <w:color w:val="auto"/>
                <w:w w:val="99"/>
              </w:rPr>
              <w:t>immediately prior to a Change in Control that occurs on or before September 1, 2020 or within the 12 months</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immediately following a Change in Control that occurs on or before September 1, 2020, and the Employee has signed a</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2"/>
              </w:rPr>
              <w:t>Separation Agreement and Release that has become irrevocable and is entitled to the benefits under Section 4 of the</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3"/>
              </w:rPr>
              <w:t>Severance and Change in Control Agreement, then notwithstanding anything to the contrary in the applicable option</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8"/>
              </w:rPr>
              <w:t>agreement or stock-based award agreement, the exercise period with respect to the Employee’s vested stock options shall</w:t>
            </w:r>
          </w:p>
        </w:tc>
      </w:tr>
      <w:tr>
        <w:trPr>
          <w:trHeight w:val="243"/>
        </w:trPr>
        <w:tc>
          <w:tcPr>
            <w:tcW w:w="520" w:type="dxa"/>
            <w:vAlign w:val="bottom"/>
          </w:tcPr>
          <w:p>
            <w:pPr>
              <w:spacing w:after="0"/>
              <w:rPr>
                <w:sz w:val="21"/>
                <w:szCs w:val="21"/>
                <w:color w:val="auto"/>
              </w:rPr>
            </w:pPr>
          </w:p>
        </w:tc>
        <w:tc>
          <w:tcPr>
            <w:tcW w:w="1080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not expire until the earlier of (i) the original 10-year expiration date for such vested stock options as provided in the</w:t>
            </w:r>
          </w:p>
        </w:tc>
      </w:tr>
      <w:tr>
        <w:trPr>
          <w:trHeight w:val="275"/>
        </w:trPr>
        <w:tc>
          <w:tcPr>
            <w:tcW w:w="520" w:type="dxa"/>
            <w:vAlign w:val="bottom"/>
          </w:tcPr>
          <w:p>
            <w:pPr>
              <w:spacing w:after="0"/>
              <w:rPr>
                <w:sz w:val="23"/>
                <w:szCs w:val="23"/>
                <w:color w:val="auto"/>
              </w:rPr>
            </w:pPr>
          </w:p>
        </w:tc>
        <w:tc>
          <w:tcPr>
            <w:tcW w:w="10800" w:type="dxa"/>
            <w:vAlign w:val="bottom"/>
            <w:gridSpan w:val="3"/>
          </w:tcPr>
          <w:p>
            <w:pPr>
              <w:ind w:left="280"/>
              <w:spacing w:after="0"/>
              <w:rPr>
                <w:sz w:val="20"/>
                <w:szCs w:val="20"/>
                <w:color w:val="auto"/>
              </w:rPr>
            </w:pPr>
            <w:r>
              <w:rPr>
                <w:rFonts w:ascii="Arial" w:cs="Arial" w:eastAsia="Arial" w:hAnsi="Arial"/>
                <w:sz w:val="22"/>
                <w:szCs w:val="22"/>
                <w:color w:val="auto"/>
              </w:rPr>
              <w:t>applicable option agreement, or (ii) two years after the Date of Termination.</w:t>
            </w:r>
          </w:p>
        </w:tc>
      </w:tr>
    </w:tbl>
    <w:p>
      <w:pPr>
        <w:spacing w:after="0" w:line="185" w:lineRule="exact"/>
        <w:rPr>
          <w:sz w:val="20"/>
          <w:szCs w:val="20"/>
          <w:color w:val="auto"/>
        </w:rPr>
      </w:pPr>
    </w:p>
    <w:p>
      <w:pPr>
        <w:ind w:right="60" w:firstLine="885"/>
        <w:spacing w:after="0" w:line="236" w:lineRule="auto"/>
        <w:tabs>
          <w:tab w:leader="none" w:pos="16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payments made by the Company to the Employee under the Severance and Change in Control Agreement, as amended by this Amendment, shall be net of any tax or other amounts required to be withheld by the Company under applicable law. Nothing in this Amendment or the Severance and Change in Control Agreement shall be construed to require the Company to make any payments to compensate the Employee for any adverse tax effect associated with any payments or benefits or for any deduction or withholding from any payment or benefit.</w:t>
      </w:r>
    </w:p>
    <w:p>
      <w:pPr>
        <w:spacing w:after="0" w:line="201" w:lineRule="exact"/>
        <w:rPr>
          <w:rFonts w:ascii="Arial" w:cs="Arial" w:eastAsia="Arial" w:hAnsi="Arial"/>
          <w:sz w:val="22"/>
          <w:szCs w:val="22"/>
          <w:color w:val="auto"/>
        </w:rPr>
      </w:pPr>
    </w:p>
    <w:p>
      <w:pPr>
        <w:ind w:right="120" w:firstLine="885"/>
        <w:spacing w:after="0" w:line="238" w:lineRule="auto"/>
        <w:tabs>
          <w:tab w:leader="none" w:pos="16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other provisions of the Severance and Change in Control Agreement shall remain in full force and effect according to their respective terms, and nothing contained herein shall be deemed a waiver of any right or abrogation of any obligation otherwise existing under the Severance and Change in Control Agreement except to the extent specifically provided for herein.</w:t>
      </w:r>
    </w:p>
    <w:p>
      <w:pPr>
        <w:spacing w:after="0" w:line="198" w:lineRule="exact"/>
        <w:rPr>
          <w:rFonts w:ascii="Arial" w:cs="Arial" w:eastAsia="Arial" w:hAnsi="Arial"/>
          <w:sz w:val="22"/>
          <w:szCs w:val="22"/>
          <w:color w:val="auto"/>
        </w:rPr>
      </w:pPr>
    </w:p>
    <w:p>
      <w:pPr>
        <w:ind w:right="60" w:firstLine="885"/>
        <w:spacing w:after="0" w:line="282" w:lineRule="auto"/>
        <w:tabs>
          <w:tab w:leader="none" w:pos="1688"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validity, interpretation, construction and performance of this Amendment and the Severance and Change in Control Agreement, as amended herein, shall be governed by the laws of the Commonwealth of Massachusetts without regard to principles of conflict of laws of such state that would require the application of the laws of any other jurisdiction. The parties hereby consent to personal jurisdiction of the state and federal courts situated within Massachusetts for purposes of enforcing this Amendment, and waive any objection that he or it might have to personal jurisdiction or venue in those courts.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ACTIVE/100718064.2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05" w:name="page106"/>
    <w:bookmarkEnd w:id="105"/>
    <w:p>
      <w:pPr>
        <w:ind w:firstLine="885"/>
        <w:spacing w:after="0" w:line="328" w:lineRule="auto"/>
        <w:tabs>
          <w:tab w:leader="none" w:pos="168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This Amendment may be executed in any number of counterparts, each of which when so executed and delivered shall be taken to be an original; but such counterparts shall together constitute one and the same document.</w:t>
      </w:r>
    </w:p>
    <w:p>
      <w:pPr>
        <w:spacing w:after="0" w:line="105" w:lineRule="exact"/>
        <w:rPr>
          <w:sz w:val="20"/>
          <w:szCs w:val="20"/>
          <w:color w:val="auto"/>
        </w:rPr>
      </w:pPr>
    </w:p>
    <w:p>
      <w:pPr>
        <w:ind w:left="418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3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ACTIVE/100718064.2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40"/>
          </w:cols>
          <w:pgMar w:left="240" w:top="348" w:right="1019" w:bottom="1440" w:gutter="0" w:footer="0" w:header="0"/>
        </w:sectPr>
      </w:pPr>
    </w:p>
    <w:bookmarkStart w:id="106" w:name="page107"/>
    <w:bookmarkEnd w:id="106"/>
    <w:p>
      <w:pPr>
        <w:jc w:val="center"/>
        <w:ind w:left="8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Amendment effective on the date and year first above written.</w:t>
      </w:r>
    </w:p>
    <w:p>
      <w:pPr>
        <w:spacing w:after="0" w:line="241" w:lineRule="exact"/>
        <w:rPr>
          <w:sz w:val="20"/>
          <w:szCs w:val="20"/>
          <w:color w:val="auto"/>
        </w:rPr>
      </w:pPr>
    </w:p>
    <w:p>
      <w:pPr>
        <w:jc w:val="center"/>
        <w:ind w:left="600"/>
        <w:spacing w:after="0"/>
        <w:rPr>
          <w:sz w:val="20"/>
          <w:szCs w:val="20"/>
          <w:color w:val="auto"/>
        </w:rPr>
      </w:pPr>
      <w:r>
        <w:rPr>
          <w:rFonts w:ascii="Arial" w:cs="Arial" w:eastAsia="Arial" w:hAnsi="Arial"/>
          <w:sz w:val="22"/>
          <w:szCs w:val="22"/>
          <w:b w:val="1"/>
          <w:bCs w:val="1"/>
          <w:color w:val="auto"/>
        </w:rPr>
        <w:t>ZAFGEN, INC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2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auto"/>
              </w:rPr>
              <w:t>By:</w:t>
            </w:r>
          </w:p>
        </w:tc>
        <w:tc>
          <w:tcPr>
            <w:tcW w:w="58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22"/>
                <w:szCs w:val="22"/>
                <w:color w:val="auto"/>
                <w:w w:val="90"/>
              </w:rPr>
              <w:t>/s/ Patricia L. Allen________</w:t>
            </w:r>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2"/>
        </w:trPr>
        <w:tc>
          <w:tcPr>
            <w:tcW w:w="380" w:type="dxa"/>
            <w:vAlign w:val="bottom"/>
          </w:tcPr>
          <w:p>
            <w:pPr>
              <w:spacing w:after="0"/>
              <w:rPr>
                <w:sz w:val="21"/>
                <w:szCs w:val="21"/>
                <w:color w:val="auto"/>
              </w:rPr>
            </w:pPr>
          </w:p>
        </w:tc>
        <w:tc>
          <w:tcPr>
            <w:tcW w:w="3140" w:type="dxa"/>
            <w:vAlign w:val="bottom"/>
            <w:gridSpan w:val="3"/>
          </w:tcPr>
          <w:p>
            <w:pPr>
              <w:ind w:left="80"/>
              <w:spacing w:after="0" w:line="242" w:lineRule="exact"/>
              <w:rPr>
                <w:sz w:val="20"/>
                <w:szCs w:val="20"/>
                <w:color w:val="auto"/>
              </w:rPr>
            </w:pPr>
            <w:r>
              <w:rPr>
                <w:rFonts w:ascii="Arial" w:cs="Arial" w:eastAsia="Arial" w:hAnsi="Arial"/>
                <w:sz w:val="22"/>
                <w:szCs w:val="22"/>
                <w:color w:val="auto"/>
              </w:rPr>
              <w:t>Name: Patricia L. Allen</w:t>
            </w:r>
          </w:p>
        </w:tc>
      </w:tr>
      <w:tr>
        <w:trPr>
          <w:trHeight w:val="275"/>
        </w:trPr>
        <w:tc>
          <w:tcPr>
            <w:tcW w:w="380" w:type="dxa"/>
            <w:vAlign w:val="bottom"/>
          </w:tcPr>
          <w:p>
            <w:pPr>
              <w:spacing w:after="0"/>
              <w:rPr>
                <w:sz w:val="23"/>
                <w:szCs w:val="23"/>
                <w:color w:val="auto"/>
              </w:rPr>
            </w:pPr>
          </w:p>
        </w:tc>
        <w:tc>
          <w:tcPr>
            <w:tcW w:w="3140" w:type="dxa"/>
            <w:vAlign w:val="bottom"/>
            <w:gridSpan w:val="3"/>
          </w:tcPr>
          <w:p>
            <w:pPr>
              <w:ind w:left="8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80"/>
        <w:spacing w:after="0"/>
        <w:rPr>
          <w:sz w:val="20"/>
          <w:szCs w:val="20"/>
          <w:color w:val="auto"/>
        </w:rPr>
      </w:pPr>
      <w:r>
        <w:rPr>
          <w:rFonts w:ascii="Arial" w:cs="Arial" w:eastAsia="Arial" w:hAnsi="Arial"/>
          <w:sz w:val="22"/>
          <w:szCs w:val="22"/>
          <w:u w:val="single" w:color="auto"/>
          <w:color w:val="auto"/>
        </w:rPr>
        <w:t>/s/ Priya Singhal</w:t>
      </w:r>
      <w:r>
        <w:rPr>
          <w:rFonts w:ascii="Arial" w:cs="Arial" w:eastAsia="Arial" w:hAnsi="Arial"/>
          <w:sz w:val="22"/>
          <w:szCs w:val="22"/>
          <w:color w:val="auto"/>
        </w:rPr>
        <w:t>_________________</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Priya Singhal, MD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ACTIVE/100718064.2</w:t>
      </w:r>
    </w:p>
    <w:p>
      <w:pPr>
        <w:sectPr>
          <w:pgSz w:w="11900" w:h="16838" w:orient="portrait"/>
          <w:cols w:equalWidth="0" w:num="1">
            <w:col w:w="11420"/>
          </w:cols>
          <w:pgMar w:left="240" w:top="342"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00" w:type="dxa"/>
            <w:vAlign w:val="bottom"/>
            <w:gridSpan w:val="3"/>
          </w:tcPr>
          <w:p>
            <w:pPr>
              <w:ind w:left="460"/>
              <w:spacing w:after="0"/>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599"/>
        </w:trPr>
        <w:tc>
          <w:tcPr>
            <w:tcW w:w="200" w:type="dxa"/>
            <w:vAlign w:val="bottom"/>
          </w:tcPr>
          <w:p>
            <w:pPr>
              <w:spacing w:after="0"/>
              <w:rPr>
                <w:sz w:val="24"/>
                <w:szCs w:val="24"/>
                <w:color w:val="auto"/>
              </w:rPr>
            </w:pPr>
          </w:p>
        </w:tc>
        <w:tc>
          <w:tcPr>
            <w:tcW w:w="2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Subsidiary</w:t>
            </w: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1"/>
        </w:trPr>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1</w:t>
            </w:r>
          </w:p>
        </w:tc>
        <w:tc>
          <w:tcPr>
            <w:tcW w:w="2760" w:type="dxa"/>
            <w:vAlign w:val="bottom"/>
            <w:gridSpan w:val="2"/>
            <w:vMerge w:val="continue"/>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195"/>
        </w:trPr>
        <w:tc>
          <w:tcPr>
            <w:tcW w:w="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Zafgen Securities Corporation</w:t>
            </w:r>
          </w:p>
        </w:tc>
        <w:tc>
          <w:tcPr>
            <w:tcW w:w="3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Zafgen Australia Pty Limited</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Zafgen Animal Health, LLC</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Zordich Merger Sub, Inc.</w:t>
            </w:r>
          </w:p>
        </w:tc>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220"/>
          </w:cols>
          <w:pgMar w:left="14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333-219834 and 333-228328) and Form S-8 (Nos. 333-210216, 333-196900, 333-204931, 333-216602, 333-22356, 333-228326, 333-230291, and 333-234579) of Zafgen, Inc. of our report dated March 5, 2020 relating to the financial statements, which appears in this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22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63"/>
        <w:spacing w:after="0" w:line="264" w:lineRule="auto"/>
        <w:tabs>
          <w:tab w:leader="none" w:pos="799"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40" w:firstLine="563"/>
        <w:spacing w:after="0" w:line="342" w:lineRule="auto"/>
        <w:tabs>
          <w:tab w:leader="none" w:pos="799"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60" w:firstLine="563"/>
        <w:spacing w:after="0" w:line="277" w:lineRule="auto"/>
        <w:tabs>
          <w:tab w:leader="none" w:pos="79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63"/>
        <w:spacing w:after="0" w:line="277" w:lineRule="auto"/>
        <w:tabs>
          <w:tab w:leader="none" w:pos="80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225"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63"/>
        <w:spacing w:after="0" w:line="264" w:lineRule="auto"/>
        <w:tabs>
          <w:tab w:leader="none" w:pos="799"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63"/>
        <w:spacing w:after="0" w:line="264" w:lineRule="auto"/>
        <w:tabs>
          <w:tab w:leader="none" w:pos="809"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40" w:firstLine="563"/>
        <w:spacing w:after="0" w:line="342" w:lineRule="auto"/>
        <w:tabs>
          <w:tab w:leader="none" w:pos="799"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63"/>
        <w:spacing w:after="0" w:line="264" w:lineRule="auto"/>
        <w:tabs>
          <w:tab w:leader="none" w:pos="809"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60" w:firstLine="563"/>
        <w:spacing w:after="0" w:line="277" w:lineRule="auto"/>
        <w:tabs>
          <w:tab w:leader="none" w:pos="799"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63"/>
        <w:spacing w:after="0" w:line="277" w:lineRule="auto"/>
        <w:tabs>
          <w:tab w:leader="none" w:pos="809"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Zafgen, Inc. (the “Company”) for the period ended December 31, 2019, as filed with the Securities and Exchange Commission on the date hereof (the “Report”), each of the undersigned officers hereby certify, pursuant to Section 906 of the Sarbanes-Oxley Act of 2002, 18 U.S.C. Section 1350, that to his or her knowledge:</w:t>
      </w:r>
    </w:p>
    <w:p>
      <w:pPr>
        <w:spacing w:after="0" w:line="73" w:lineRule="exact"/>
        <w:rPr>
          <w:sz w:val="20"/>
          <w:szCs w:val="20"/>
          <w:color w:val="auto"/>
        </w:rPr>
      </w:pPr>
    </w:p>
    <w:p>
      <w:pPr>
        <w:ind w:left="560" w:right="160" w:hanging="552"/>
        <w:spacing w:after="0" w:line="277"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March 5, 2020</w:t>
      </w:r>
      <w:r>
        <w:rPr>
          <w:sz w:val="20"/>
          <w:szCs w:val="20"/>
          <w:color w:val="auto"/>
        </w:rPr>
        <w:tab/>
      </w:r>
      <w:r>
        <w:rPr>
          <w:rFonts w:ascii="Arial" w:cs="Arial" w:eastAsia="Arial" w:hAnsi="Arial"/>
          <w:sz w:val="16"/>
          <w:szCs w:val="16"/>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March 5, 2020</w:t>
      </w:r>
      <w:r>
        <w:rPr>
          <w:sz w:val="20"/>
          <w:szCs w:val="20"/>
          <w:color w:val="auto"/>
        </w:rPr>
        <w:tab/>
      </w:r>
      <w:r>
        <w:rPr>
          <w:rFonts w:ascii="Arial" w:cs="Arial" w:eastAsia="Arial" w:hAnsi="Arial"/>
          <w:sz w:val="17"/>
          <w:szCs w:val="17"/>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Roman"/>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2"/>
    </w:lvl>
  </w:abstractNum>
  <w:abstractNum w:abstractNumId="36">
    <w:nsid w:val="6DE91B18"/>
    <w:multiLevelType w:val="hybridMultilevel"/>
    <w:lvl w:ilvl="0">
      <w:lvlJc w:val="left"/>
      <w:lvlText w:val="%1."/>
      <w:numFmt w:val="decimal"/>
      <w:start w:val="3"/>
    </w:lvl>
  </w:abstractNum>
  <w:abstractNum w:abstractNumId="37">
    <w:nsid w:val="38437FDB"/>
    <w:multiLevelType w:val="hybridMultilevel"/>
    <w:lvl w:ilvl="0">
      <w:lvlJc w:val="left"/>
      <w:lvlText w:val="%1."/>
      <w:numFmt w:val="decimal"/>
      <w:start w:val="8"/>
    </w:lvl>
  </w:abstractNum>
  <w:abstractNum w:abstractNumId="38">
    <w:nsid w:val="7644A45C"/>
    <w:multiLevelType w:val="hybridMultilevel"/>
    <w:lvl w:ilvl="0">
      <w:lvlJc w:val="left"/>
      <w:lvlText w:val="%1."/>
      <w:numFmt w:val="decimal"/>
      <w:start w:val="10"/>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2"/>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3"/>
    </w:lvl>
    <w:lvl w:ilvl="1">
      <w:lvlJc w:val="left"/>
      <w:lvlText w:val="*"/>
      <w:numFmt w:val="bullet"/>
      <w:start w:val="1"/>
    </w:lvl>
  </w:abstractNum>
  <w:abstractNum w:abstractNumId="47">
    <w:nsid w:val="12E685FB"/>
    <w:multiLevelType w:val="hybridMultilevel"/>
    <w:lvl w:ilvl="0">
      <w:lvlJc w:val="left"/>
      <w:lvlText w:val="%1."/>
      <w:numFmt w:val="decimal"/>
      <w:start w:val="4"/>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decimal"/>
      <w:start w:val="5"/>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decimal"/>
      <w:start w:val="4"/>
    </w:lvl>
  </w:abstractNum>
  <w:abstractNum w:abstractNumId="53">
    <w:nsid w:val="649BB77C"/>
    <w:multiLevelType w:val="hybridMultilevel"/>
    <w:lvl w:ilvl="0">
      <w:lvlJc w:val="left"/>
      <w:lvlText w:val="%1."/>
      <w:numFmt w:val="decimal"/>
      <w:start w:val="7"/>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17" Type="http://schemas.openxmlformats.org/officeDocument/2006/relationships/hyperlink" Target="http://www.sec.gov/Archives/edgar/data/1374690/000119312519316828/d845901dex21.htm" TargetMode="External"/><Relationship Id="rId118" Type="http://schemas.openxmlformats.org/officeDocument/2006/relationships/hyperlink" Target="http://www.sec.gov/Archives/edgar/data/1374690/000119312514247362/d747935dex31.htm" TargetMode="External"/><Relationship Id="rId119" Type="http://schemas.openxmlformats.org/officeDocument/2006/relationships/hyperlink" Target="http://www.sec.gov/Archives/edgar/data/1374690/000119312514247362/d747935dex32.htm" TargetMode="External"/><Relationship Id="rId120" Type="http://schemas.openxmlformats.org/officeDocument/2006/relationships/hyperlink" Target="http://www.sec.gov/Archives/edgar/data/1374690/000119312514222253/d642727dex41.htm" TargetMode="External"/><Relationship Id="rId121" Type="http://schemas.openxmlformats.org/officeDocument/2006/relationships/hyperlink" Target="http://www.sec.gov/Archives/edgar/data/1374690/000119312514149201/d642727dex42.htm" TargetMode="External"/><Relationship Id="rId122" Type="http://schemas.openxmlformats.org/officeDocument/2006/relationships/hyperlink" Target="http://www.sec.gov/Archives/edgar/data/1374690/000119312514149201/d642727dex101.htm" TargetMode="External"/><Relationship Id="rId123" Type="http://schemas.openxmlformats.org/officeDocument/2006/relationships/hyperlink" Target="http://www.sec.gov/Archives/edgar/data/1374690/000119312514227208/d642727dex102.htm" TargetMode="External"/><Relationship Id="rId124" Type="http://schemas.openxmlformats.org/officeDocument/2006/relationships/hyperlink" Target="http://www.sec.gov/Archives/edgar/data/1374690/000119312514149201/d642727dex103.htm" TargetMode="External"/><Relationship Id="rId125" Type="http://schemas.openxmlformats.org/officeDocument/2006/relationships/hyperlink" Target="http://www.sec.gov/Archives/edgar/data/1374690/000119312515006755/d837143dex103b.htm" TargetMode="External"/><Relationship Id="rId126" Type="http://schemas.openxmlformats.org/officeDocument/2006/relationships/hyperlink" Target="http://www.sec.gov/Archives/edgar/data/1374690/000119312515006755/d837143dex104.htm" TargetMode="External"/><Relationship Id="rId127" Type="http://schemas.openxmlformats.org/officeDocument/2006/relationships/hyperlink" Target="http://www.sec.gov/Archives/edgar/data/1374690/000119312514149201/d642727dex105.htm" TargetMode="External"/><Relationship Id="rId131" Type="http://schemas.openxmlformats.org/officeDocument/2006/relationships/hyperlink" Target="http://www.sec.gov/Archives/edgar/data/1374690/000119312514149201/d642727dex106.htm" TargetMode="External"/><Relationship Id="rId132" Type="http://schemas.openxmlformats.org/officeDocument/2006/relationships/hyperlink" Target="http://www.sec.gov/Archives/edgar/data/1374690/000119312514149201/d642727dex107.htm" TargetMode="External"/><Relationship Id="rId133" Type="http://schemas.openxmlformats.org/officeDocument/2006/relationships/hyperlink" Target="http://www.sec.gov/Archives/edgar/data/1374690/000119312514149201/d642727dex108.htm" TargetMode="External"/><Relationship Id="rId134" Type="http://schemas.openxmlformats.org/officeDocument/2006/relationships/hyperlink" Target="http://www.sec.gov/Archives/edgar/data/1374690/000119312514149201/d642727dex109.htm" TargetMode="External"/><Relationship Id="rId135" Type="http://schemas.openxmlformats.org/officeDocument/2006/relationships/hyperlink" Target="http://www.sec.gov/Archives/edgar/data/1374690/000119312514149201/d642727dex1010.htm" TargetMode="External"/><Relationship Id="rId136" Type="http://schemas.openxmlformats.org/officeDocument/2006/relationships/hyperlink" Target="http://www.sec.gov/Archives/edgar/data/1374690/000119312514222253/d642727dex1011a.htm" TargetMode="External"/><Relationship Id="rId137" Type="http://schemas.openxmlformats.org/officeDocument/2006/relationships/hyperlink" Target="http://www.sec.gov/Archives/edgar/data/1374690/000119312514222253/d642727dex1011b.htm" TargetMode="External"/><Relationship Id="rId138" Type="http://schemas.openxmlformats.org/officeDocument/2006/relationships/hyperlink" Target="http://www.sec.gov/Archives/edgar/data/1374690/000119312514222253/d642727dex1012.htm" TargetMode="External"/><Relationship Id="rId139" Type="http://schemas.openxmlformats.org/officeDocument/2006/relationships/hyperlink" Target="http://www.sec.gov/Archives/edgar/data/1374690/000119312514149201/d642727dex1013.htm" TargetMode="External"/><Relationship Id="rId140" Type="http://schemas.openxmlformats.org/officeDocument/2006/relationships/hyperlink" Target="http://www.sec.gov/Archives/edgar/data/1374690/000119312514222253/d642727dex1014.htm" TargetMode="External"/><Relationship Id="rId141" Type="http://schemas.openxmlformats.org/officeDocument/2006/relationships/hyperlink" Target="http://www.sec.gov/Archives/edgar/data/1374690/000119312515188267/d914335dex101.htm" TargetMode="External"/><Relationship Id="rId142" Type="http://schemas.openxmlformats.org/officeDocument/2006/relationships/hyperlink" Target="http://www.sec.gov/Archives/edgar/data/1374690/000119312514227208/d642727dex1015.htm" TargetMode="External"/><Relationship Id="rId143" Type="http://schemas.openxmlformats.org/officeDocument/2006/relationships/hyperlink" Target="http://www.sec.gov/Archives/edgar/data/1374690/000119312516672131/d190060dex101.htm" TargetMode="External"/><Relationship Id="rId144" Type="http://schemas.openxmlformats.org/officeDocument/2006/relationships/hyperlink" Target="http://www.sec.gov/Archives/edgar/data/1374690/000119312516672131/d190060dex104.htm" TargetMode="External"/><Relationship Id="rId145" Type="http://schemas.openxmlformats.org/officeDocument/2006/relationships/hyperlink" Target="http://www.sec.gov/Archives/edgar/data/1374690/000119312519244019/d798377dex102.htm" TargetMode="External"/><Relationship Id="rId146" Type="http://schemas.openxmlformats.org/officeDocument/2006/relationships/hyperlink" Target="http://www.sec.gov/Archives/edgar/data/1374690/000119312516672131/d190060dex105.htm" TargetMode="External"/><Relationship Id="rId150" Type="http://schemas.openxmlformats.org/officeDocument/2006/relationships/hyperlink" Target="http://www.sec.gov/Archives/edgar/data/1374690/000119312518004559/d513584dex101.htm" TargetMode="External"/><Relationship Id="rId151" Type="http://schemas.openxmlformats.org/officeDocument/2006/relationships/hyperlink" Target="http://www.sec.gov/Archives/edgar/data/1374690/000119312517308904/d663471dex102.htm" TargetMode="External"/><Relationship Id="rId152" Type="http://schemas.openxmlformats.org/officeDocument/2006/relationships/hyperlink" Target="http://www.sec.gov/Archives/edgar/data/1374690/000119312517308904/d663471dex103.htm" TargetMode="External"/><Relationship Id="rId153" Type="http://schemas.openxmlformats.org/officeDocument/2006/relationships/hyperlink" Target="http://www.sec.gov/Archives/edgar/data/1374690/000119312518077456/d537290dex1023.htm" TargetMode="External"/><Relationship Id="rId154" Type="http://schemas.openxmlformats.org/officeDocument/2006/relationships/hyperlink" Target="http://www.sec.gov/Archives/edgar/data/1374690/000119312518077456/d537290dex1024.htm" TargetMode="External"/><Relationship Id="rId155" Type="http://schemas.openxmlformats.org/officeDocument/2006/relationships/hyperlink" Target="http://www.sec.gov/Archives/edgar/data/1374690/000119312518077456/d537290dex1025.htm" TargetMode="External"/><Relationship Id="rId156" Type="http://schemas.openxmlformats.org/officeDocument/2006/relationships/hyperlink" Target="http://www.sec.gov/Archives/edgar/data/1374690/000119312519244019/d798377dex101.htm" TargetMode="External"/><Relationship Id="rId157" Type="http://schemas.openxmlformats.org/officeDocument/2006/relationships/hyperlink" Target="http://www.sec.gov/Archives/edgar/data/0001374690/000119312518178715/d595223dex101.htm" TargetMode="External"/><Relationship Id="rId158" Type="http://schemas.openxmlformats.org/officeDocument/2006/relationships/hyperlink" Target="http://www.sec.gov/Archives/edgar/data/0001374690/000119312518178715/d595223dex102.htm" TargetMode="External"/><Relationship Id="rId159" Type="http://schemas.openxmlformats.org/officeDocument/2006/relationships/hyperlink" Target="http://www.sec.gov/Archives/edgar/data/0001374690/000119312518244422/d585259dex103.htm" TargetMode="External"/><Relationship Id="rId160" Type="http://schemas.openxmlformats.org/officeDocument/2006/relationships/hyperlink" Target="http://www.sec.gov/Archives/edgar/data/1374690/000119312519244019/d798377dex103.htm" TargetMode="External"/><Relationship Id="rId161" Type="http://schemas.openxmlformats.org/officeDocument/2006/relationships/hyperlink" Target="http://www.sec.gov/Archives/edgar/data/1374690/000156459019018086/zfgn-ex101_73.htm" TargetMode="External"/><Relationship Id="rId162" Type="http://schemas.openxmlformats.org/officeDocument/2006/relationships/hyperlink" Target="http://www.sec.gov/Archives/edgar/data/1374690/000156459019018086/zfgn-ex102_71.htm" TargetMode="External"/><Relationship Id="rId163" Type="http://schemas.openxmlformats.org/officeDocument/2006/relationships/hyperlink" Target="http://www.sec.gov/Archives/edgar/data/1374690/000156459019018086/zfgn-ex103_72.htm" TargetMode="External"/><Relationship Id="rId166" Type="http://schemas.openxmlformats.org/officeDocument/2006/relationships/hyperlink" Target="http://www.sec.gov/Archives/edgar/data/1374690/000156459019018086/zfgn-ex104_74.htm" TargetMode="External"/><Relationship Id="rId167" Type="http://schemas.openxmlformats.org/officeDocument/2006/relationships/hyperlink" Target="http://www.sec.gov/Archives/edgar/data/1374690/000119312515006755/d837143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2020-03-05T15:35:38Z</dcterms:created>
  <dcterms:modified xsi:type="dcterms:W3CDTF">2020-03-05T15:35:38Z</dcterms:modified>
</cp:coreProperties>
</file>