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4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45"/>
        </w:trPr>
        <w:tc>
          <w:tcPr>
            <w:tcW w:w="442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001-36510</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146050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394"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400" w:space="720"/>
            <w:col w:w="3100"/>
          </w:cols>
          <w:pgMar w:left="240" w:top="230" w:right="439" w:bottom="1440" w:gutter="0" w:footer="0" w:header="0"/>
          <w:type w:val="continuous"/>
        </w:sectPr>
      </w:pPr>
    </w:p>
    <w:p>
      <w:pPr>
        <w:spacing w:after="0" w:line="1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260" w:space="720"/>
            <w:col w:w="3240"/>
          </w:cols>
          <w:pgMar w:left="240" w:top="230" w:right="439" w:bottom="1440" w:gutter="0" w:footer="0" w:header="0"/>
          <w:type w:val="continuous"/>
        </w:sectPr>
      </w:pPr>
    </w:p>
    <w:p>
      <w:pPr>
        <w:ind w:left="526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4"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Registrant’s Telephone Number, Including Area Code: (617)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left="200" w:right="6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20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company” in Rule 12b-2 of the Exchange Act.</w:t>
            </w:r>
          </w:p>
        </w:tc>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4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3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8"/>
              </w:rPr>
              <w:t>Smaller reporting company</w:t>
            </w:r>
          </w:p>
        </w:tc>
        <w:tc>
          <w:tcPr>
            <w:tcW w:w="50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40" w:right="10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2018, there were 36,805,591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129540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99"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file and have our investigational new drug application, or IND, for ZGN-1258 go into effect;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advance ZGN-1258 into and through all clinical trials to enable submission of a new drug application, or NDA;</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ZGN-1258;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file and have our IND for ZGN-1061 go into effect;</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 and advance through nonclinical studies and the IND enabling process an oral methionine aminopeptidase 2, or MetAP2, inhibitor;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 and advance an oral MetAP2 inhibitor into Phase 1 trials;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MetAP2 inhibitors from pro-thrombotic effects or other adverse events observed in clinical development of our first-generation compound, beloranib;</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distinguish ZGN-1061, ZGN-1258 and other novel MetAP2 inhibitors relative to our first-generation compound;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64"/>
        </w:trPr>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60" w:type="dxa"/>
            <w:vAlign w:val="bottom"/>
            <w:gridSpan w:val="12"/>
          </w:tcPr>
          <w:p>
            <w:pPr>
              <w:jc w:val="center"/>
              <w:ind w:right="190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80" w:type="dxa"/>
            <w:vAlign w:val="bottom"/>
            <w:gridSpan w:val="2"/>
          </w:tcPr>
          <w:p>
            <w:pPr>
              <w:spacing w:after="0"/>
              <w:rPr>
                <w:sz w:val="24"/>
                <w:szCs w:val="24"/>
                <w:color w:val="auto"/>
              </w:rPr>
            </w:pPr>
          </w:p>
        </w:tc>
        <w:tc>
          <w:tcPr>
            <w:tcW w:w="3140" w:type="dxa"/>
            <w:vAlign w:val="bottom"/>
            <w:tcBorders>
              <w:top w:val="single" w:sz="8" w:color="0000EE"/>
            </w:tcBorders>
            <w:gridSpan w:val="7"/>
          </w:tcPr>
          <w:p>
            <w:pPr>
              <w:spacing w:after="0"/>
              <w:rPr>
                <w:sz w:val="24"/>
                <w:szCs w:val="24"/>
                <w:color w:val="auto"/>
              </w:rPr>
            </w:pPr>
          </w:p>
        </w:tc>
        <w:tc>
          <w:tcPr>
            <w:tcW w:w="2560" w:type="dxa"/>
            <w:vAlign w:val="bottom"/>
            <w:gridSpan w:val="4"/>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2018 and December 31, 2017</w:t>
              </w:r>
            </w:hyperlink>
          </w:p>
        </w:tc>
        <w:tc>
          <w:tcPr>
            <w:tcW w:w="2580" w:type="dxa"/>
            <w:vAlign w:val="bottom"/>
            <w:gridSpan w:val="5"/>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and Comprehensive Loss for the Three and Six Months</w:t>
              </w:r>
            </w:hyperlink>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Ended June 30, 2018 and 2017</w:t>
              </w:r>
            </w:hyperlink>
          </w:p>
        </w:tc>
        <w:tc>
          <w:tcPr>
            <w:tcW w:w="5280" w:type="dxa"/>
            <w:vAlign w:val="bottom"/>
            <w:tcBorders>
              <w:top w:val="single" w:sz="8" w:color="0000EE"/>
            </w:tcBorders>
            <w:gridSpan w:val="11"/>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2018 and 2017</w:t>
              </w:r>
            </w:hyperlink>
          </w:p>
        </w:tc>
        <w:tc>
          <w:tcPr>
            <w:tcW w:w="1380" w:type="dxa"/>
            <w:vAlign w:val="bottom"/>
            <w:gridSpan w:val="2"/>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300" w:type="dxa"/>
            <w:vAlign w:val="bottom"/>
            <w:gridSpan w:val="3"/>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4400" w:type="dxa"/>
            <w:vAlign w:val="bottom"/>
            <w:gridSpan w:val="8"/>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Evaluation of our Disclosure Controls and Procedures</w:t>
              </w:r>
            </w:hyperlink>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270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7440" w:type="dxa"/>
            <w:vAlign w:val="bottom"/>
            <w:gridSpan w:val="14"/>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76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860" w:type="dxa"/>
            <w:vAlign w:val="bottom"/>
            <w:gridSpan w:val="2"/>
          </w:tcPr>
          <w:p>
            <w:pPr>
              <w:spacing w:after="0"/>
              <w:rPr>
                <w:rFonts w:ascii="Arial" w:cs="Arial" w:eastAsia="Arial" w:hAnsi="Arial"/>
                <w:sz w:val="18"/>
                <w:szCs w:val="18"/>
                <w:b w:val="1"/>
                <w:bCs w:val="1"/>
                <w:color w:val="0000EE"/>
                <w:w w:val="90"/>
              </w:rPr>
            </w:pPr>
            <w:hyperlink w:anchor="page54">
              <w:r>
                <w:rPr>
                  <w:rFonts w:ascii="Arial" w:cs="Arial" w:eastAsia="Arial" w:hAnsi="Arial"/>
                  <w:sz w:val="18"/>
                  <w:szCs w:val="18"/>
                  <w:b w:val="1"/>
                  <w:bCs w:val="1"/>
                  <w:color w:val="0000EE"/>
                  <w:w w:val="90"/>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85"/>
        </w:trPr>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1"/>
          </w:tcPr>
          <w:p>
            <w:pPr>
              <w:ind w:left="46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120" w:type="dxa"/>
            <w:vAlign w:val="bottom"/>
            <w:gridSpan w:val="4"/>
          </w:tcPr>
          <w:p>
            <w:pPr>
              <w:ind w:left="20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gridSpan w:val="2"/>
          </w:tcPr>
          <w:p>
            <w:pPr>
              <w:ind w:left="200"/>
              <w:spacing w:after="0"/>
              <w:rPr>
                <w:sz w:val="20"/>
                <w:szCs w:val="20"/>
                <w:color w:val="auto"/>
              </w:rPr>
            </w:pPr>
            <w:r>
              <w:rPr>
                <w:rFonts w:ascii="Arial" w:cs="Arial" w:eastAsia="Arial" w:hAnsi="Arial"/>
                <w:sz w:val="18"/>
                <w:szCs w:val="18"/>
                <w:b w:val="1"/>
                <w:bCs w:val="1"/>
                <w:color w:val="auto"/>
                <w:w w:val="91"/>
              </w:rPr>
              <w:t>Item 1.</w:t>
            </w:r>
          </w:p>
        </w:tc>
        <w:tc>
          <w:tcPr>
            <w:tcW w:w="838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rPr>
              <w:t>ZAFGEN,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6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Assets</w:t>
            </w:r>
          </w:p>
        </w:tc>
        <w:tc>
          <w:tcPr>
            <w:tcW w:w="620" w:type="dxa"/>
            <w:vAlign w:val="bottom"/>
            <w:shd w:val="clear" w:color="auto" w:fill="CCEEFF"/>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Tax incentive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3,010</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Notes payable, current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Notes payable, long-term</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4"/>
          </w:tcPr>
          <w:p>
            <w:pPr>
              <w:ind w:left="200"/>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90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4"/>
              </w:rPr>
              <w:t>Preferred stock; $0.001 par value per share; 5,000,000 shares authorized as of June 30, 2018 and 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2017; no shares issued and outstanding as of June 30, 2018 and 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9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$0.001 par value per share; 115,000,000 shares authorized as of June 30, 2018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2017; 27,578,989 and 27,489,457 shares issued and outstanding as of June 30, 2018 and December 31,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(321,308)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(289,577)</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38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46"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Foreign currency transaction (losses) gains,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(13,347</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27,565,064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27,407,408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27,553,394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27,379,122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(15,775)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(31,731)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Six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(31,731)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(26,358)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Depreciation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foreign currency transaction losses (gains)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Premium on marketable securities,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(discount) premium on marketable securities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Tax incentive receivable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(21,860)</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and maturities of marketable securities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79,994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(35,871)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(57,300)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20"/>
                <w:szCs w:val="20"/>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22,678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Repayments of notes payable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(1,559)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Payment of public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40,777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32,352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40,745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31,726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Property and equipment included in accounts payable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 costs included in accounts payable and accrued expenses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Zafgen, Inc., or the Company, was incorporated on November 22, 2005 under the laws of the State of Delaware. The Company is a clinical-stage biopharmaceutical company leveraging its proprietary methionine aminopeptidase 2 (“MetAP2”) biology platform to develop novel therapies for patients affected by complex metabolic diseases. Zafgen has pioneered the study of MetAP2 inhibitors in both common and rare metabolic disorders, and is currently advancing programs for type 2 diabetes, Prader-Willi syndrome (“PWS”) and liver diseases. The Company’s lead product candidate, ZGN-1061, a MetAP2 inhibitor with unique properties that maximize impact on metabolic parameters relevant to the treatment of type 2 diabetes and other related metabolic disorders, is in Phase 2 clinical development. In the second quarter of 2018 the initial part of the ZGN-1061 Phase 2 clinical trial met all of its primary endpoints at the 0.9 mg dose and 12-week data demonstrated a favorable safety and tolerability profile, with no treatment-related serious adverse events and no cardiovascular safety signals observed. The Company has opted to explore the higher end of the therapeutic range of ZGN-1061 by adding a 1.8 mg dose arm to the trial, which began in the second quarter of 2018. In January 2018, the Company announced advancement of its highly optimized MetAP2 development candidate ZGN-1258, and in the first quarter of 2018, initiated investigational new drug (“IND”) application enabling nonclinical efforts for evaluation of ZGN-1258 in the treatment of people affected by PWS.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8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Company has incurred losses and negative cash flows from operations since its inception. As of June 30, 2018, the Company had an accumulated deficit of $321.3 million. From its inception through June 30, 2018, the Company received net proceeds of $333.3 million from the sales of redeemable convertible preferred stock, the issuance of convertible promissory notes, the proceeds from its initial public offering (“IPO”) in June 2014 and its follow-on offering in January 2015. On July 2, 2018, the Company completed a public offering of its common stock, which resulted in the sale of 9,200,000 shares at a price of $7.50 per share, resulting in net proceeds of approximately $64.6 million after deducting underwriting discounts and commissions, as well as estimated offering costs. As disclosed in Note 5 to the condensed consolidated financial statements, the Company has a term loan with an aggregate principal balance of $20.3 million as of June 30, 2018 (the “Term Loan”). The loan agreement requires that the Company maintain certain minimum liquidity at all times, which as of June 30, 2018, was approximately $21.0 million. If the minimum liquidity covenant is not met, the Company may be required to repay the loans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83"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Based on its current operating plans, the Company believes its cash, cash equivalents and marketable securities of $75.8 million as of June 30, 2018 and amounts raised in its July 2018 public offering will be sufficient to fund its anticipated level of operations, capital expenditures and satisfy debt repayments for a period of at least one year from the issuance date of this Quarterly Report.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58"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condensed consolidated balance sheet as of December 31, 2017 was derived from the Company’s audited financial statements, but does not include all disclosures required by accounting principles generally accepted in the United States of America, or GAAP. The accompanying unaudited condensed consolidated financial statements as of June 30, 2018 and for the three and six months ended June 30, 2018 and 2017, have been prepared by the Company, pursuant to the rules and regulations of the Securities and Exchange Commission, or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2017, included in the Company’s Annual Report on Form 10-K, for the year ended December 31, 2017, on file with the SEC. In the opinion of management, all adjustments, consisting only of normal recurring adjustments necessary for a fair statement of the Company’s condensed consolidated financial position as of June 30, 2018 and condensed consolidated results of operations and cash flows for the three and six months ended June 30, 2018 and 2017 have been made. The results of operations for the three and six months ended June 30, 2018 are not necessarily indicative of the results of operations that may be expected for the year ending December 31, 2018.</w:t>
      </w:r>
    </w:p>
    <w:p>
      <w:pPr>
        <w:spacing w:after="0" w:line="273" w:lineRule="exact"/>
        <w:rPr>
          <w:sz w:val="20"/>
          <w:szCs w:val="20"/>
          <w:color w:val="auto"/>
        </w:rPr>
      </w:pPr>
    </w:p>
    <w:p>
      <w:pPr>
        <w:ind w:left="200" w:right="7460" w:firstLine="4"/>
        <w:spacing w:after="0" w:line="378"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left="200" w:right="160" w:firstLine="441"/>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Unrealized gains and losses are reported as a component of accumulated other comprehensive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6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excluded the following common stock equivalents, outstanding as of June 30, 2018 and 2017, from the computation of diluted net loss per share for the three and six months ended June 30, 2018 and 2017 because they had an anti-dilutive impact due to the net loss incurred for the periods: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20" w:type="dxa"/>
            <w:vAlign w:val="bottom"/>
            <w:gridSpan w:val="4"/>
          </w:tcPr>
          <w:p>
            <w:pPr>
              <w:ind w:left="5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3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6,261,528</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4,185,866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3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6,270,457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120" w:type="dxa"/>
            <w:vAlign w:val="bottom"/>
            <w:vMerge w:val="restart"/>
          </w:tcPr>
          <w:p>
            <w:pPr>
              <w:jc w:val="right"/>
              <w:ind w:right="2130"/>
              <w:spacing w:after="0"/>
              <w:rPr>
                <w:sz w:val="20"/>
                <w:szCs w:val="20"/>
                <w:color w:val="auto"/>
              </w:rPr>
            </w:pPr>
            <w:r>
              <w:rPr>
                <w:rFonts w:ascii="Arial" w:cs="Arial" w:eastAsia="Arial" w:hAnsi="Arial"/>
                <w:sz w:val="18"/>
                <w:szCs w:val="18"/>
                <w:color w:val="auto"/>
              </w:rPr>
              <w:t>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guidance will require that lease arrangements longer than 12 months result in an entity recognizing an asset and liability equal to the present value of the lease payments in the statement of financial position. This guidance is effective for annual periods beginning after December 15, 2018, and interim periods therein. This standard requires a modified retrospective transition approach for all leases existing at, or entered into after, the date of initial application, with an option to use certain transition relief. Early adoption is permitted. The Company is evaluating the effect that this guidance will have on its consolidated financial statements.</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This guidance addresses the presentation and classification of certain cash receipts and cash payments in the statement of cash flows. This standard was effective for the Company in 2018. The adoption of this guidance had no impact on the Company’s condensed consolidated financial statements as of and for the three and six months ended June 30, 2018.</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This guidance addresses which changes to the terms or conditions of a share-based payment award require an entity to apply modification accounting. This standard was effective for the Company in 2018. The adoption of this guidance had no impact on the Company’s condensed consolidated financial statements as of and for the three and six months ended June 30, 2018.</w:t>
      </w:r>
    </w:p>
    <w:p>
      <w:pPr>
        <w:spacing w:after="0" w:line="291" w:lineRule="exact"/>
        <w:rPr>
          <w:sz w:val="20"/>
          <w:szCs w:val="20"/>
          <w:color w:val="auto"/>
        </w:rPr>
      </w:pPr>
    </w:p>
    <w:p>
      <w:pPr>
        <w:ind w:left="200" w:right="6740" w:firstLine="4"/>
        <w:spacing w:after="0" w:line="378" w:lineRule="auto"/>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left="200" w:firstLine="441"/>
        <w:spacing w:after="0" w:line="271" w:lineRule="auto"/>
        <w:rPr>
          <w:sz w:val="20"/>
          <w:szCs w:val="20"/>
          <w:color w:val="auto"/>
        </w:rPr>
      </w:pPr>
      <w:r>
        <w:rPr>
          <w:rFonts w:ascii="Arial" w:cs="Arial" w:eastAsia="Arial" w:hAnsi="Arial"/>
          <w:sz w:val="17"/>
          <w:szCs w:val="17"/>
          <w:color w:val="auto"/>
        </w:rPr>
        <w:t>The following tables present information about the Company’s financial assets that have been measured at fair value as of June 30, 2018 and December 31, 2017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and six months ended June 30, 2018 and the year ended December 31, 2017, there were no transfers between Level 1 and Level 2 financial assets.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summarize the Company’s cash equivalents and marketable securities as of June 30, 2018 and December 31, 2017:</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0"/>
              </w:rPr>
              <w:t>June 30, 2018</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4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1200" w:type="dxa"/>
            <w:vAlign w:val="bottom"/>
            <w:gridSpan w:val="3"/>
          </w:tcPr>
          <w:p>
            <w:pPr>
              <w:jc w:val="center"/>
              <w:ind w:left="382"/>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8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Inputs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(Level 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$22,971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$22,971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480" w:type="dxa"/>
            <w:vAlign w:val="bottom"/>
          </w:tcPr>
          <w:p>
            <w:pPr>
              <w:spacing w:after="0"/>
              <w:rPr>
                <w:sz w:val="18"/>
                <w:szCs w:val="18"/>
                <w:color w:val="auto"/>
              </w:rPr>
            </w:pP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700"/>
              <w:spacing w:after="0"/>
              <w:rPr>
                <w:sz w:val="20"/>
                <w:szCs w:val="20"/>
                <w:color w:val="auto"/>
              </w:rPr>
            </w:pPr>
            <w:r>
              <w:rPr>
                <w:rFonts w:ascii="Arial" w:cs="Arial" w:eastAsia="Arial" w:hAnsi="Arial"/>
                <w:sz w:val="18"/>
                <w:szCs w:val="18"/>
                <w:color w:val="auto"/>
              </w:rPr>
              <w:t>Total cash equivalents</w:t>
            </w:r>
          </w:p>
        </w:tc>
        <w:tc>
          <w:tcPr>
            <w:tcW w:w="1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36,251</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12,121</w:t>
            </w:r>
          </w:p>
        </w:tc>
        <w:tc>
          <w:tcPr>
            <w:tcW w:w="480" w:type="dxa"/>
            <w:vAlign w:val="bottom"/>
          </w:tcPr>
          <w:p>
            <w:pPr>
              <w:spacing w:after="0"/>
              <w:rPr>
                <w:sz w:val="18"/>
                <w:szCs w:val="18"/>
                <w:color w:val="auto"/>
              </w:rPr>
            </w:pP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12,121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marketable securities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 cash equivalents and marketable securities</w:t>
            </w:r>
          </w:p>
        </w:tc>
        <w:tc>
          <w:tcPr>
            <w:tcW w:w="1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71,355</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22,971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48,384</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20" w:type="dxa"/>
            <w:vAlign w:val="bottom"/>
            <w:vMerge w:val="restart"/>
          </w:tcPr>
          <w:p>
            <w:pPr>
              <w:jc w:val="right"/>
              <w:ind w:right="67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4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1200" w:type="dxa"/>
            <w:vAlign w:val="bottom"/>
            <w:gridSpan w:val="3"/>
          </w:tcPr>
          <w:p>
            <w:pPr>
              <w:jc w:val="center"/>
              <w:ind w:left="37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8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Inputs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(Level 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$15,802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1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50,844</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9,951</w:t>
            </w:r>
          </w:p>
        </w:tc>
        <w:tc>
          <w:tcPr>
            <w:tcW w:w="4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700"/>
              <w:spacing w:after="0"/>
              <w:rPr>
                <w:sz w:val="20"/>
                <w:szCs w:val="20"/>
                <w:color w:val="auto"/>
              </w:rPr>
            </w:pPr>
            <w:r>
              <w:rPr>
                <w:rFonts w:ascii="Arial" w:cs="Arial" w:eastAsia="Arial" w:hAnsi="Arial"/>
                <w:sz w:val="18"/>
                <w:szCs w:val="18"/>
                <w:color w:val="auto"/>
              </w:rPr>
              <w:t>Total marketable securities</w:t>
            </w:r>
          </w:p>
        </w:tc>
        <w:tc>
          <w:tcPr>
            <w:tcW w:w="1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4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 and marketable securities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78,624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62,822</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the Company’s marketable securities as of June 30, 2018 and December 31, 2017:</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June 30, 2018</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60" w:type="dxa"/>
            <w:vAlign w:val="bottom"/>
            <w:gridSpan w:val="2"/>
            <w:vMerge w:val="restart"/>
          </w:tcPr>
          <w:p>
            <w:pPr>
              <w:jc w:val="center"/>
              <w:ind w:left="1474"/>
              <w:spacing w:after="0"/>
              <w:rPr>
                <w:sz w:val="20"/>
                <w:szCs w:val="20"/>
                <w:color w:val="auto"/>
              </w:rPr>
            </w:pPr>
            <w:r>
              <w:rPr>
                <w:rFonts w:ascii="Arial" w:cs="Arial" w:eastAsia="Arial" w:hAnsi="Arial"/>
                <w:sz w:val="14"/>
                <w:szCs w:val="14"/>
                <w:b w:val="1"/>
                <w:bCs w:val="1"/>
                <w:color w:val="auto"/>
                <w:w w:val="96"/>
              </w:rPr>
              <w:t>Amortized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6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5"/>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Corporate bonds (due within 1 year)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$ 12,126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(due within 1 year)</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U.S. government securities (due within 1 year)</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$ 35,110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60" w:type="dxa"/>
            <w:vAlign w:val="bottom"/>
            <w:gridSpan w:val="2"/>
            <w:vMerge w:val="restart"/>
          </w:tcPr>
          <w:p>
            <w:pPr>
              <w:jc w:val="center"/>
              <w:ind w:left="1474"/>
              <w:spacing w:after="0"/>
              <w:rPr>
                <w:sz w:val="20"/>
                <w:szCs w:val="20"/>
                <w:color w:val="auto"/>
              </w:rPr>
            </w:pPr>
            <w:r>
              <w:rPr>
                <w:rFonts w:ascii="Arial" w:cs="Arial" w:eastAsia="Arial" w:hAnsi="Arial"/>
                <w:sz w:val="14"/>
                <w:szCs w:val="14"/>
                <w:b w:val="1"/>
                <w:bCs w:val="1"/>
                <w:color w:val="auto"/>
                <w:w w:val="96"/>
              </w:rPr>
              <w:t>Amortized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6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5"/>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Corporate bonds (due within 1 year)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$ 50,892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(due within 1 year)</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Certificates of deposit (due within 1 year)</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$ 61,333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vMerge w:val="restart"/>
          </w:tcPr>
          <w:p>
            <w:pPr>
              <w:jc w:val="right"/>
              <w:ind w:right="774"/>
              <w:spacing w:after="0"/>
              <w:rPr>
                <w:sz w:val="20"/>
                <w:szCs w:val="20"/>
                <w:color w:val="auto"/>
              </w:rPr>
            </w:pPr>
            <w:r>
              <w:rPr>
                <w:rFonts w:ascii="Arial" w:cs="Arial" w:eastAsia="Arial" w:hAnsi="Arial"/>
                <w:sz w:val="18"/>
                <w:szCs w:val="18"/>
                <w:color w:val="auto"/>
              </w:rPr>
              <w:t>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 as of June 30, 2018 and December 31, 2017:</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4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$ 2,271</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other</w:t>
            </w:r>
          </w:p>
        </w:tc>
        <w:tc>
          <w:tcPr>
            <w:tcW w:w="15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4,448</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Upon entering into this Term Loan, the Company is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June 30, 2018 was 5.00%.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Additionally, the Company, as the borrower, is required to maintain a minimum cash, cash equivalents and marketable securities balance at Silicon Valley Bank of no less than 105% of the total outstanding principal balance of the Term Loan, which was $21.0 million as of June 30, 2018 and December 31, 2017.</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 as of 45 days after the Term Loan was entered in, the Company met its obligation to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7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permit the aggregate value of cash maintained by its Australian subsidiary not to exceed $4.0 million and certain other business transactions.</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2018 and December 31, 2017, notes payable was $20.3 million and $20.0 million,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June 30, 2018, the estimated future principal payments due are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During the three and six months ended June 30, 2018, the Company recognized $0.5 million and $0.9 million, respectively, of interest expense related to the Term Loan. The effective annual interest rate of the outstanding debt under the Term Loan is approximately 9.4%.</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both the three and six months ended June 30, 2017, the Company recognized $0.1 million, of interest expense related to borrowings under the loan and security agreement with Oxford Finance LLC and Midcap Financial (the “2014 Credit Facility”), which was repaid in full in December 2017. The effective annual interest rate of the debt under the 2014 Credit Facility was approximately 10.8%.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also has outstanding stock-based awards under its Amended and Restated 2006 Stock Option Plan but is no longer granting awards under this plan. As of June 30, 2018, 1,464,948 shares are available for grant under the 2014 Plan, including 1,099,578 shares automatically added to the 2014 Stock Option Plan on January 1, 2018.</w:t>
      </w:r>
    </w:p>
    <w:p>
      <w:pPr>
        <w:spacing w:after="0" w:line="158"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The Company recorded stock-based compensation expense related to stock options and restricted common stock in the following expense categories within its condensed consolidated statements of operations for the three and six months ended June 30, 2018 and 2017 as follows: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4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4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rPr>
              <w:t>Ended June 30,</w:t>
            </w:r>
          </w:p>
        </w:tc>
        <w:tc>
          <w:tcPr>
            <w:tcW w:w="340" w:type="dxa"/>
            <w:vAlign w:val="bottom"/>
          </w:tcPr>
          <w:p>
            <w:pPr>
              <w:spacing w:after="0"/>
              <w:rPr>
                <w:sz w:val="14"/>
                <w:szCs w:val="14"/>
                <w:color w:val="auto"/>
              </w:rPr>
            </w:pPr>
          </w:p>
        </w:tc>
        <w:tc>
          <w:tcPr>
            <w:tcW w:w="138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164"/>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1,225</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right="8200" w:firstLine="4"/>
        <w:spacing w:after="0" w:line="378" w:lineRule="auto"/>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200" w:right="40" w:firstLine="441"/>
        <w:spacing w:after="0" w:line="255" w:lineRule="auto"/>
        <w:rPr>
          <w:sz w:val="20"/>
          <w:szCs w:val="20"/>
          <w:color w:val="auto"/>
        </w:rPr>
      </w:pPr>
      <w:r>
        <w:rPr>
          <w:rFonts w:ascii="Arial" w:cs="Arial" w:eastAsia="Arial" w:hAnsi="Arial"/>
          <w:sz w:val="18"/>
          <w:szCs w:val="18"/>
          <w:color w:val="auto"/>
        </w:rPr>
        <w:t>The Company has a lease for office space in Boston, Massachusetts, effective as of July 28, 2014, with a term expiring July 31, 2020. In March 2015, the Company entered into an operating lease for additional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June 30, 2019, and the Company expects to receive approximately $0.3 million in sublease rental income. In October 2015, the Company entered into an operating lease for office space in San Diego, California, effective as of October 1, 2015, with a term expiring on September 30, 2019, and an option to extend this lease for five additional years.</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lease payments for its operating leases as of June 30, 2018 were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6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(July - December)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27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During the three months ended June 30, 2018 and 2017, the Company recognized $0.1 million of rental expense related to office space. During the six months ended June 30, 2018 and 2017, the Company recognized $0.2 million of rental expense related to office space.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June 30, 2018,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were no milestones achieved during the three or six months ended June 30, 2018 and 2017 and the development related to this technology is no longer active. The Company is also obligated to pay to the licensors a percentage of fees received if and when the Company sublicenses the technology. As of June 30, 2018, the Company has not yet developed a commercial product using the licensed technologies and it has not entered into any sublicense agreements for the technologies.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June 30, 2018.</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 The Company terminated its Savings Incentive Match Plan, or SIMPLE IRA as of December 31, 2017.</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During the three and six months ended June 30, 2018, the Company recognized $0.1 million and $0.2 million, respectively, of expense related to its contributions to the 401(k) plan.</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During the three and six months ended June 30, 2017, the Company recognized less than $0.1 million and $0.1 million, respectively, of expense related to its contributions to the SIMPLE IRA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three months ended June 30, 2018 and 2017, $0.4 million and $0.2 million, respectively, were recorded as a reduction to research and development expenses in the condensed consolidated statements of operations. For the six months ended June 30, 2018 and June 30, 2017, $1.0 million and $0.2 million, respectively, were recorded as a reduction to research and development expenses in the condensed consolidated statements of operations. These amounts represented</w:t>
      </w:r>
    </w:p>
    <w:p>
      <w:pPr>
        <w:spacing w:after="0" w:line="2"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43.5% of the Company’s qualified research and development spending in Australia. The refund is denominated in Australian dollars and, therefore, the related receivable is re-measured into U.S. dollars as of each reporting date. For the three months ended June 30, 2018 and 2017, the Company recorded in its condensed consolidated statements of operations unrealized foreign currency exchange losses of $0.1 million and gains of nil, respectively, related to this tax incentive receivable. For the six months ended June 30, 2018 and 2017, the Company recorded in its condensed consolidated statements of operations unrealized foreign currency exchange losses of $0.1 million and gains of less than $0.1 million, respectively, related to this tax incentive receivable. As of June 30, 2018 and December 31, 2017, the Company’s tax incentive receivable from the Australian government was $1.8 million and $0.9 million, respectively.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Subsequent Event</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July 2, 2018, the Company completed a public offering of its common stock, which resulted in the sale of 9,200,000 shares at a price of $7.50 per share, resulting in net proceeds of approximately $64.6 million after deducting underwriting discounts and commissions, as well as estimated offering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2017 included in our Annual Report on Form 10-K for the year ended December 31, 2017,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lower-limb amputation and blindness. Existing agents, while effective in reducing blood glucose levels, fail to reduce progression of the disease, which is driven by loss of function of insulin-producing beta cells and by loss of sensitivity to insulin action. It is estimated that approximately one-third of patients progress to needing insulin (recently estimated to be a $20 billion market based on annual sales). New therapies are needed to improve glycemic control and reduce comorbidities of type 2 diabetes.</w:t>
      </w:r>
    </w:p>
    <w:p>
      <w:pPr>
        <w:spacing w:after="0" w:line="17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have also initiated development of a second, highly-optimized MetAP2 development candidate, ZGN-1258, which is administered by subcutaneous injection. We expect that our initial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8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initiated investigational new drug application, or IND, enabling nonclinical activities in the first quarter of 2018, in preparation for filing an IND with the U.S. Food and Drug Administration, or FDA, and plan to begin Phase 1 clinical development by the end of 2018. We anticipate our Phase 1</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clinical program of ZGN-1258 will be focused on evaluation of drug exposure, safety and tolerability following single doses in healthy subjects, and understanding the dose-responsiveness of changes following repeat dosing for circulating biomarkers of drug effect, body weight change, and changes in hunger-related parameters in overweight or obese but otherwise healthy subjects. Providing the results of the Phase 1 clinical program are supportive of further development, subsequent clinical trials are anticipated to evaluate the effects of treatment with ZGN-1258 on core therapeutic endpoints in PWS such as improvement of hyperphagia-related behaviors. We have launched a co-sponsored four-year natural history study to advance understanding of the medical history of and medical events in people with PWS. The study is a non-interventional, observational study to evaluate occurrences of serious medical events in PWS, intended to inform development and clinical trial design for potential new treatments for PWS, including ZGN-1258, our new, second-generation program for PWS designed to decrease hyperphagia, change the way the body metabolizes fat, and reduce fat mass.</w:t>
      </w:r>
    </w:p>
    <w:p>
      <w:pPr>
        <w:spacing w:after="0" w:line="166"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Both ZGN-1061 and ZGN-1258 were discovered by our researchers as part of a multi-year campaign to identify highly potent and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ZGN-1061 and ZGN-1258 are differentiated from each other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development of ZGN-1061 for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also conducting a Phase 2 clinical trial of ZGN-1061 in Australia and New Zealand, which is designed to demonstrate proof-of-concept efficacy and safety in patients with type 2 diabetes and establish minimally effective doses. The initial part of the Phase 2 clinical trial has met its primary objectives at a 0.9 mg dose as compared to a placebo and 12-week data has demonstrated a favorable safety and tolerability profile, with no treatment-related serious adverse events and no cardiovascular safety signals observed. ZGN-1061 was generally safe and well-tolerated, with primarily mild to moderate adverse events and an overall high study completion rate (95%). We expect to report the results of an additional cohort arm dosing up to 1.8 mg early in 2019.</w:t>
      </w:r>
    </w:p>
    <w:p>
      <w:pPr>
        <w:spacing w:after="0" w:line="19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 – MetAP2 and GLP-1. From nonclinical data in a nonalcoholic steatohepatitis, or NASH, model, we further observed that ZGN-1061 markedly reduced liver weight, NAS score and markers of liver damage (ALT and AST). These NASH-related data, combined with previous gene expression data and clinical liver fat content data from Zafgen’s first-generation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167"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Since our inception in November 2005, we have devoted substantially all of our resources to developing ZGN-1061, ZGN-1258,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During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estimated offering costs. After giving effect to the estimated net proceeds from our public offering of our common stock the unaudited pro forma cash, cash equivalents and marketable securities balance was $140.4 million as of June 30, 2018.</w:t>
      </w:r>
    </w:p>
    <w:p>
      <w:pPr>
        <w:spacing w:after="0" w:line="169" w:lineRule="exact"/>
        <w:rPr>
          <w:sz w:val="20"/>
          <w:szCs w:val="20"/>
          <w:color w:val="auto"/>
        </w:rPr>
      </w:pPr>
    </w:p>
    <w:p>
      <w:pPr>
        <w:ind w:left="200" w:right="860" w:firstLine="441"/>
        <w:spacing w:after="0" w:line="308" w:lineRule="auto"/>
        <w:rPr>
          <w:sz w:val="20"/>
          <w:szCs w:val="20"/>
          <w:color w:val="auto"/>
        </w:rPr>
      </w:pPr>
      <w:r>
        <w:rPr>
          <w:rFonts w:ascii="Arial" w:cs="Arial" w:eastAsia="Arial" w:hAnsi="Arial"/>
          <w:sz w:val="17"/>
          <w:szCs w:val="17"/>
          <w:color w:val="auto"/>
        </w:rPr>
        <w:t>We have never generated any revenue and have incurred net losses in each year since our inception. We have an accumulated deficit of $321.3 million as of June 30, 2018. Our net loss was $31.7 million for the six months ended June 30, 2018 and $52.0 million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for the year ended December 31, 2017.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development and into clinical trials;</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that we can generate significant revenue from product sales, if ever, we expect to finance our operations through a combination of public,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June 30, 2018 and proceeds from our July 2018 public offering will enable us to fund our operating expenses and capital expenditure requirements for a period of at least one year from the issuance date of this Quarterly Report. See “—Liquidity and Capital Resources.”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76" w:lineRule="exact"/>
        <w:rPr>
          <w:sz w:val="20"/>
          <w:szCs w:val="20"/>
          <w:color w:val="auto"/>
        </w:rPr>
      </w:pPr>
    </w:p>
    <w:p>
      <w:pPr>
        <w:ind w:left="1060" w:right="6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ectPr>
          <w:pgSz w:w="11900" w:h="16838" w:orient="portrait"/>
          <w:cols w:equalWidth="0" w:num="1">
            <w:col w:w="11160"/>
          </w:cols>
          <w:pgMar w:left="240" w:top="459" w:right="499" w:bottom="1440" w:gutter="0" w:footer="0" w:header="0"/>
        </w:sectPr>
      </w:pP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60"/>
          </w:cols>
          <w:pgMar w:left="240" w:top="459" w:right="4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Currently, we are primarily focused on developing ZGN-1061, ZGN-1258 and are conducting other early research activities. We typically use our employee, consultant and infrastructure resources across our research and development programs. We track outsourced research and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7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later stages of clinical development of our product candidates.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92"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remain relatively consistent during 2018 as compared to 2017.</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cash equivalents and marketable securities. Our interest income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due to low interest earned on invested balances. We anticipate that our interest income will increase following the July 2, 2018 public offering and will subsequently decrease as we continue to incur operating losses.</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three and six months ended June 30, 2018 relates to the loan and security agreement with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Bank, or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Interest expense during the three and six months ended June 30, 2017, relates to outstanding borrowings under the loan and security agreement with Oxford Finance LLC and Midcap Financial, or the 2014 Credit Facility, consisting of the stated interest of 8.1% per year due on outstanding borrowings, a final payment of 6% of amounts drawn down that was recorded as interest expense over the term through the maturity date using the effective-interest method, the amortization of deferred financing costs, the accretion of debt discounts relating to the 2014 Credit Facility, which was repaid in full in December 2017.</w:t>
      </w:r>
    </w:p>
    <w:p>
      <w:pPr>
        <w:sectPr>
          <w:pgSz w:w="11900" w:h="16838" w:orient="portrait"/>
          <w:cols w:equalWidth="0" w:num="1">
            <w:col w:w="11180"/>
          </w:cols>
          <w:pgMar w:left="240" w:top="459" w:right="479" w:bottom="1440" w:gutter="0" w:footer="0" w:header="0"/>
        </w:sectPr>
      </w:pP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80"/>
          </w:cols>
          <w:pgMar w:left="240" w:top="459" w:right="4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Foreign currency gains (losses), net. </w:t>
      </w:r>
      <w:r>
        <w:rPr>
          <w:rFonts w:ascii="Arial" w:cs="Arial" w:eastAsia="Arial" w:hAnsi="Arial"/>
          <w:sz w:val="16"/>
          <w:szCs w:val="16"/>
          <w:color w:val="auto"/>
        </w:rPr>
        <w:t>Foreign currency transaction gains (losses),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the Tax Cuts and Jobs Act, or the TCJA, was signed into United States law. The TCJA includes a number of changes to existing tax law, including, among other things, a permanent reduction in the federal corporate income tax rate from a top marginal rate of 34% down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a reduction in the gross amount of our deferred tax assets recorded as of December 31, 2017 with an offsetting reduction in the related valuation allowance, resulting in no income tax expense or benefit being recognized as of the enactment date of the TCJA. In accordance with guidance in SEC Staff Accounting Bulletin No. 118, the final determination of the remeasurement of our deferred assets and liabilities will be completed as additional information becomes available, but no later than one year from the date of enactment of the 2017 Tax Act.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three months ended June 30,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three months ended June 30, 2018 and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0"/>
          </w:tcPr>
          <w:p>
            <w:pPr>
              <w:jc w:val="center"/>
              <w:ind w:left="73"/>
              <w:spacing w:after="0"/>
              <w:rPr>
                <w:sz w:val="20"/>
                <w:szCs w:val="20"/>
                <w:color w:val="auto"/>
              </w:rPr>
            </w:pPr>
            <w:r>
              <w:rPr>
                <w:rFonts w:ascii="Arial" w:cs="Arial" w:eastAsia="Arial" w:hAnsi="Arial"/>
                <w:sz w:val="14"/>
                <w:szCs w:val="14"/>
                <w:b w:val="1"/>
                <w:bCs w:val="1"/>
                <w:color w:val="auto"/>
                <w:w w:val="92"/>
              </w:rPr>
              <w:t>Three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80" w:type="dxa"/>
            <w:vAlign w:val="bottom"/>
            <w:gridSpan w:val="3"/>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vMerge w:val="restart"/>
          </w:tcPr>
          <w:p>
            <w:pPr>
              <w:jc w:val="center"/>
              <w:ind w:left="54"/>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12,209</w:t>
            </w:r>
          </w:p>
        </w:tc>
        <w:tc>
          <w:tcPr>
            <w:tcW w:w="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10,528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15,560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13,536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(15,560)</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(13,536)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(2,024)</w:t>
            </w:r>
          </w:p>
        </w:tc>
        <w:tc>
          <w:tcPr>
            <w:tcW w:w="0" w:type="dxa"/>
            <w:vAlign w:val="bottom"/>
          </w:tcPr>
          <w:p>
            <w:pPr>
              <w:spacing w:after="0"/>
              <w:rPr>
                <w:sz w:val="1"/>
                <w:szCs w:val="1"/>
                <w:color w:val="auto"/>
              </w:rPr>
            </w:pPr>
          </w:p>
        </w:tc>
      </w:tr>
      <w:tr>
        <w:trPr>
          <w:trHeight w:val="223"/>
        </w:trPr>
        <w:tc>
          <w:tcPr>
            <w:tcW w:w="7160" w:type="dxa"/>
            <w:vAlign w:val="bottom"/>
            <w:gridSpan w:val="2"/>
          </w:tcPr>
          <w:p>
            <w:pPr>
              <w:ind w:left="8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(215)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(15,775)</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(13,347)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(2,428)</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ZGN-1061: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Nonclinical and manufacturing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1,327</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720"/>
              <w:spacing w:after="0"/>
              <w:rPr>
                <w:sz w:val="20"/>
                <w:szCs w:val="20"/>
                <w:color w:val="auto"/>
              </w:rPr>
            </w:pPr>
            <w:r>
              <w:rPr>
                <w:rFonts w:ascii="Arial" w:cs="Arial" w:eastAsia="Arial" w:hAnsi="Arial"/>
                <w:sz w:val="18"/>
                <w:szCs w:val="18"/>
                <w:color w:val="auto"/>
              </w:rPr>
              <w:t>Clinical trials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1,401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(2,175)</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ZGN-1258</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Discovery and screening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2,230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stock-based compensation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12,209</w:t>
            </w:r>
          </w:p>
        </w:tc>
        <w:tc>
          <w:tcPr>
            <w:tcW w:w="12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Research and development expenses for the three months ended June 30, 2018 increased $1.7 million compared to the three months ended</w:t>
      </w:r>
    </w:p>
    <w:p>
      <w:pPr>
        <w:spacing w:after="0" w:line="3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June 30, 2017. The increase was primarily due to an increase of $2.9 million related to our ZGN-1258 program, as well as an increase in our unallocated expenses of $0.9 million, partially offset by decreased costs of $2.2 million associated with our ZGN-1061 program.</w:t>
      </w:r>
    </w:p>
    <w:p>
      <w:pPr>
        <w:spacing w:after="0" w:line="184"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Costs associated with our ZGN-1258 program for the three months ended June 30, 2018 are due to our advancement of the program in January 2018, and in the first quarter of 2018 our initiation of the IND enabling nonclinical efforts for evaluation of ZGN-1258 initially in the treatment of people affected by PWS. Our discovery and screening costs have increased $0.1 million from the three months ended June 30, 2018 as compared to the three months ended June 30, 2017. Based on our experience in MetAP2 inhibitor development, we are now exploring new chemical approaches to identify new molecules targeting the liver for treatment of metabolic liver diseases.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Unallocated expenses increased to $5.0 million for the three months ended June 30, 2018 compared to $4.1 million for the same period of 2017 primarily due to an increase of $0.8 million in non-cash stock-based compensation, as well as an increase in personnel related costs of $0.4 million. Non-cash stock-based compensation has increased for the three months ended June 30, 2018 primarily due to personnel transfers between functional areas. Personnel related expenses increased primarily due to the hiring of four employees from July 2017 to June 2018 and personnel transfers between functional areas.</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Costs associated with our ZGN-1061 program decreased to $2.7 million for the three months ended June 30, 2018 compared to $4.9 million for the same period of 2017, or $2.2 million, primarily due to a decrease in nonclinical and manufacturing costs of $2.6 million. During the 2017 period, costs included additional nonclinical studies and drug product and drug substance activities, as we were planning for our Phase 2 clinical trial which commenced in the third quarter of 2017 in both Australia and New Zealand, for which we enrolled 137 patients in a 12 week clinical trial. Partially offsetting the decrease in nonclinical and manufacturing costs of our ZGN-1061 program is an increase in costs associated with our clinical trials for our ZGN-1061 program of $0.5 million. The majority of the expenses during the three months ended June 30, 2017 were for final costs for a Phase 1 clinical trial of ZGN-1061 in the Netherlands, which was comprised of 39 patients in a single ascending dose, or SAD, portion and 29 patients in a multiple ascending dose, or MAD, portion, while the expenses during the three months ended June 30, 2018 are for the larger Phase 2 clinical trial.</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ind w:left="155"/>
              <w:spacing w:after="0"/>
              <w:rPr>
                <w:sz w:val="20"/>
                <w:szCs w:val="20"/>
                <w:color w:val="auto"/>
              </w:rPr>
            </w:pPr>
            <w:r>
              <w:rPr>
                <w:rFonts w:ascii="Arial" w:cs="Arial" w:eastAsia="Arial" w:hAnsi="Arial"/>
                <w:sz w:val="14"/>
                <w:szCs w:val="14"/>
                <w:b w:val="1"/>
                <w:bCs w:val="1"/>
                <w:color w:val="auto"/>
                <w:w w:val="93"/>
              </w:rPr>
              <w:t>Three Months Ended 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3,351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3,008</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General and administrative expenses for the three months ended June 30, 2018 increased $0.3 million compared to the three months ended June 30, 2017. The increase was due to an increase in professional fees of $0.3 million and personnel related costs of $0.2 million. Professional fees increased primarily due to recruiting expenses for new key employees and legal expenses associated with the filing of multi-country patents. Personnel related costs increased as a result of hiring four employees from December 2017 through June 2018. These increases were partially offset by decreases in non-cash stock-based compensation expense of $0.2 million. Non-cash stock-based compensation expense decreased due mainly to personnel transfers between functional areas.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three months ended June 30, 2018 and 2017 was $0.5 million and $0.1 million, respectively.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expense for the three months ended June 30, 2018 is primarily due to the Term Loan of $20.0 million,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 The interest expense for the three months ended June 30, 2017 relates to the 2014 Credit Facility, which was repaid in full in December 2017.</w:t>
      </w:r>
    </w:p>
    <w:p>
      <w:pPr>
        <w:spacing w:after="0" w:line="17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$0.3 million and $0.2 million for the three months ended June 30,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(losses) of $(0.1) million and less then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six months ended June 30, 2018 and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0"/>
          </w:tcPr>
          <w:p>
            <w:pPr>
              <w:jc w:val="center"/>
              <w:ind w:left="52"/>
              <w:spacing w:after="0"/>
              <w:rPr>
                <w:sz w:val="20"/>
                <w:szCs w:val="20"/>
                <w:color w:val="auto"/>
              </w:rPr>
            </w:pPr>
            <w:r>
              <w:rPr>
                <w:rFonts w:ascii="Arial" w:cs="Arial" w:eastAsia="Arial" w:hAnsi="Arial"/>
                <w:sz w:val="14"/>
                <w:szCs w:val="14"/>
                <w:b w:val="1"/>
                <w:bCs w:val="1"/>
                <w:color w:val="auto"/>
                <w:w w:val="92"/>
              </w:rPr>
              <w:t>Six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80" w:type="dxa"/>
            <w:vAlign w:val="bottom"/>
            <w:gridSpan w:val="3"/>
            <w:vMerge w:val="restart"/>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vMerge w:val="restart"/>
          </w:tcPr>
          <w:p>
            <w:pPr>
              <w:jc w:val="center"/>
              <w:ind w:left="54"/>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4"/>
          </w:tcPr>
          <w:p>
            <w:pPr>
              <w:jc w:val="right"/>
              <w:ind w:right="88"/>
              <w:spacing w:after="0"/>
              <w:rPr>
                <w:sz w:val="20"/>
                <w:szCs w:val="20"/>
                <w:color w:val="auto"/>
              </w:rPr>
            </w:pPr>
            <w:r>
              <w:rPr>
                <w:rFonts w:ascii="Arial" w:cs="Arial" w:eastAsia="Arial" w:hAnsi="Arial"/>
                <w:sz w:val="18"/>
                <w:szCs w:val="18"/>
                <w:color w:val="auto"/>
              </w:rPr>
              <w:t>24,642</w:t>
            </w:r>
          </w:p>
        </w:tc>
        <w:tc>
          <w:tcPr>
            <w:tcW w:w="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20,205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6,620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6,596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31,262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26,801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(31,262)</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(26,801)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(4,461)</w:t>
            </w:r>
          </w:p>
        </w:tc>
        <w:tc>
          <w:tcPr>
            <w:tcW w:w="0" w:type="dxa"/>
            <w:vAlign w:val="bottom"/>
          </w:tcPr>
          <w:p>
            <w:pPr>
              <w:spacing w:after="0"/>
              <w:rPr>
                <w:sz w:val="1"/>
                <w:szCs w:val="1"/>
                <w:color w:val="auto"/>
              </w:rPr>
            </w:pPr>
          </w:p>
        </w:tc>
      </w:tr>
      <w:tr>
        <w:trPr>
          <w:trHeight w:val="223"/>
        </w:trPr>
        <w:tc>
          <w:tcPr>
            <w:tcW w:w="7160" w:type="dxa"/>
            <w:vAlign w:val="bottom"/>
            <w:gridSpan w:val="2"/>
          </w:tcPr>
          <w:p>
            <w:pPr>
              <w:ind w:left="8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w w:val="90"/>
              </w:rPr>
              <w:t>(924)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0"/>
              </w:rPr>
              <w:t>(136)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(469)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(31,731)</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(26,358)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(5,373)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1"/>
              </w:rPr>
              <w:t>Six Months Ended June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ZGN-1061: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Nonclinical and manufacturing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2,866</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(5,002)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720"/>
              <w:spacing w:after="0"/>
              <w:rPr>
                <w:sz w:val="20"/>
                <w:szCs w:val="20"/>
                <w:color w:val="auto"/>
              </w:rPr>
            </w:pPr>
            <w:r>
              <w:rPr>
                <w:rFonts w:ascii="Arial" w:cs="Arial" w:eastAsia="Arial" w:hAnsi="Arial"/>
                <w:sz w:val="18"/>
                <w:szCs w:val="18"/>
                <w:color w:val="auto"/>
              </w:rPr>
              <w:t>Clinical trials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3,914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(3,517)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ZGN-1258</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Discovery and screening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14,733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12,366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stock-based compensation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24,642</w:t>
            </w:r>
          </w:p>
        </w:tc>
        <w:tc>
          <w:tcPr>
            <w:tcW w:w="12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20,205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Research and development expenses for the six months ended June 30, 2018 increased $4.4 million compared to the six months ended June 30,</w:t>
      </w:r>
    </w:p>
    <w:p>
      <w:pPr>
        <w:spacing w:after="0" w:line="46"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2017. The increase was primarily due to an increase of $4.5 million related to our ZGN-1258 program, an increase in discovery and screening expenses of $1.4 million, as well as an increase in our unallocated expenses of $2.1 million, partially offset by decreased costs of $3.5 million associated with our ZGN-1061 program.</w:t>
      </w:r>
    </w:p>
    <w:p>
      <w:pPr>
        <w:spacing w:after="0" w:line="190"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Costs associated with our ZGN-1258 program for the six months ended June 30, 2018 are due to our advancement of this program in January 2018, and in the first quarter of 2018, initiated IND enabling nonclinical efforts, for evaluation of ZGN-1258 in the treatment of people affected by PWS. Our discovery and screening costs have increased period over period. Based on our experience in MetAP2 inhibitor development, we are now exploring new chemical approaches to identity new molecules for an oral MetAP2 inhibitor.</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Unallocated expenses increased period over period primarily due to an increase of $1.5 million in non-cash stock-based compensation, as well as an increase in personnel related costs of $0.9 million. Non-cash stock-based compensation has increased primarily due to personnel transfers between functional areas. Personnel related expenses increased primarily due to the hiring of four employees from July 2017 to June 2018.</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Costs associated with our ZGN-1061 program decreased period over period by $3.5 million, primarily due to a decrease in nonclinical and manufacturing costs of $5.0 million. During the 2017 period, costs increased primarily as a result of additional nonclinical studies and drug product and drug substance activities, as we were planning for our Phase 2 clinical trial which commenced in the third quarter of 2017 in both Australia and New Zealand, for which we enrolled 137 patients in a 12 week clinical trial. Partially offsetting the decrease in nonclinical and manufacturing costs of our ZGN-1061 program was an increase in costs associated with our clinical trials for our ZGN-1061 program of $1.5 million. The expenses during the 2017 period were for final costs for a Phase 1 clinical trial of ZGN-1061 in the Netherlands, which was comprised of 39 patients in a SAD portion and 29 patients in a MAD portion, while the expenses during the 2018 period are for the larger Phase 2 clinical trial.</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Borders>
              <w:bottom w:val="single" w:sz="8" w:color="auto"/>
            </w:tcBorders>
            <w:gridSpan w:val="7"/>
          </w:tcPr>
          <w:p>
            <w:pPr>
              <w:jc w:val="center"/>
              <w:ind w:left="319"/>
              <w:spacing w:after="0"/>
              <w:rPr>
                <w:sz w:val="20"/>
                <w:szCs w:val="20"/>
                <w:color w:val="auto"/>
              </w:rPr>
            </w:pPr>
            <w:r>
              <w:rPr>
                <w:rFonts w:ascii="Arial" w:cs="Arial" w:eastAsia="Arial" w:hAnsi="Arial"/>
                <w:sz w:val="14"/>
                <w:szCs w:val="14"/>
                <w:b w:val="1"/>
                <w:bCs w:val="1"/>
                <w:color w:val="auto"/>
                <w:w w:val="92"/>
              </w:rPr>
              <w:t>Six Months Ended 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20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0"/>
                <w:szCs w:val="10"/>
                <w:color w:val="auto"/>
              </w:rPr>
            </w:pP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2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$1,386</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$1,213</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1,901</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2,327</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2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6,620</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6,596</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General and administrative expenses for the six months ended June 30, 2018 increased less than $0.1 million compared to the six months ended June 30, 2017. The increase was due to an increase in professional fees of $0.2 million and personnel related costs of $0.2 million. Professional fees increased primarily due to recruiting expenses for new key employees and legal expenses associated with the filing of multi-country patents. Personnel related costs increased as a result of hiring four employees from December 2017 through June 2018. These increases were offset by a decrease in non-cash stock-based compensation of $0.5 million. Non-cash stock-based compensation expense decreased due mainly to personnel transfers between functional areas.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six months ended June 30, 2018 and 2017 was $0.9 million and $0.1 million, respectively.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relates to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 The 2017 period relates to borrowings under the 2014 Credit Facility, which was repaid in full in December 2017.</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$0.6 million and $0.5 million for the six months ended June 30,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(losses) of $(0.1) million and $0.1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As of June 30, 2018, we had cash, cash equivalents and marketable securities totaling $75.8 million. We invest our cash in money market funds, commercial paper, corporate bonds and U.S. government securities, with the primary objectives to preserve principal, provide liquidity and maximize income without significantly increasing risk.</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Since our inception in November 2005, we have not generated any revenue and have incurred recurring net losses. As of June 30, 2018, we had an accumulated deficit of $321.3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During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estimated offering costs.</w:t>
      </w:r>
    </w:p>
    <w:p>
      <w:pPr>
        <w:spacing w:after="0" w:line="169"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As of December 31, 2017, we had fully repaid all outstanding amounts due under the 2014 Credit Facility, which we had entered into in March 2014.</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On December 29, 2017, we entered into the Term Loan, which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entering into this Term Loan, we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5.00% at June 30, 2018.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Additionally, we, as the borrower, are required to maintain a minimum cash, cash equivalents and marketable securities balance at Silicon Valley Bank of no less than 105% of the total outstanding principal balance of the Term Loan, which as of June 30, 2018 and December 31, 2017 was $21.0 million.</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Further, as of 45 days after the Term Loan was entered in, we met the obligation to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Six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(26,577)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w w:val="97"/>
              </w:rPr>
              <w:t>Net decrease in cash and cash equivalents</w:t>
            </w:r>
          </w:p>
        </w:tc>
        <w:tc>
          <w:tcPr>
            <w:tcW w:w="2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0" w:type="dxa"/>
            <w:vAlign w:val="bottom"/>
            <w:vMerge w:val="restart"/>
          </w:tcPr>
          <w:p>
            <w:pPr>
              <w:jc w:val="right"/>
              <w:ind w:right="217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the six months ended June 30, 2018, operating activities used $26.6 million of cash, resulting from our net loss of $31.7 million, partially offset by non-cash charges of $5.2 million and changes in our operating assets and liabilities of $(0.1) million. Our net loss was primarily attributed to research and development activities related to our ZGN-1061 program, our ZGN-1258 program, discovery and screening and our general and administrative expenses. Our net non-cash charges during the six months ended June 30, 2018, consisted primarily of stock-based compensation expense of $5.1 million. Net cash used in changes in our operating assets and liabilities during the six months ended June 30, 2018, consisted primarily of a $1.0 million increase in tax incentive receivable, partially offset by a $0.4 million increase in accrued expenses and a decrease in prepaids and other current assets of $0.6 million.</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the six months ended June 30, 2017, operating activities used $21.9 million of cash, resulting from our net loss of $26.4 million, partially offset by changes in our operating assets and liabilities of $0.4 million and non-cash charges of $4.1 million. Our net loss was primarily attributed to research and development activities related to our ZGN-1061 program and our general and administrative expenses. Our net non-cash charges during the six months ended June 30, 2017, consisted primarily of stock-based compensation expense of $4.1 million. Net cash used in changes in our operating assets and liabilities during the six months ended June 30, 2017, consisted primarily of a $0.9 million increase in accounts payable and accrued expenses partially offset by an increase in prepaid expenses and other current assets of $0.2 million as well as an increase in the tax incentive receivable of $0.2 million.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During the six months ended June 30, 2018, investing activities provided $26.3 million of cash resulting from proceeds from sales and maturities of marketable securities of $62.2 million, offset by the use of cash for purchases of marketable securities of $35.9 million.</w:t>
      </w:r>
    </w:p>
    <w:p>
      <w:pPr>
        <w:spacing w:after="0" w:line="17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During the six months ended June 30, 2017, investing activities provided $22.7 million of cash resulting from proceeds from sales and maturities of marketable securities of $80 million, offset primarily by the use of cash for purchases of marketable securities of $57.3 million.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During the six months ended June 30, 2018, net cash provided by financing activities of $0.2 million was the result of proceeds of $0.3 million relating to the exercise of common stock options and common stock purchased under our 2014 Employee Stock Purchase Plan, partially offset by $0.1 million in payments made related to our July 2, 2018 public offering of common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six months ended June 30, 2017, financing activities used $1.6 million for payments related to our notes payable, partially offset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$0.1 million received from proceeds relating to common stock option exercises and common stock purchased under our 2014 Employee Stock Purchase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Capital Requirements and Liquidity</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ZGN-1061 is currently in Phase 2 clinical development and ZGN-1258 is in nonclinical development, therefore we expect to continue to incur significant expenses and operating losses for the foreseeable future. We anticipate that we will continue to incur expenses, if and as we:</w:t>
      </w:r>
    </w:p>
    <w:p>
      <w:pPr>
        <w:spacing w:after="0" w:line="52"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development and into clinical trials;</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expect that our existing cash, cash equivalents and marketable securities as of June 30, 2018 and proceeds from our July 2018 public offering,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ZGN-1061 and ZGN-1258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and ZGN-1258 will depend on many factors, including:</w:t>
      </w:r>
    </w:p>
    <w:p>
      <w:pPr>
        <w:sectPr>
          <w:pgSz w:w="11900" w:h="16838" w:orient="portrait"/>
          <w:cols w:equalWidth="0" w:num="1">
            <w:col w:w="11220"/>
          </w:cols>
          <w:pgMar w:left="240" w:top="459" w:right="439" w:bottom="1440" w:gutter="0" w:footer="0" w:header="0"/>
        </w:sectPr>
      </w:pP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6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During the six months ended June 30, 2018,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 and in our Quarterly Report on Form 10-Q for the period ended March 31, 2018, as filed with the SEC on May 10,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During the periods presented we did not have and we currently do not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78"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accrued research and development costs;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of this Quarterly Report for a description of recent accounting pronouncements applicable to our business.</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cash, cash equivalents, and marketable securities as of June 30, 2018 consisted of cash, corporate bonds, commercial paper, U.S. government securities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June 30, 2018, the net fair value of our interest-sensitive financial instruments would have resulted in a hypothetical decline of less than $0.1 million.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gains (losses) of $(0.1) million and less than $(0.1) million were recorded for the three months ended June 30, 2018 and 2017, respectively. Net foreign currency transaction gains (losses) of $(0.1) million and $0.1 million were recorded for the six months ended June 30, 2018 and 2017, respectively.</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June 30, 2018, a 10% unfavorable movement in foreign currency exchange rates would expose us to an increased net loss. For the six months ended June 30, 2018, we estimated that a 10% unfavorable movement in foreign currency exchange rates would have increased our net loss by $0.2 million. This amount is based on a sensitivity analysis performed on our financial position as of June 30, 2018.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32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2018, our disclosure controls and procedures were effective at the reasonable assurance level.</w:t>
      </w:r>
    </w:p>
    <w:p>
      <w:pPr>
        <w:spacing w:after="0" w:line="16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six months ended June 30, 2018, there have been no changes in our internal control over financial reporting (as defined in</w:t>
      </w:r>
    </w:p>
    <w:p>
      <w:pPr>
        <w:spacing w:after="0" w:line="35"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Rules 13a-15(f) or 15d-15(d) under the Exchange Act) that have materially affected, or are reasonably likely to materially affect, our internal control over financial reporting.</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currently party to any material litigation or other material legal proceedings.</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Phase 1 and is currently in Phase 2 clinical development. We cannot be certain that we will be able to obtain regulatory approval for ZGN-1061, or successfully commercialize ZGN-1061 if approved.</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to file an Investigational New Drug, or IND, application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approximately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FDA and certain European regulatory authorities may delay, limit or deny approval of ZGN-1061 for many reasons, including, among others:</w:t>
      </w:r>
    </w:p>
    <w:p>
      <w:pPr>
        <w:spacing w:after="0" w:line="154"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not accept our IND application for ZGN-1061 or may put it on clinical hold;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30"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86"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51" w:lineRule="exact"/>
        <w:rPr>
          <w:rFonts w:ascii="Arial" w:cs="Arial" w:eastAsia="Arial" w:hAnsi="Arial"/>
          <w:sz w:val="17"/>
          <w:szCs w:val="17"/>
          <w:color w:val="auto"/>
        </w:rPr>
      </w:pPr>
    </w:p>
    <w:p>
      <w:pPr>
        <w:ind w:left="1060" w:right="3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or any other of our product candidates will be successfully developed or commercialized.</w:t>
      </w:r>
    </w:p>
    <w:p>
      <w:pPr>
        <w:spacing w:after="0" w:line="296"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recently announced a new product candidate, ZGN-1258, which is in nonclinical development. We expect to initially develop ZGN-1258 as a treatment for Prader-Willi syndrome, or PWS. Before our product candidates can be marketed, our IND application or other comparable regulatory approvals must go into effect permitting the conduct of clinical trials, and we must then successfully complete human testing. The FDA and other comparable foreign regulatory agencies must approve our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It is possible, that the FDA or other regulatory agencies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295" w:lineRule="exact"/>
        <w:rPr>
          <w:sz w:val="20"/>
          <w:szCs w:val="20"/>
          <w:color w:val="auto"/>
        </w:rPr>
      </w:pPr>
    </w:p>
    <w:p>
      <w:pPr>
        <w:ind w:left="200" w:right="500"/>
        <w:spacing w:after="0" w:line="279" w:lineRule="auto"/>
        <w:rPr>
          <w:sz w:val="20"/>
          <w:szCs w:val="20"/>
          <w:color w:val="auto"/>
        </w:rPr>
      </w:pPr>
      <w:r>
        <w:rPr>
          <w:rFonts w:ascii="Arial" w:cs="Arial" w:eastAsia="Arial" w:hAnsi="Arial"/>
          <w:sz w:val="17"/>
          <w:szCs w:val="17"/>
          <w:b w:val="1"/>
          <w:bCs w:val="1"/>
          <w:i w:val="1"/>
          <w:iCs w:val="1"/>
          <w:color w:val="auto"/>
        </w:rPr>
        <w:t>Favorable results from nonclinical studies, our Phase 1 clinical trial of ZGN-1061 and the analysis of our Phase 2 clinical trial data to date of ZGN-1061 are not necessarily predictive of the results of additional nonclinical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6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Favorable results from our nonclinical studies of ZGN-1061, our Phase 1 clinical trial and analysis of our Phase 2 clinical trial of ZGN-1061 to date, may not necessarily be predictive of the results from ongoing and later-stage clinical trials. Toxicology studies in multiple species have shown that ZGN-1061 is not exhibiting any testicular safety signals or activation of thrombosis-related biochemical markers, and displays an appreciable margin for embryofetal toxicity, testicular toxicity, pro-thrombotic effects and other previously observed issues for MetAP2 inhibitors such as hematological and neuronal toxicities with a small therapeutic margin and</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no margin for embryofetal toxicity. Further in our Phase 1 clinical trial, ZGN-1061 demonstrated rapid drug absorption and clearance in line with criteria established in advance for the molecule and has a favorable tolerability profile with no safety signals identified, including no evidence of pro-thrombotic effects. The data show that ZGN-1061 improves multiple metabolic measures consistent with MetAP2 inhibition, and patients in the clinical trial experienced mean weight loss of up to approximately one pound per week. In addition, data from the analysis of the Phase 2 clinical trial to date of ZGN-1061 demonstrated a favorable glycated hemoglobin A1C, or A1C, effect at the 0.9 mg dose of ZGN-1061. However, we can provide no assurance that the results of our nonclinical studies, Phase 1 clinical trial of ZGN-1061 and the analysis of our Phase 2 clinical trial to date of ZGN-1061 will be replicated in ongoing or later-stage clinical trials of ZGN-1061 or other nonclinical studies.</w:t>
      </w:r>
    </w:p>
    <w:p>
      <w:pPr>
        <w:spacing w:after="0" w:line="178"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30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ZGN-1258 as we saw with beloranib, and therefore, we are studying these parameters in nonclinical and clinical development of ZGN-1061 and ZGN-1258. In our Phase 1 clinical trial of ZGN-1061, the most common adverse events reported were mild gastrointestinal issues (comparable between ZGN-1061 and placebo groups), headache and procedural-related irritation. Data from the initial part of the Phase 2 clinical trial indicated that ZGN-1061 was generally safe and well-tolerated, with primarily mild to moderate adverse events (AEs). The most frequent AEs were injection site bruising, upper respiratory infection, and diarrhea that was mild and self-limiting; no treatment-related serious adverse events and no cardiovascular safety signals were observed. In addition, data from the initial part of the Phase 2 clinical trial of ZGN-1061 demonstrated a beneficial decrease in A1C in the 0.9 mg group up to 12 weeks, and it is unknown whether this effect would continue beyond 12 weeks or at a higher dose.</w:t>
      </w:r>
    </w:p>
    <w:p>
      <w:pPr>
        <w:spacing w:after="0" w:line="175"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Further, if ZGN-1061 or ZGN-1258 receive marketing approval and we or others identify undesirable side effects caused by the product (or any other similar product) after the approval, a number of potentially significant negative consequences could result, including:</w:t>
      </w:r>
    </w:p>
    <w:p>
      <w:pPr>
        <w:spacing w:after="0" w:line="52" w:lineRule="exact"/>
        <w:rPr>
          <w:sz w:val="20"/>
          <w:szCs w:val="20"/>
          <w:color w:val="auto"/>
        </w:rPr>
      </w:pPr>
    </w:p>
    <w:p>
      <w:pPr>
        <w:ind w:left="1060" w:right="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or ZGN-1258 could result in increased costs to us and could delay, prevent or limit our ability to generate revenue and continue our business.</w:t>
      </w:r>
    </w:p>
    <w:p>
      <w:pPr>
        <w:spacing w:after="0" w:line="62"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ZGN-1061 has completed Phase 1 clinical development in the Netherlands and is in Phase 2 clinical development in Australia and New Zealand and will require substantial further clinical development before we can submit an NDA to the FDA or an MAA to the EMA for its marketing approval. ZGN-1258 is still in nonclinical development, and additional nonclinical work must be completed prior to filing the IND application with the FDA.</w:t>
      </w:r>
    </w:p>
    <w:p>
      <w:pPr>
        <w:spacing w:after="0" w:line="14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or ZGN-1258. We do not know whether any clinical trials for ZGN-1061 or ZGN-1258 will begin or be completed on schedule, if at all, as the commencement and completion of clinical trials can be delayed or prevented for a number of reasons, including, among others:</w:t>
      </w:r>
    </w:p>
    <w:p>
      <w:pPr>
        <w:spacing w:after="0" w:line="70" w:lineRule="exact"/>
        <w:rPr>
          <w:sz w:val="20"/>
          <w:szCs w:val="20"/>
          <w:color w:val="auto"/>
        </w:rPr>
      </w:pPr>
    </w:p>
    <w:p>
      <w:pPr>
        <w:ind w:left="1060" w:right="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begin or continue clinical trials, including for certain indications, we want to conduct;</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the EMA or the applicable regulatory authorities in Australia or New Zealand, may require additional nonclinical studies;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Australia or New Zealand;</w:t>
      </w:r>
    </w:p>
    <w:p>
      <w:pPr>
        <w:spacing w:after="0" w:line="75" w:lineRule="exact"/>
        <w:rPr>
          <w:rFonts w:ascii="Arial" w:cs="Arial" w:eastAsia="Arial" w:hAnsi="Arial"/>
          <w:sz w:val="18"/>
          <w:szCs w:val="18"/>
          <w:color w:val="auto"/>
        </w:rPr>
      </w:pPr>
    </w:p>
    <w:p>
      <w:pPr>
        <w:ind w:left="1060" w:right="220" w:hanging="316"/>
        <w:spacing w:after="0" w:line="31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75"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92"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our nonclinical studies, adverse side effects or lack of effectiveness;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ectPr>
          <w:pgSz w:w="11900" w:h="16838" w:orient="portrait"/>
          <w:cols w:equalWidth="0" w:num="1">
            <w:col w:w="11220"/>
          </w:cols>
          <w:pgMar w:left="240" w:top="459" w:right="43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or ZGN-1258,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cardiovascular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ZGN-1258 may be harmed and our ability to generate product revenue will be delayed.</w:t>
      </w:r>
    </w:p>
    <w:p>
      <w:pPr>
        <w:spacing w:after="0" w:line="275"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any future clinical trials for ZGN-1061 and ZGN-1258. If these third parties do not successfully carry out their contractual duties or meet expected deadlines, we may not be able to develop and obtain regulatory approval for or commercialize ZGN-1061 or ZGN-1258, and our business could be substantially harmed.</w:t>
      </w:r>
    </w:p>
    <w:p>
      <w:pPr>
        <w:spacing w:after="0" w:line="5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ZGN-1258,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4"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7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manner, breach their obligations to us, or fail to comply with regulatory requirements, the development and commercialization of ZGN-1061 or ZGN-1258 may be delayed or our development program materially and irreversibly harmed. We cannot control the amount and timing of resources these investigators or CROs devote to our program, ZGN-1061, or will devote to ZGN-1258.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ZGN-1258. As a result, our financial results and the commercial prospects for ZGN-1061 or ZGN-1258 in the subject indications would be harmed, our costs could increase and our ability to generate revenue could be delayed.</w:t>
      </w:r>
    </w:p>
    <w:p>
      <w:pPr>
        <w:spacing w:after="0" w:line="29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ZGN-1258 will be adversely affected, possibly materially.</w:t>
      </w:r>
    </w:p>
    <w:p>
      <w:pPr>
        <w:spacing w:after="0" w:line="5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There is no current comprehensive patient registry or other method of establishing with precision the actual number of patients with PWS in any geography. Published population studies estimate that the prevalence of PWS in the United States and in the European Union, or EU, ranges from 1 in 8,000 to 1 in 50,000. If the actual number of patients with PWS is lower than we believe or if any approval that we obtain is based on a narrower definition of these patient populations, then the potential market for ZGN-1258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ZGN-1258,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ZGN-1061 and ZGN-1258, and to the extent we elect to commercialize ZGN-1061 or ZGN-1258 on our own, we intend to rely on third parties to produce commercial supplies of such products, and nonclinical, clinical and commercial supplies of any future product candidate.</w:t>
      </w:r>
    </w:p>
    <w:p>
      <w:pPr>
        <w:spacing w:after="0" w:line="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currently have, nor do we currently plan to acquire, the infrastructure or capability to internally manufacture our clinical drug supply of ZGN-1061, ZGN-1258, or any future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88"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rely on our CMOs to comply with cGMPs for manufacture of raw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supply.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8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rely completely on third-party suppliers to manufacture our nonclinical and clinical drug supplies for ZGN-1061 and our nonclinical drug supplies and future clinical drug supplies for ZGN-1258. Currently each batch of ZGN-1061 and ZGN-1258 is individually contracted under a work order, which is governed by a quality and service agreement. There is sufficient supply of ZGN-1061 and ZGN-1258 drug substance to support ongoing Phase 2 clinical trial of ZGN-1061 and upcoming clinical trials of ZGN-1258 through Phase 2. At later stages of development, the drug substance manufacturing process for both programs may be further optimized to support advanced clinical development and commercialization. A new formulation with longer shelf life has been developed and manufactured to support Phase 2 clinical development for ZGN-1061.</w:t>
      </w:r>
    </w:p>
    <w:p>
      <w:pPr>
        <w:spacing w:after="0" w:line="287"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may pursue marketing approval for certain of our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 by April 2019,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9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relative convenience and ease of subcutaneous injections as the necessary method of administration of our product candidates;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 number of competitive type 2 diabetes therapies already approved or expected to be commercially launched in the near future;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our product candidates’ indicated uses or marketing or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24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ZGN-1258.</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ZGN-1258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ZGN-1258. If we are not able to compete effectively against our current and future competitors, our business will not grow and our financial condition and operations will suffer.</w:t>
      </w:r>
    </w:p>
    <w:p>
      <w:pPr>
        <w:spacing w:after="0" w:line="2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87"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ZGN-1061 or ZGN-1258,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ZGN-1258,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ectPr>
          <w:pgSz w:w="11900" w:h="16838" w:orient="portrait"/>
          <w:cols w:equalWidth="0" w:num="1">
            <w:col w:w="11180"/>
          </w:cols>
          <w:pgMar w:left="240" w:top="459" w:right="479" w:bottom="1440" w:gutter="0" w:footer="0" w:header="0"/>
        </w:sectPr>
      </w:pP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80"/>
          </w:cols>
          <w:pgMar w:left="240" w:top="459" w:right="4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59"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60" w:right="280" w:hanging="316"/>
        <w:spacing w:after="0" w:line="308"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60" w:right="100" w:hanging="316"/>
        <w:spacing w:after="0" w:line="28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1060" w:right="120" w:hanging="316"/>
        <w:spacing w:after="0" w:line="302"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60" w:right="60" w:hanging="316"/>
        <w:spacing w:after="0" w:line="297"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8"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7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ZGN-1061 or ZGN-1258, if approved. If we receive marketing approval for ZGN-1061 or ZGN-1258,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ZGN-1258, if approved, we could become subject to significant liability, which would materially adversely affect our business and financial condition.</w:t>
      </w:r>
    </w:p>
    <w:p>
      <w:pPr>
        <w:sectPr>
          <w:pgSz w:w="11900" w:h="16838" w:orient="portrait"/>
          <w:cols w:equalWidth="0" w:num="1">
            <w:col w:w="11200"/>
          </w:cols>
          <w:pgMar w:left="240" w:top="459" w:right="459" w:bottom="1440" w:gutter="0" w:footer="0" w:header="0"/>
        </w:sectPr>
      </w:pP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00"/>
          </w:cols>
          <w:pgMar w:left="240" w:top="459" w:right="4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that we elect to sell on our own. If reimbursement is not available or is available only at limited levels, we may not be able to successfully commercialize product candidates that we elect to sell on our own.</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6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The ACA has a significant impact on the health 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new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As part of our business strategy, we may seek to obtain orphan drug designation for certain of our product candidates in the United States and the EU.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16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the EU, orphan drug designation also entitles a party to financial incentives such as reduction of fees or fee waivers. In addition, ten years of market exclusivity is granted following drug product approval, meaning that another application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marketing authorization of a later similar medicinal product for the same therapeutic indication will generally not be approved in the EU. This period may be reduced to six years if the orphan drug designation criteria are no longer met, including where it is shown that the product is sufficiently profitable to not justify maintenance of market exclusivity.</w:t>
      </w:r>
    </w:p>
    <w:p>
      <w:pPr>
        <w:spacing w:after="0" w:line="28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and ZGN-1258, may require substantial financial resources and may ultimately be unsuccessful.</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Our lead product candidate ZGN-1061 has completed Phase 1 clinical development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still in nonclinical development. We believe that our cash, cash equivalents and marketable securities, including the cash from our recent public offering of common stock in July 2018, will be sufficient to fund operations for a period of at least one year from the issuance date of this Quarterly Report, but we will need to raise more funds to continue development and commercialization of ZGN-1061, ZGN-1258 and our other product candidates, which may not be easily available. Furthermore, any time, effort and financial resources we expend on our other early-stage development programs may adversely affect our ability to continue development and commercialization of ZGN-1061 and ZGN-1258,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As of July 31, 2018, we own two issued U.S patent, one pending U.S. patent applications, with pending foreign counterpart patent applications, one pending Patent Cooperation Treaty, or PCT, patent application, as well as three pending U.S. provisional patent applications that relate to ZGN-1061.</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As of July 31, 2018, we own one issued U.S. patent, two pending U.S. patent applications, and related worldwide patent applications, that relate to ZGN-1258.</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As of July 31, 2018, we own 19 issued U.S. patents, and 9 pending U.S. patent applications with pending foreign counterpart applications, as well as one pending PCT patent application and three pending U.S. provisional patent applications, all of which relate to our internal efforts to discover novel MetAP2 inhibitors.</w:t>
      </w:r>
    </w:p>
    <w:p>
      <w:pPr>
        <w:spacing w:after="0" w:line="18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 xml:space="preserve">We cannot provide any assurances that any of our pending patent applications that mature into issued patents will include claims with a scope sufficient to protect ZGN-1061, ZGN-1258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ZGN-1258 and our other product candidates.</w:t>
      </w:r>
    </w:p>
    <w:p>
      <w:pPr>
        <w:spacing w:after="0" w:line="185"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w:t>
      </w:r>
    </w:p>
    <w:p>
      <w:pPr>
        <w:sectPr>
          <w:pgSz w:w="11900" w:h="16838" w:orient="portrait"/>
          <w:cols w:equalWidth="0" w:num="1">
            <w:col w:w="11200"/>
          </w:cols>
          <w:pgMar w:left="240" w:top="459" w:right="459" w:bottom="1440" w:gutter="0" w:footer="0" w:header="0"/>
        </w:sectPr>
      </w:pP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00"/>
          </w:cols>
          <w:pgMar w:left="240" w:top="459" w:right="4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or ZGN-1258 are invalidated or found unenforceable, our financial position and results of operations would be materially and adversely impacted. In addition, if a court found that valid, enforceable patents held by third parties covered ZGN-1061 or ZGN-1258, our financial position and results of operations would also be materially and adversely impacted.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1060" w:right="14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or any other products or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will be able to successfully develop and commercialize ZGN-1061 or ZGN-1258, if approved, before our relevant patents expire;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75" w:lineRule="exact"/>
        <w:rPr>
          <w:sz w:val="20"/>
          <w:szCs w:val="20"/>
          <w:color w:val="auto"/>
        </w:rPr>
      </w:pPr>
    </w:p>
    <w:p>
      <w:pPr>
        <w:ind w:left="200" w:right="900"/>
        <w:spacing w:after="0" w:line="308" w:lineRule="auto"/>
        <w:rPr>
          <w:sz w:val="20"/>
          <w:szCs w:val="20"/>
          <w:color w:val="auto"/>
        </w:rPr>
      </w:pPr>
      <w:r>
        <w:rPr>
          <w:rFonts w:ascii="Arial" w:cs="Arial" w:eastAsia="Arial" w:hAnsi="Arial"/>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ZGN-1061 or ZGN-1258, if approved.</w:t>
      </w:r>
    </w:p>
    <w:p>
      <w:pPr>
        <w:spacing w:after="0" w:line="38" w:lineRule="exact"/>
        <w:rPr>
          <w:sz w:val="20"/>
          <w:szCs w:val="20"/>
          <w:color w:val="auto"/>
        </w:rPr>
      </w:pPr>
    </w:p>
    <w:p>
      <w:pPr>
        <w:jc w:val="both"/>
        <w:ind w:left="200" w:right="300" w:firstLine="441"/>
        <w:spacing w:after="0" w:line="34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ZGN-1061, ZGN-1258,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ZGN-1258.</w:t>
      </w:r>
    </w:p>
    <w:p>
      <w:pPr>
        <w:spacing w:after="0" w:line="181"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4"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preparations or developing ZGN-1258;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53" w:lineRule="exact"/>
        <w:rPr>
          <w:rFonts w:ascii="Arial" w:cs="Arial" w:eastAsia="Arial" w:hAnsi="Arial"/>
          <w:sz w:val="16"/>
          <w:szCs w:val="16"/>
          <w:color w:val="auto"/>
        </w:rPr>
      </w:pPr>
    </w:p>
    <w:p>
      <w:pPr>
        <w:ind w:left="1060" w:right="660" w:hanging="316"/>
        <w:spacing w:after="0" w:line="342"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77"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1"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have an exclusive license with Children’s Medical Center Corporation, pursuant to which we exclusively licensed certain patent rights relating to decreasing the growth of fat tissue, on a worldwide basis. We may enter into additional licenses to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or ZGN-1258 and failure to secure such registrations could adversely affect our business.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have not yet registered trademarks for a commercial trade name for ZGN-1061 or ZGN-1258.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7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Depending upon the timing, duration and specifics of development and FDA marketing approval of ZGN-1061 or ZGN-1258,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United States has recently enacted and is currently implementing the America Invents Act of 2011, which is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2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or ZGN-1258 and other product candidates, which would materially adversely affect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future success depends on our ability to retain our executive officers, and to attract, retain and motivate qualified personnel.</w:t>
      </w:r>
    </w:p>
    <w:p>
      <w:pPr>
        <w:spacing w:after="0" w:line="1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success depends upon the principal members of our executive, medical and development teams, the loss of whose services may adversely impact the achievement of our research, development or commercialization objectives. We have entered into a severance and change in control agreement with our executive officers and department vice president level employees, but they may terminate their employment with us at any time. We also do not have any key-man life insurance on any of our executive officers or employees.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also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7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use of ZGN-1061 and ZGN-1258 in clinical trials and the sale of ZGN-1061 and ZGN-1258, if developed and approved, exposes us to the risk of product liability claims. Product liability claims might be brought against us by patients, healthcare providers or others selling or otherwise coming into contact with ZGN-1061 or ZGN-1258.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84"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ZGN-1061, ZGN-1258, or any future product candidates following marketing approval, if obtained;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any future product candidates, if approved.</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ZGN-1258,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86"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3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and finance function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 We continue to examine the impact this tax reform legislation may have on our business. The overall impact of the TCJA is uncertain and our business and financial condition could be adversely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66"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third-party CROs or other contractors or consultants, may fail or suffer security breaches, which could result in a material disruption of our ZGN-1061, ZGN-1258, or other product candidate development programs.</w:t>
      </w:r>
    </w:p>
    <w:p>
      <w:pPr>
        <w:spacing w:after="0" w:line="1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or ZGN-1258 could be delayed.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ZGN-1061 is currently in clinical development in Australia and New Zealand, we have begun preparations for filing an IND for ZGN-1061, and we have begun preparations for filing an IND for ZGN-1258,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such as ZGN-1061,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for ZGN-1061 or our other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ZGN-1061 or our other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2"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any future collaborations that we enter into for ZGN-1061 or our other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75"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beloranib, ZGN-839 and additional MetAP2 inhibitors. We have never generated any revenue from product sales. We have not obtained regulatory approvals for any of our product candidates.</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early 2018, we announced that we are returning to the rare metabolic disease space with a second highly optimized MetAP2 development candidate, ZGN-1258, targeting an initial indication of PWS.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have funded our operations to date through proceeds from sales of redeemable convertible preferred stock, convertible debt and proceeds from our IPO and follow-on public offering, and have incurred losses in each year since our inception. In July 2018, we sold 9,200,000 shares of our common stock at a price of $7.50 per share. Our net losses were $31.7 million for the six months ended June 30, 2018 and $52.0 million for the year ended December 31, 2017. As of June 30, 2018, we had an accumulated deficit of $321.3 million. Substantially all of our operating losses resulted from costs incurred in connection with our development programs for ZGN-1061, ZGN-1258, beloranib,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clinical trials of ZGN-1061, and of any other product candidates we may choose to pursue, including ZGN-1258. In addition, if and when we obtain marketing approval for ZGN-1061 or ZGN-1258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92"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and successfully file IND applications as required to obtain FDA approval for ZGN-1061 and ZGN-1258 clinical trials;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81"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filing IND applications for ZGN-1061 and ZGN-1258 with the FDA and advance ZGN-1258 into the clinical trial stage. Depending on the status of regulatory approval or, if approved, commercialization of ZGN-1061, ZGN-1258, or any of our other product candidates, as well as the progress we make in selling ZGN-1061, ZGN-1258 or any of our other product candidates, we will require additional capital to fund operating needs thereafter. We may also need to raise additional funds sooner if we choose to pursue additional indications and/or geographies for ZGN-1061, ZGN-1258, or our other product candidates or otherwise expand more rapidly than we presently anticipate.</w:t>
      </w:r>
    </w:p>
    <w:p>
      <w:pPr>
        <w:spacing w:after="0" w:line="178"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As of June 30, 2018, our cash, cash equivalents and marketable securities were $75.8 million. We expect that our cash, cash equivalents and marketable securities, including the cash from our recent public offering of common stock in July 2018,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w:t>
      </w:r>
    </w:p>
    <w:p>
      <w:pPr>
        <w:spacing w:after="0" w:line="129"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estimated offering costs.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ZGN-1258, or other product candidates, our intellectual property, future revenue streams or grant licenses on terms that are not favorable to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2018 to June 30, 2018 the daily closing price of our common stock on the NASDAQ Global Market ranged from a high of $10.23 to a low of $4.79 and will continue to be subject to wide fluctuations in response to many risk factors listed in this section, and others beyond our control, including:</w:t>
      </w:r>
    </w:p>
    <w:p>
      <w:pPr>
        <w:spacing w:after="0" w:line="92"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plans for, progress of, or results from nonclinical studies and clinical trials of ZGN-1061, ZGN-1258, and/or other product candidates;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FDA to accept our IND for ZGN-1061 or for ZGN-1258;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ZGN-1258;</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ZGN-1258, or other product candidates, including risk of serious thromboembolic events;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ZGN-1061 or ZGN-1258, if successfully developed and approved, to achieve commercial success;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of July 31, 2018, the existing holdings of our executive officers, directors, principal stockholders and their affiliates, including investment funds affiliated with Atlas Ventures, or Atlas, entities affiliated with Fidelity Investment (FMR LLC), or Fidelity, and Great Point Partners, LLC, or Great Point, represent beneficial ownership, in the aggregate, of approximately 35.4%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95"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28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have availed ourselves of reduced disclosure requirements applicable to emerging growth companies, which could make our common stock less attractive to investors.</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w:t>
      </w:r>
    </w:p>
    <w:p>
      <w:pPr>
        <w:sectPr>
          <w:pgSz w:w="11900" w:h="16838" w:orient="portrait"/>
          <w:cols w:equalWidth="0" w:num="1">
            <w:col w:w="11200"/>
          </w:cols>
          <w:pgMar w:left="240" w:top="459" w:right="459" w:bottom="1440" w:gutter="0" w:footer="0" w:header="0"/>
        </w:sectPr>
      </w:pP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00"/>
          </w:cols>
          <w:pgMar w:left="240" w:top="459" w:right="4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 billion or more; (ii) December 31, 2019; (iii) the date on which we have issued more than $1.0 billion in nonconvertible debt during the previous three years; and (iv) the date on which we are deemed to be a large accelerated filer under the rules of the SEC.</w:t>
      </w:r>
    </w:p>
    <w:p>
      <w:pPr>
        <w:spacing w:after="0" w:line="275"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87"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exhibits filed as part of this Quarterly Report are set forth on the Exhibit Index, which is incorporated herein by reference.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0" w:type="dxa"/>
            <w:vAlign w:val="bottom"/>
            <w:gridSpan w:val="4"/>
          </w:tcPr>
          <w:p>
            <w:pPr>
              <w:ind w:left="120"/>
              <w:spacing w:after="0"/>
              <w:rPr>
                <w:sz w:val="20"/>
                <w:szCs w:val="20"/>
                <w:color w:val="auto"/>
              </w:rPr>
            </w:pPr>
            <w:r>
              <w:rPr>
                <w:rFonts w:ascii="Arial" w:cs="Arial" w:eastAsia="Arial" w:hAnsi="Arial"/>
                <w:sz w:val="18"/>
                <w:szCs w:val="18"/>
                <w:b w:val="1"/>
                <w:bCs w:val="1"/>
                <w:color w:val="auto"/>
              </w:rPr>
              <w:t>EXHIBIT INDEX</w:t>
            </w:r>
          </w:p>
        </w:tc>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Exhibit</w:t>
            </w: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740" w:type="dxa"/>
            <w:vAlign w:val="bottom"/>
            <w:tcBorders>
              <w:bottom w:val="single" w:sz="8" w:color="0000EE"/>
            </w:tcBorders>
            <w:gridSpan w:val="12"/>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Employment Offer Letter Agreement by and between the Registrant and Brian P. McVeigh, effective as of May 29, 2018 (incorporated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1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by reference to Exhibit 10.1 of the Registrant’s Form 8-K (File No. 18869116) filed May 30, 2018).</w:t>
              </w:r>
            </w:hyperlink>
          </w:p>
        </w:tc>
        <w:tc>
          <w:tcPr>
            <w:tcW w:w="2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180" w:type="dxa"/>
            <w:vAlign w:val="bottom"/>
            <w:tcBorders>
              <w:bottom w:val="single" w:sz="8" w:color="0000EE"/>
            </w:tcBorders>
            <w:gridSpan w:val="8"/>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Severance and Change in Control Agreement by and between Zafgen, Inc. and Brian P. McVeigh, effective as of May 29, 2018</w:t>
              </w:r>
            </w:hyperlink>
          </w:p>
        </w:tc>
        <w:tc>
          <w:tcPr>
            <w:tcW w:w="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(incorporated by reference to Exhibit 10.2 of the Registrant’s Form 8-K (File No. 18869116) filed May 30, 2018).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7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Non-Qualified Stock Option Agreement Inducement Award by and between Registrant and Brian P. McVeigh granted on May 29, 2018.</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5700" w:type="dxa"/>
            <w:vAlign w:val="bottom"/>
            <w:gridSpan w:val="5"/>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of Principal Executive Officer pursuant to Rule 13a-14(a) or Rule</w:t>
              </w:r>
            </w:hyperlink>
          </w:p>
        </w:tc>
        <w:tc>
          <w:tcPr>
            <w:tcW w:w="4080" w:type="dxa"/>
            <w:vAlign w:val="bottom"/>
            <w:gridSpan w:val="8"/>
          </w:tcPr>
          <w:p>
            <w:pPr>
              <w:ind w:left="60"/>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15d-14(a) of the Securities Exchange Act of 1934, as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adopted pursuant to Section 302 of the Sarbanes-Oxley Act of 2002.</w:t>
              </w:r>
            </w:hyperlink>
          </w:p>
        </w:tc>
        <w:tc>
          <w:tcPr>
            <w:tcW w:w="780" w:type="dxa"/>
            <w:vAlign w:val="bottom"/>
            <w:tcBorders>
              <w:top w:val="single" w:sz="8" w:color="0000EE"/>
            </w:tcBorders>
            <w:gridSpan w:val="2"/>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5700" w:type="dxa"/>
            <w:vAlign w:val="bottom"/>
            <w:gridSpan w:val="5"/>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Certification of Principal Financial Officer pursuant to Rule 13a-14(a) or Rule</w:t>
              </w:r>
            </w:hyperlink>
          </w:p>
        </w:tc>
        <w:tc>
          <w:tcPr>
            <w:tcW w:w="4080" w:type="dxa"/>
            <w:vAlign w:val="bottom"/>
            <w:gridSpan w:val="8"/>
          </w:tcPr>
          <w:p>
            <w:pPr>
              <w:ind w:left="20"/>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15d-14(a) of the Securities Exchange Act of 1934, as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adopted pursuant to Section 302 of the Sarbanes-Oxley Act of 2002.</w:t>
              </w:r>
            </w:hyperlink>
          </w:p>
        </w:tc>
        <w:tc>
          <w:tcPr>
            <w:tcW w:w="780" w:type="dxa"/>
            <w:vAlign w:val="bottom"/>
            <w:tcBorders>
              <w:top w:val="single" w:sz="8" w:color="0000EE"/>
            </w:tcBorders>
            <w:gridSpan w:val="2"/>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9780" w:type="dxa"/>
            <w:vAlign w:val="bottom"/>
            <w:gridSpan w:val="1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Section 906 of the Sarbanes-Oxley Act of 2002.</w:t>
              </w:r>
            </w:hyperlink>
          </w:p>
        </w:tc>
        <w:tc>
          <w:tcPr>
            <w:tcW w:w="2200" w:type="dxa"/>
            <w:vAlign w:val="bottom"/>
            <w:tcBorders>
              <w:top w:val="single" w:sz="8" w:color="0000EE"/>
            </w:tcBorders>
            <w:gridSpan w:val="4"/>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7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101.SCH*</w:t>
            </w:r>
          </w:p>
        </w:tc>
        <w:tc>
          <w:tcPr>
            <w:tcW w:w="57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101.CAL*</w:t>
            </w:r>
          </w:p>
        </w:tc>
        <w:tc>
          <w:tcPr>
            <w:tcW w:w="57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Document.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101.DEF*</w:t>
            </w:r>
          </w:p>
        </w:tc>
        <w:tc>
          <w:tcPr>
            <w:tcW w:w="57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101.LAB*</w:t>
            </w:r>
          </w:p>
        </w:tc>
        <w:tc>
          <w:tcPr>
            <w:tcW w:w="57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101.PRE*</w:t>
            </w:r>
          </w:p>
        </w:tc>
        <w:tc>
          <w:tcPr>
            <w:tcW w:w="57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 Document.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60" w:type="dxa"/>
            <w:vAlign w:val="bottom"/>
            <w:gridSpan w:val="2"/>
          </w:tcPr>
          <w:p>
            <w:pPr>
              <w:ind w:left="2200"/>
              <w:spacing w:after="0"/>
              <w:rPr>
                <w:sz w:val="20"/>
                <w:szCs w:val="20"/>
                <w:color w:val="auto"/>
              </w:rPr>
            </w:pPr>
            <w:r>
              <w:rPr>
                <w:rFonts w:ascii="Arial" w:cs="Arial" w:eastAsia="Arial" w:hAnsi="Arial"/>
                <w:sz w:val="18"/>
                <w:szCs w:val="18"/>
                <w:color w:val="auto"/>
              </w:rPr>
              <w:t>ZAFGEN,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August 9, 2018</w:t>
            </w:r>
          </w:p>
        </w:tc>
        <w:tc>
          <w:tcPr>
            <w:tcW w:w="2480" w:type="dxa"/>
            <w:vAlign w:val="bottom"/>
          </w:tcPr>
          <w:p>
            <w:pPr>
              <w:ind w:left="2200"/>
              <w:spacing w:after="0"/>
              <w:rPr>
                <w:sz w:val="20"/>
                <w:szCs w:val="20"/>
                <w:color w:val="auto"/>
              </w:rPr>
            </w:pPr>
            <w:r>
              <w:rPr>
                <w:rFonts w:ascii="Arial" w:cs="Arial" w:eastAsia="Arial" w:hAnsi="Arial"/>
                <w:sz w:val="18"/>
                <w:szCs w:val="18"/>
                <w:color w:val="auto"/>
                <w:w w:val="99"/>
              </w:rPr>
              <w:t>By:</w:t>
            </w: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Hatfield</w:t>
            </w:r>
          </w:p>
        </w:tc>
      </w:tr>
      <w:tr>
        <w:trPr>
          <w:trHeight w:val="195"/>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80" w:type="dxa"/>
            <w:vAlign w:val="bottom"/>
          </w:tcPr>
          <w:p>
            <w:pPr>
              <w:ind w:left="10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3480" w:type="dxa"/>
            <w:vAlign w:val="bottom"/>
          </w:tcPr>
          <w:p>
            <w:pPr>
              <w:spacing w:after="0"/>
              <w:rPr>
                <w:sz w:val="20"/>
                <w:szCs w:val="20"/>
                <w:color w:val="auto"/>
              </w:rPr>
            </w:pPr>
            <w:r>
              <w:rPr>
                <w:rFonts w:ascii="Arial" w:cs="Arial" w:eastAsia="Arial" w:hAnsi="Arial"/>
                <w:sz w:val="18"/>
                <w:szCs w:val="18"/>
                <w:color w:val="auto"/>
              </w:rPr>
              <w:t>Date: August 9, 2018</w:t>
            </w:r>
          </w:p>
        </w:tc>
        <w:tc>
          <w:tcPr>
            <w:tcW w:w="2480" w:type="dxa"/>
            <w:vAlign w:val="bottom"/>
          </w:tcPr>
          <w:p>
            <w:pPr>
              <w:ind w:left="2200"/>
              <w:spacing w:after="0"/>
              <w:rPr>
                <w:sz w:val="20"/>
                <w:szCs w:val="20"/>
                <w:color w:val="auto"/>
              </w:rPr>
            </w:pPr>
            <w:r>
              <w:rPr>
                <w:rFonts w:ascii="Arial" w:cs="Arial" w:eastAsia="Arial" w:hAnsi="Arial"/>
                <w:sz w:val="18"/>
                <w:szCs w:val="18"/>
                <w:color w:val="auto"/>
                <w:w w:val="99"/>
              </w:rPr>
              <w:t>By:</w:t>
            </w: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L. Allen</w:t>
            </w:r>
          </w:p>
        </w:tc>
      </w:tr>
      <w:tr>
        <w:trPr>
          <w:trHeight w:val="195"/>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80" w:type="dxa"/>
            <w:vAlign w:val="bottom"/>
          </w:tcPr>
          <w:p>
            <w:pPr>
              <w:ind w:left="100"/>
              <w:spacing w:after="0" w:line="195" w:lineRule="exact"/>
              <w:rPr>
                <w:sz w:val="20"/>
                <w:szCs w:val="20"/>
                <w:color w:val="auto"/>
              </w:rPr>
            </w:pPr>
            <w:r>
              <w:rPr>
                <w:rFonts w:ascii="Arial" w:cs="Arial" w:eastAsia="Arial" w:hAnsi="Arial"/>
                <w:sz w:val="18"/>
                <w:szCs w:val="18"/>
                <w:color w:val="auto"/>
              </w:rPr>
              <w:t>Patricia L. Allen</w:t>
            </w:r>
          </w:p>
        </w:tc>
      </w:tr>
      <w:tr>
        <w:trPr>
          <w:trHeight w:val="216"/>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78"/>
        </w:trPr>
        <w:tc>
          <w:tcPr>
            <w:tcW w:w="3480" w:type="dxa"/>
            <w:vAlign w:val="bottom"/>
          </w:tcPr>
          <w:p>
            <w:pPr>
              <w:spacing w:after="0"/>
              <w:rPr>
                <w:sz w:val="24"/>
                <w:szCs w:val="24"/>
                <w:color w:val="auto"/>
              </w:rPr>
            </w:pP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53</w:t>
            </w:r>
          </w:p>
        </w:tc>
        <w:tc>
          <w:tcPr>
            <w:tcW w:w="50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468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432"/>
        </w:trPr>
        <w:tc>
          <w:tcPr>
            <w:tcW w:w="2900" w:type="dxa"/>
            <w:vAlign w:val="bottom"/>
          </w:tcPr>
          <w:p>
            <w:pPr>
              <w:spacing w:after="0"/>
              <w:rPr>
                <w:sz w:val="24"/>
                <w:szCs w:val="24"/>
                <w:color w:val="auto"/>
              </w:rPr>
            </w:pPr>
          </w:p>
        </w:tc>
        <w:tc>
          <w:tcPr>
            <w:tcW w:w="468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rPr>
              <w:t>INDUCEMENT AWARD</w:t>
            </w:r>
          </w:p>
        </w:tc>
      </w:tr>
      <w:tr>
        <w:trPr>
          <w:trHeight w:val="419"/>
        </w:trPr>
        <w:tc>
          <w:tcPr>
            <w:tcW w:w="2900" w:type="dxa"/>
            <w:vAlign w:val="bottom"/>
          </w:tcPr>
          <w:p>
            <w:pPr>
              <w:spacing w:after="0"/>
              <w:rPr>
                <w:sz w:val="20"/>
                <w:szCs w:val="20"/>
                <w:color w:val="auto"/>
              </w:rPr>
            </w:pPr>
            <w:r>
              <w:rPr>
                <w:rFonts w:ascii="Arial" w:cs="Arial" w:eastAsia="Arial" w:hAnsi="Arial"/>
                <w:sz w:val="18"/>
                <w:szCs w:val="18"/>
                <w:color w:val="auto"/>
              </w:rPr>
              <w:t>Name of Optionee:</w:t>
            </w:r>
          </w:p>
        </w:tc>
        <w:tc>
          <w:tcPr>
            <w:tcW w:w="2960" w:type="dxa"/>
            <w:vAlign w:val="bottom"/>
          </w:tcPr>
          <w:p>
            <w:pPr>
              <w:spacing w:after="0"/>
              <w:rPr>
                <w:sz w:val="24"/>
                <w:szCs w:val="24"/>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Brian McVeigh</w:t>
            </w:r>
          </w:p>
        </w:tc>
        <w:tc>
          <w:tcPr>
            <w:tcW w:w="620" w:type="dxa"/>
            <w:vAlign w:val="bottom"/>
          </w:tcPr>
          <w:p>
            <w:pPr>
              <w:spacing w:after="0"/>
              <w:rPr>
                <w:sz w:val="24"/>
                <w:szCs w:val="24"/>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No. of Option Shares:</w:t>
            </w:r>
          </w:p>
        </w:tc>
        <w:tc>
          <w:tcPr>
            <w:tcW w:w="3960" w:type="dxa"/>
            <w:vAlign w:val="bottom"/>
            <w:gridSpan w:val="4"/>
          </w:tcPr>
          <w:p>
            <w:pPr>
              <w:ind w:left="2960"/>
              <w:spacing w:after="0" w:line="196" w:lineRule="exact"/>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Option Exercise Price per Share:</w:t>
            </w:r>
          </w:p>
        </w:tc>
        <w:tc>
          <w:tcPr>
            <w:tcW w:w="3360" w:type="dxa"/>
            <w:vAlign w:val="bottom"/>
            <w:gridSpan w:val="2"/>
          </w:tcPr>
          <w:p>
            <w:pPr>
              <w:ind w:left="2960"/>
              <w:spacing w:after="0" w:line="196"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6.46</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Grant Date:</w:t>
            </w:r>
          </w:p>
        </w:tc>
        <w:tc>
          <w:tcPr>
            <w:tcW w:w="2960" w:type="dxa"/>
            <w:vAlign w:val="bottom"/>
          </w:tcPr>
          <w:p>
            <w:pPr>
              <w:spacing w:after="0"/>
              <w:rPr>
                <w:sz w:val="17"/>
                <w:szCs w:val="17"/>
                <w:color w:val="auto"/>
              </w:rPr>
            </w:pPr>
          </w:p>
        </w:tc>
        <w:tc>
          <w:tcPr>
            <w:tcW w:w="10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May 29, 2018</w:t>
            </w:r>
          </w:p>
        </w:tc>
        <w:tc>
          <w:tcPr>
            <w:tcW w:w="720" w:type="dxa"/>
            <w:vAlign w:val="bottom"/>
            <w:gridSpan w:val="2"/>
          </w:tcPr>
          <w:p>
            <w:pPr>
              <w:spacing w:after="0"/>
              <w:rPr>
                <w:sz w:val="17"/>
                <w:szCs w:val="17"/>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Expiration Date:</w:t>
            </w:r>
          </w:p>
        </w:tc>
        <w:tc>
          <w:tcPr>
            <w:tcW w:w="2960" w:type="dxa"/>
            <w:vAlign w:val="bottom"/>
          </w:tcPr>
          <w:p>
            <w:pPr>
              <w:spacing w:after="0"/>
              <w:rPr>
                <w:sz w:val="17"/>
                <w:szCs w:val="17"/>
                <w:color w:val="auto"/>
              </w:rPr>
            </w:pPr>
          </w:p>
        </w:tc>
        <w:tc>
          <w:tcPr>
            <w:tcW w:w="10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May 28, 2028</w:t>
            </w:r>
          </w:p>
        </w:tc>
        <w:tc>
          <w:tcPr>
            <w:tcW w:w="720" w:type="dxa"/>
            <w:vAlign w:val="bottom"/>
            <w:gridSpan w:val="2"/>
          </w:tcPr>
          <w:p>
            <w:pPr>
              <w:spacing w:after="0"/>
              <w:rPr>
                <w:sz w:val="17"/>
                <w:szCs w:val="17"/>
                <w:color w:val="auto"/>
              </w:rPr>
            </w:pP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Vesting Start Date:</w:t>
            </w:r>
          </w:p>
        </w:tc>
        <w:tc>
          <w:tcPr>
            <w:tcW w:w="2960" w:type="dxa"/>
            <w:vAlign w:val="bottom"/>
          </w:tcPr>
          <w:p>
            <w:pPr>
              <w:spacing w:after="0"/>
              <w:rPr>
                <w:sz w:val="17"/>
                <w:szCs w:val="17"/>
                <w:color w:val="auto"/>
              </w:rPr>
            </w:pPr>
          </w:p>
        </w:tc>
        <w:tc>
          <w:tcPr>
            <w:tcW w:w="10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May 29, 2018</w:t>
            </w:r>
          </w:p>
        </w:tc>
        <w:tc>
          <w:tcPr>
            <w:tcW w:w="720" w:type="dxa"/>
            <w:vAlign w:val="bottom"/>
            <w:gridSpan w:val="2"/>
          </w:tcPr>
          <w:p>
            <w:pPr>
              <w:spacing w:after="0"/>
              <w:rPr>
                <w:sz w:val="17"/>
                <w:szCs w:val="17"/>
                <w:color w:val="auto"/>
              </w:rPr>
            </w:pPr>
          </w:p>
        </w:tc>
      </w:tr>
    </w:tbl>
    <w:p>
      <w:pPr>
        <w:spacing w:after="0" w:line="22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Zafgen,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This Stock Option has been granted as an inducement pursuant to an exception under Rule 5635(c)(4) of the Marketplace Rules of the Nasdaq Stock Market, Inc, is not issued under the Zafgen, Inc. 2014 Stock Option and Incentive Plan as amended through the date hereof (the “Plan”) and does not reduce the share reserve under the Plan. However, for purposes of interpreting the applicable provisions of this Stock Option, the terms and conditions of the Plan (other than those applicable to the share reserve) shall govern and apply to this Stock Option as if this Stock Option had actually been issued under the Plan. This Stock Option is not intended to be an “incentive stock option” under Section 422 of the Internal Revenue Code of 1986, as amended. Capitalized terms used, but not defined herein, shall have the meanings given to such terms in the Plan</w:t>
      </w:r>
    </w:p>
    <w:p>
      <w:pPr>
        <w:spacing w:after="0" w:line="182" w:lineRule="exact"/>
        <w:rPr>
          <w:sz w:val="20"/>
          <w:szCs w:val="20"/>
          <w:color w:val="auto"/>
        </w:rPr>
      </w:pPr>
    </w:p>
    <w:p>
      <w:pPr>
        <w:ind w:right="100" w:firstLine="444"/>
        <w:spacing w:after="0" w:line="279" w:lineRule="auto"/>
        <w:tabs>
          <w:tab w:leader="none" w:pos="75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xml:space="preserve">. No portion of this Stock Option may be exercised until such portion shall have become exercisable as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and subject to the discretion of the Administrator (as defined in Section 1 of the Plan) to accelerate the exercisability schedule hereunder, this Stock Option shall be exercisable with respect to the number of Option Shares and on the dates indicated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so long as Optionee remains an employee of the Company or earned Subsidiary on such dates.</w:t>
      </w:r>
    </w:p>
    <w:p>
      <w:pPr>
        <w:spacing w:after="0" w:line="17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020"/>
          </w:cols>
          <w:pgMar w:left="440" w:top="121" w:right="439" w:bottom="1440" w:gutter="0" w:footer="0" w:header="0"/>
        </w:sectPr>
      </w:pPr>
    </w:p>
    <w:bookmarkStart w:id="55" w:name="page56"/>
    <w:bookmarkEnd w:id="55"/>
    <w:p>
      <w:pPr>
        <w:ind w:left="760" w:hanging="316"/>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64" w:lineRule="auto"/>
        <w:tabs>
          <w:tab w:leader="none" w:pos="12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9"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 owned shares of Stock through the attestation method, the number of shares of common stock transferred to the Optionee upon the exercise of the Stock Option shall be net of the shares attested to.</w:t>
      </w:r>
    </w:p>
    <w:p>
      <w:pPr>
        <w:spacing w:after="0" w:line="178" w:lineRule="exact"/>
        <w:rPr>
          <w:sz w:val="20"/>
          <w:szCs w:val="20"/>
          <w:color w:val="auto"/>
        </w:rPr>
      </w:pPr>
    </w:p>
    <w:p>
      <w:pPr>
        <w:ind w:right="20" w:firstLine="885"/>
        <w:spacing w:after="0" w:line="291" w:lineRule="auto"/>
        <w:tabs>
          <w:tab w:leader="none" w:pos="12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6" w:name="page57"/>
    <w:bookmarkEnd w:id="56"/>
    <w:p>
      <w:pPr>
        <w:ind w:right="60" w:firstLine="885"/>
        <w:spacing w:after="0" w:line="264" w:lineRule="auto"/>
        <w:tabs>
          <w:tab w:leader="none" w:pos="1258"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1" w:lineRule="exact"/>
        <w:rPr>
          <w:rFonts w:ascii="Arial" w:cs="Arial" w:eastAsia="Arial" w:hAnsi="Arial"/>
          <w:sz w:val="18"/>
          <w:szCs w:val="18"/>
          <w:color w:val="auto"/>
        </w:rPr>
      </w:pPr>
    </w:p>
    <w:p>
      <w:pPr>
        <w:ind w:left="1280" w:hanging="395"/>
        <w:spacing w:after="0"/>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100" w:firstLine="444"/>
        <w:spacing w:after="0" w:line="277" w:lineRule="auto"/>
        <w:tabs>
          <w:tab w:leader="none" w:pos="75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by the Company or a Subsidiary (as defined in the Plan) is terminated, the period within which to exercise the Stock Option may be subject to earlier termination as set forth below.</w:t>
      </w:r>
    </w:p>
    <w:p>
      <w:pPr>
        <w:spacing w:after="0" w:line="170" w:lineRule="exact"/>
        <w:rPr>
          <w:rFonts w:ascii="Arial" w:cs="Arial" w:eastAsia="Arial" w:hAnsi="Arial"/>
          <w:sz w:val="18"/>
          <w:szCs w:val="18"/>
          <w:color w:val="auto"/>
        </w:rPr>
      </w:pPr>
    </w:p>
    <w:p>
      <w:pPr>
        <w:ind w:right="200" w:firstLine="885"/>
        <w:spacing w:after="0" w:line="259"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6" w:lineRule="exact"/>
        <w:rPr>
          <w:rFonts w:ascii="Arial" w:cs="Arial" w:eastAsia="Arial" w:hAnsi="Arial"/>
          <w:sz w:val="18"/>
          <w:szCs w:val="18"/>
          <w:color w:val="auto"/>
        </w:rPr>
      </w:pPr>
    </w:p>
    <w:p>
      <w:pPr>
        <w:ind w:right="160" w:firstLine="885"/>
        <w:spacing w:after="0" w:line="279" w:lineRule="auto"/>
        <w:tabs>
          <w:tab w:leader="none" w:pos="1271"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1" w:lineRule="exact"/>
        <w:rPr>
          <w:rFonts w:ascii="Arial" w:cs="Arial" w:eastAsia="Arial" w:hAnsi="Arial"/>
          <w:sz w:val="17"/>
          <w:szCs w:val="17"/>
          <w:color w:val="auto"/>
        </w:rPr>
      </w:pPr>
    </w:p>
    <w:p>
      <w:pPr>
        <w:ind w:firstLine="885"/>
        <w:spacing w:after="0" w:line="270" w:lineRule="auto"/>
        <w:tabs>
          <w:tab w:leader="none" w:pos="1261"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Optionee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77" w:lineRule="exact"/>
        <w:rPr>
          <w:rFonts w:ascii="Arial" w:cs="Arial" w:eastAsia="Arial" w:hAnsi="Arial"/>
          <w:sz w:val="17"/>
          <w:szCs w:val="17"/>
          <w:color w:val="auto"/>
        </w:rPr>
      </w:pPr>
    </w:p>
    <w:p>
      <w:pPr>
        <w:ind w:firstLine="885"/>
        <w:spacing w:after="0" w:line="277" w:lineRule="auto"/>
        <w:tabs>
          <w:tab w:leader="none" w:pos="127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employment terminates for any reason other than the Optionee’s death or the Optionee’s disability or Cause, and unless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7" w:name="page58"/>
    <w:bookmarkEnd w:id="5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66"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Administrator’s determination of the reason for termination of the Optionee’s employment shall be conclusive and binding on the Optionee and his or her representatives or legatees.</w:t>
      </w:r>
    </w:p>
    <w:p>
      <w:pPr>
        <w:spacing w:after="0" w:line="170" w:lineRule="exact"/>
        <w:rPr>
          <w:sz w:val="20"/>
          <w:szCs w:val="20"/>
          <w:color w:val="auto"/>
        </w:rPr>
      </w:pPr>
    </w:p>
    <w:p>
      <w:pPr>
        <w:ind w:right="60" w:firstLine="444"/>
        <w:spacing w:after="0" w:line="302"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Incorporation of the Plan</w:t>
      </w:r>
      <w:r>
        <w:rPr>
          <w:rFonts w:ascii="Arial" w:cs="Arial" w:eastAsia="Arial" w:hAnsi="Arial"/>
          <w:sz w:val="16"/>
          <w:szCs w:val="16"/>
          <w:color w:val="auto"/>
        </w:rPr>
        <w:t>. As set forth above, this Stock Option is not granted pursuant to the Plan. Instead, this Stock Option is granted as an inducement grant pursuant to Rule 5635(c)(4) of the NASDAQ Stock Market Rules. However, for purposes of interpreting the provisions of this Stock Option, the terms and conditions of the Plan (other than those applicable to the share reserve, but including the powers of the Administrator set forth in Section 2(b) of the Plan) shall govern and apply to this Stock Option as if this Stock Option had actually been issued under the Plan.</w:t>
      </w:r>
    </w:p>
    <w:p>
      <w:pPr>
        <w:spacing w:after="0" w:line="154" w:lineRule="exact"/>
        <w:rPr>
          <w:rFonts w:ascii="Arial" w:cs="Arial" w:eastAsia="Arial" w:hAnsi="Arial"/>
          <w:sz w:val="16"/>
          <w:szCs w:val="16"/>
          <w:color w:val="auto"/>
        </w:rPr>
      </w:pPr>
    </w:p>
    <w:p>
      <w:pPr>
        <w:ind w:right="220" w:firstLine="44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1" w:lineRule="exact"/>
        <w:rPr>
          <w:rFonts w:ascii="Arial" w:cs="Arial" w:eastAsia="Arial" w:hAnsi="Arial"/>
          <w:sz w:val="18"/>
          <w:szCs w:val="18"/>
          <w:color w:val="auto"/>
        </w:rPr>
      </w:pPr>
    </w:p>
    <w:p>
      <w:pPr>
        <w:ind w:firstLine="444"/>
        <w:spacing w:after="0" w:line="25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88" w:lineRule="exact"/>
        <w:rPr>
          <w:rFonts w:ascii="Arial" w:cs="Arial" w:eastAsia="Arial" w:hAnsi="Arial"/>
          <w:sz w:val="18"/>
          <w:szCs w:val="18"/>
          <w:color w:val="auto"/>
        </w:rPr>
      </w:pPr>
    </w:p>
    <w:p>
      <w:pPr>
        <w:ind w:right="60" w:firstLine="44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81" w:lineRule="exact"/>
        <w:rPr>
          <w:rFonts w:ascii="Arial" w:cs="Arial" w:eastAsia="Arial" w:hAnsi="Arial"/>
          <w:sz w:val="18"/>
          <w:szCs w:val="18"/>
          <w:color w:val="auto"/>
        </w:rPr>
      </w:pPr>
    </w:p>
    <w:p>
      <w:pPr>
        <w:ind w:right="280" w:firstLine="44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firstLine="444"/>
        <w:spacing w:after="0" w:line="259"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desirable for the administration of the Plan and/or this Agreement (the “Relevant Information”). By entering into this Agreement, the Optionee</w:t>
      </w:r>
    </w:p>
    <w:p>
      <w:pPr>
        <w:spacing w:after="0" w:line="35" w:lineRule="exact"/>
        <w:rPr>
          <w:sz w:val="20"/>
          <w:szCs w:val="20"/>
          <w:color w:val="auto"/>
        </w:rPr>
      </w:pPr>
    </w:p>
    <w:p>
      <w:pPr>
        <w:ind w:right="80" w:firstLine="4"/>
        <w:spacing w:after="0" w:line="253"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91" w:lineRule="exact"/>
        <w:rPr>
          <w:rFonts w:ascii="Arial" w:cs="Arial" w:eastAsia="Arial" w:hAnsi="Arial"/>
          <w:sz w:val="18"/>
          <w:szCs w:val="18"/>
          <w:color w:val="auto"/>
        </w:rPr>
      </w:pPr>
    </w:p>
    <w:p>
      <w:pPr>
        <w:jc w:val="both"/>
        <w:ind w:firstLine="444"/>
        <w:spacing w:after="0" w:line="264" w:lineRule="auto"/>
        <w:tabs>
          <w:tab w:leader="none" w:pos="84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S. Hatfield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S. Hatfield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Arial" w:cs="Arial" w:eastAsia="Arial" w:hAnsi="Arial"/>
                <w:sz w:val="18"/>
                <w:szCs w:val="18"/>
                <w:color w:val="auto"/>
              </w:rPr>
              <w:t>Dated: May 29, 2018</w:t>
            </w:r>
          </w:p>
        </w:tc>
        <w:tc>
          <w:tcPr>
            <w:tcW w:w="3780" w:type="dxa"/>
            <w:vAlign w:val="bottom"/>
            <w:gridSpan w:val="2"/>
          </w:tcPr>
          <w:p>
            <w:pPr>
              <w:ind w:left="2460"/>
              <w:spacing w:after="0"/>
              <w:rPr>
                <w:sz w:val="20"/>
                <w:szCs w:val="20"/>
                <w:color w:val="auto"/>
              </w:rPr>
            </w:pPr>
            <w:r>
              <w:rPr>
                <w:rFonts w:ascii="Arial" w:cs="Arial" w:eastAsia="Arial" w:hAnsi="Arial"/>
                <w:sz w:val="18"/>
                <w:szCs w:val="18"/>
                <w:color w:val="auto"/>
                <w:w w:val="92"/>
              </w:rPr>
              <w:t>/s/ Brian McVeigh</w:t>
            </w:r>
          </w:p>
        </w:tc>
      </w:tr>
      <w:tr>
        <w:trPr>
          <w:trHeight w:val="20"/>
        </w:trPr>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780" w:type="dxa"/>
            <w:vAlign w:val="bottom"/>
            <w:gridSpan w:val="2"/>
          </w:tcPr>
          <w:p>
            <w:pPr>
              <w:ind w:left="2460"/>
              <w:spacing w:after="0"/>
              <w:rPr>
                <w:sz w:val="20"/>
                <w:szCs w:val="20"/>
                <w:color w:val="auto"/>
              </w:rPr>
            </w:pPr>
            <w:r>
              <w:rPr>
                <w:rFonts w:ascii="Arial" w:cs="Arial" w:eastAsia="Arial" w:hAnsi="Arial"/>
                <w:sz w:val="18"/>
                <w:szCs w:val="18"/>
                <w:color w:val="auto"/>
              </w:rPr>
              <w:t>Brian McVeigh</w:t>
            </w: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320" w:type="dxa"/>
            <w:vAlign w:val="bottom"/>
          </w:tcPr>
          <w:p>
            <w:pPr>
              <w:spacing w:after="0"/>
              <w:rPr>
                <w:sz w:val="24"/>
                <w:szCs w:val="24"/>
                <w:color w:val="auto"/>
              </w:rPr>
            </w:pPr>
          </w:p>
        </w:tc>
      </w:tr>
    </w:tbl>
    <w:p>
      <w:pPr>
        <w:sectPr>
          <w:pgSz w:w="11900" w:h="16838" w:orient="portrait"/>
          <w:cols w:equalWidth="0" w:num="1">
            <w:col w:w="10940"/>
          </w:cols>
          <w:pgMar w:left="440" w:top="274" w:right="519" w:bottom="1440" w:gutter="0" w:footer="0" w:header="0"/>
        </w:sectPr>
      </w:pPr>
    </w:p>
    <w:bookmarkStart w:id="59" w:name="page60"/>
    <w:bookmarkEnd w:id="59"/>
    <w:p>
      <w:pPr>
        <w:jc w:val="center"/>
        <w:ind w:right="-127"/>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ind w:right="-127"/>
        <w:spacing w:after="0"/>
        <w:rPr>
          <w:sz w:val="20"/>
          <w:szCs w:val="20"/>
          <w:color w:val="auto"/>
        </w:rPr>
      </w:pPr>
      <w:r>
        <w:rPr>
          <w:rFonts w:ascii="Arial" w:cs="Arial" w:eastAsia="Arial" w:hAnsi="Arial"/>
          <w:sz w:val="18"/>
          <w:szCs w:val="18"/>
          <w:u w:val="single" w:color="auto"/>
          <w:color w:val="auto"/>
        </w:rPr>
        <w:t>Vesting Terms</w:t>
      </w:r>
    </w:p>
    <w:p>
      <w:pPr>
        <w:spacing w:after="0" w:line="252" w:lineRule="exact"/>
        <w:rPr>
          <w:sz w:val="20"/>
          <w:szCs w:val="20"/>
          <w:color w:val="auto"/>
        </w:rPr>
      </w:pPr>
    </w:p>
    <w:p>
      <w:pPr>
        <w:ind w:left="328" w:hanging="328"/>
        <w:spacing w:after="0" w:line="277"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Twenty-five percent of the Stock Option will vest on the first anniversary of the Grant Date and the remaining seventy-five percent of the Stock Option will vest in equal monthly installments over the next three years.</w:t>
      </w:r>
    </w:p>
    <w:p>
      <w:pPr>
        <w:spacing w:after="0" w:line="103" w:lineRule="exact"/>
        <w:rPr>
          <w:sz w:val="20"/>
          <w:szCs w:val="20"/>
          <w:color w:val="auto"/>
        </w:rPr>
      </w:pPr>
    </w:p>
    <w:p>
      <w:pPr>
        <w:jc w:val="center"/>
        <w:ind w:right="-12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68"/>
          </w:cols>
          <w:pgMar w:left="552" w:top="274" w:right="6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117" w:lineRule="exact"/>
        <w:rPr>
          <w:sz w:val="20"/>
          <w:szCs w:val="20"/>
          <w:color w:val="auto"/>
        </w:rPr>
      </w:pPr>
    </w:p>
    <w:p>
      <w:pPr>
        <w:ind w:left="180" w:hanging="176"/>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Zafgen, Inc.;</w:t>
      </w:r>
    </w:p>
    <w:p>
      <w:pPr>
        <w:spacing w:after="0" w:line="117" w:lineRule="exact"/>
        <w:rPr>
          <w:rFonts w:ascii="Arial" w:cs="Arial" w:eastAsia="Arial" w:hAnsi="Arial"/>
          <w:sz w:val="18"/>
          <w:szCs w:val="18"/>
          <w:color w:val="auto"/>
        </w:rPr>
      </w:pPr>
    </w:p>
    <w:p>
      <w:pPr>
        <w:ind w:right="40" w:firstLine="4"/>
        <w:spacing w:after="0" w:line="342"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
        <w:spacing w:after="0" w:line="264"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60" w:firstLine="444"/>
        <w:spacing w:after="0" w:line="264" w:lineRule="auto"/>
        <w:tabs>
          <w:tab w:leader="none" w:pos="6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60" w:firstLine="444"/>
        <w:spacing w:after="0" w:line="342" w:lineRule="auto"/>
        <w:tabs>
          <w:tab w:leader="none" w:pos="685"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444"/>
        <w:spacing w:after="0" w:line="264" w:lineRule="auto"/>
        <w:tabs>
          <w:tab w:leader="none" w:pos="6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4"/>
        <w:spacing w:after="0" w:line="277"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4"/>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5"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117" w:lineRule="exact"/>
        <w:rPr>
          <w:sz w:val="20"/>
          <w:szCs w:val="20"/>
          <w:color w:val="auto"/>
        </w:rPr>
      </w:pPr>
    </w:p>
    <w:p>
      <w:pPr>
        <w:ind w:left="180" w:hanging="176"/>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Zafgen, Inc.;</w:t>
      </w:r>
    </w:p>
    <w:p>
      <w:pPr>
        <w:spacing w:after="0" w:line="117" w:lineRule="exact"/>
        <w:rPr>
          <w:rFonts w:ascii="Arial" w:cs="Arial" w:eastAsia="Arial" w:hAnsi="Arial"/>
          <w:sz w:val="18"/>
          <w:szCs w:val="18"/>
          <w:color w:val="auto"/>
        </w:rPr>
      </w:pPr>
    </w:p>
    <w:p>
      <w:pPr>
        <w:ind w:right="40" w:firstLine="4"/>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
        <w:spacing w:after="0" w:line="264"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60" w:firstLine="444"/>
        <w:spacing w:after="0" w:line="264" w:lineRule="auto"/>
        <w:tabs>
          <w:tab w:leader="none" w:pos="68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60" w:firstLine="444"/>
        <w:spacing w:after="0" w:line="342" w:lineRule="auto"/>
        <w:tabs>
          <w:tab w:leader="none" w:pos="68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444"/>
        <w:spacing w:after="0" w:line="264" w:lineRule="auto"/>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4"/>
        <w:spacing w:after="0" w:line="277"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4"/>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5" w:right="439" w:bottom="1440" w:gutter="0" w:footer="0" w:header="0"/>
        </w:sectPr>
      </w:pPr>
    </w:p>
    <w:bookmarkStart w:id="62" w:name="page63"/>
    <w:bookmarkEnd w:id="62"/>
    <w:p>
      <w:pPr>
        <w:ind w:left="10140"/>
        <w:spacing w:after="0"/>
        <w:rPr>
          <w:sz w:val="20"/>
          <w:szCs w:val="20"/>
          <w:color w:val="auto"/>
        </w:rPr>
      </w:pPr>
      <w:r>
        <w:rPr>
          <w:rFonts w:ascii="Arial" w:cs="Arial" w:eastAsia="Arial" w:hAnsi="Arial"/>
          <w:sz w:val="17"/>
          <w:szCs w:val="17"/>
          <w:u w:val="single" w:color="auto"/>
          <w:color w:val="auto"/>
        </w:rPr>
        <w:t>Exhibit 32.1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June 30, 2018, as filed with the Securities and Exchange Commission on the date hereof (the “Report”), each of the undersigned officers hereby certify, pursuant to Section 906 of the Sarbanes-Oxley Act of 2002, 18 U.S.C. Section 1350, that to his or her knowledge:</w:t>
      </w:r>
    </w:p>
    <w:p>
      <w:pPr>
        <w:spacing w:after="0" w:line="87" w:lineRule="exact"/>
        <w:rPr>
          <w:sz w:val="20"/>
          <w:szCs w:val="20"/>
          <w:color w:val="auto"/>
        </w:rPr>
      </w:pPr>
    </w:p>
    <w:p>
      <w:pPr>
        <w:ind w:left="440" w:right="360" w:hanging="436"/>
        <w:spacing w:after="0" w:line="277"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Dated: August 9, 2018</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Hatfield</w:t>
            </w:r>
          </w:p>
        </w:tc>
      </w:tr>
      <w:tr>
        <w:trPr>
          <w:trHeight w:val="195"/>
        </w:trPr>
        <w:tc>
          <w:tcPr>
            <w:tcW w:w="586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Dated: August 9, 2018</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Allen</w:t>
            </w:r>
          </w:p>
        </w:tc>
      </w:tr>
      <w:tr>
        <w:trPr>
          <w:trHeight w:val="195"/>
        </w:trPr>
        <w:tc>
          <w:tcPr>
            <w:tcW w:w="586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Patricia Allen</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40"/>
      </w:cols>
      <w:pgMar w:left="44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7"/>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lvl w:ilvl="1">
      <w:lvlJc w:val="left"/>
      <w:lvlText w:val="(%2)"/>
      <w:numFmt w:val="lowerLetter"/>
      <w:start w:val="1"/>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decimal"/>
      <w:start w:val="1"/>
    </w:lvl>
    <w:lvl w:ilvl="1">
      <w:lvlJc w:val="left"/>
      <w:lvlText w:val="(%2)"/>
      <w:numFmt w:val="lowerLetter"/>
      <w:start w:val="3"/>
    </w:lvl>
  </w:abstractNum>
  <w:abstractNum w:abstractNumId="38">
    <w:nsid w:val="2A487CB0"/>
    <w:multiLevelType w:val="hybridMultilevel"/>
    <w:lvl w:ilvl="0">
      <w:lvlJc w:val="left"/>
      <w:lvlText w:val="%1."/>
      <w:numFmt w:val="decimal"/>
      <w:start w:val="3"/>
    </w:lvl>
    <w:lvl w:ilvl="1">
      <w:lvlJc w:val="left"/>
      <w:lvlText w:val="(%2)"/>
      <w:numFmt w:val="lowerLetter"/>
      <w:start w:val="1"/>
    </w:lvl>
  </w:abstractNum>
  <w:abstractNum w:abstractNumId="39">
    <w:nsid w:val="1D4ED43B"/>
    <w:multiLevelType w:val="hybridMultilevel"/>
    <w:lvl w:ilvl="0">
      <w:lvlJc w:val="left"/>
      <w:lvlText w:val="%1."/>
      <w:numFmt w:val="decimal"/>
      <w:start w:val="4"/>
    </w:lvl>
  </w:abstractNum>
  <w:abstractNum w:abstractNumId="40">
    <w:nsid w:val="725A06FB"/>
    <w:multiLevelType w:val="hybridMultilevel"/>
    <w:lvl w:ilvl="0">
      <w:lvlJc w:val="left"/>
      <w:lvlText w:val="(%1)"/>
      <w:numFmt w:val="lowerRoman"/>
      <w:start w:val="1"/>
    </w:lvl>
    <w:lvl w:ilvl="1">
      <w:lvlJc w:val="left"/>
      <w:lvlText w:val="%2."/>
      <w:numFmt w:val="decimal"/>
      <w:start w:val="10"/>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69" Type="http://schemas.openxmlformats.org/officeDocument/2006/relationships/hyperlink" Target="http://www.sec.gov/Archives/edgar/data/1374690/000119312518178715/d595223dex101.htm" TargetMode="External"/><Relationship Id="rId70" Type="http://schemas.openxmlformats.org/officeDocument/2006/relationships/hyperlink" Target="http://www.sec.gov/Archives/edgar/data/1374690/000119312518178715/d59522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2019-12-28T19:50:27Z</dcterms:created>
  <dcterms:modified xsi:type="dcterms:W3CDTF">2019-12-28T19:50:27Z</dcterms:modified>
</cp:coreProperties>
</file>