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Truitt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LARIMAR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THREE BALA PLAZA EAST, SUITE 506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BALA CYNWYD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Larimar Therapeutics, Inc.</w:t>
              </w:r>
            </w:hyperlink>
            <w:r>
              <w:rPr/>
              <w:t xml:space="preserve"> [ </w:t>
            </w:r>
            <w:r>
              <w:rPr>
                <w:rFonts w:ascii="Times;serif" w:hAnsi="Times;serif"/>
                <w:color w:val="0000FF"/>
                <w:sz w:val="24"/>
                <w:shd w:fill="FFFFFF" w:val="clear"/>
              </w:rPr>
              <w:t>LRMR</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05/09/2023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05/09/2023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05/09/2033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vest on the earlier of (a) May 9, 2024 or (b) the date of the Company's next annual meeting of stockholders, in each case subject to the Reporting Person's continued service on the Board of Directors of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Johansson,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52429" TargetMode="External"/><Relationship Id="rId4" Type="http://schemas.openxmlformats.org/officeDocument/2006/relationships/hyperlink" Target="http://www.sec.gov/cgi-bin/browse-edgar?action=getcompany&amp;CIK=00013746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3292</Characters>
  <CharactersWithSpaces>3837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