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______________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5"/>
          <w:szCs w:val="25"/>
          <w:u w:val="single" w:color="auto"/>
          <w:color w:val="auto"/>
        </w:rPr>
        <w:t>LARIMAR THERAPEUTICS,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Shares, par value $0.001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517125100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w:t>
      </w:r>
      <w:r>
        <w:rPr>
          <w:rFonts w:ascii="Arial" w:cs="Arial" w:eastAsia="Arial" w:hAnsi="Arial"/>
          <w:sz w:val="18"/>
          <w:szCs w:val="18"/>
          <w:u w:val="single" w:color="auto"/>
          <w:color w:val="auto"/>
        </w:rPr>
        <w:t>December 31, 2020</w:t>
      </w:r>
      <w:r>
        <w:rPr>
          <w:rFonts w:ascii="Arial" w:cs="Arial" w:eastAsia="Arial" w:hAnsi="Arial"/>
          <w:sz w:val="18"/>
          <w:szCs w:val="18"/>
          <w:color w:val="auto"/>
        </w:rPr>
        <w:t>__________</w:t>
      </w:r>
    </w:p>
    <w:p>
      <w:pPr>
        <w:spacing w:after="0" w:line="23"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640" w:right="8060" w:firstLine="4"/>
        <w:spacing w:after="0" w:line="227" w:lineRule="exact"/>
        <w:tabs>
          <w:tab w:leader="none" w:pos="84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2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20"/>
          </w:cols>
          <w:pgMar w:left="980" w:top="783"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517125100</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871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3" w:lineRule="exact"/>
        <w:rPr>
          <w:sz w:val="20"/>
          <w:szCs w:val="20"/>
          <w:color w:val="auto"/>
        </w:rPr>
      </w:pPr>
    </w:p>
    <w:p>
      <w:pPr>
        <w:ind w:left="680" w:right="4960" w:hanging="427"/>
        <w:spacing w:after="0" w:line="498" w:lineRule="auto"/>
        <w:tabs>
          <w:tab w:leader="none" w:pos="6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Management, L.P.</w:t>
      </w:r>
    </w:p>
    <w:p>
      <w:pPr>
        <w:spacing w:after="0" w:line="4" w:lineRule="exact"/>
        <w:rPr>
          <w:sz w:val="20"/>
          <w:szCs w:val="20"/>
          <w:color w:val="auto"/>
        </w:rPr>
      </w:pPr>
    </w:p>
    <w:p>
      <w:pPr>
        <w:ind w:left="680" w:hanging="427"/>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right="6880" w:hanging="427"/>
        <w:spacing w:after="0" w:line="506" w:lineRule="auto"/>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02"/>
        </w:trPr>
        <w:tc>
          <w:tcPr>
            <w:tcW w:w="14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9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1"/>
              </w:rPr>
              <w:t>SHARES</w:t>
            </w:r>
          </w:p>
        </w:tc>
        <w:tc>
          <w:tcPr>
            <w:tcW w:w="50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rPr>
              <w:t>BENEFICIALLY</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1,515,151</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22"/>
                <w:szCs w:val="22"/>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8"/>
        </w:trPr>
        <w:tc>
          <w:tcPr>
            <w:tcW w:w="1480" w:type="dxa"/>
            <w:vAlign w:val="bottom"/>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1,515,151</w:t>
      </w:r>
    </w:p>
    <w:p>
      <w:pPr>
        <w:spacing w:after="0" w:line="23" w:lineRule="exact"/>
        <w:rPr>
          <w:sz w:val="20"/>
          <w:szCs w:val="20"/>
          <w:color w:val="auto"/>
        </w:rPr>
      </w:pPr>
    </w:p>
    <w:p>
      <w:pPr>
        <w:ind w:left="680" w:right="4000" w:hanging="427"/>
        <w:spacing w:after="0" w:line="489" w:lineRule="auto"/>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 1,515,151</w:t>
      </w:r>
    </w:p>
    <w:p>
      <w:pPr>
        <w:spacing w:after="0" w:line="1" w:lineRule="exact"/>
        <w:rPr>
          <w:sz w:val="20"/>
          <w:szCs w:val="20"/>
          <w:color w:val="auto"/>
        </w:rPr>
      </w:pPr>
    </w:p>
    <w:p>
      <w:pPr>
        <w:ind w:left="200"/>
        <w:spacing w:after="0" w:line="207" w:lineRule="exact"/>
        <w:tabs>
          <w:tab w:leader="none" w:pos="660" w:val="left"/>
          <w:tab w:leader="none" w:pos="9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71" w:lineRule="exact"/>
        <w:rPr>
          <w:sz w:val="20"/>
          <w:szCs w:val="20"/>
          <w:color w:val="auto"/>
        </w:rPr>
      </w:pPr>
    </w:p>
    <w:p>
      <w:pPr>
        <w:ind w:left="680" w:right="5620" w:hanging="467"/>
        <w:spacing w:after="0" w:line="506"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w:t>
      </w:r>
    </w:p>
    <w:p>
      <w:pPr>
        <w:spacing w:after="0" w:line="4"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IA,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517125100</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734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 w:lineRule="exact"/>
        <w:rPr>
          <w:sz w:val="20"/>
          <w:szCs w:val="20"/>
          <w:color w:val="auto"/>
        </w:rPr>
      </w:pPr>
    </w:p>
    <w:p>
      <w:pPr>
        <w:ind w:left="680" w:right="4960" w:hanging="427"/>
        <w:spacing w:after="0" w:line="498" w:lineRule="auto"/>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Peter Kolchinsky</w:t>
      </w:r>
    </w:p>
    <w:p>
      <w:pPr>
        <w:spacing w:after="0" w:line="4" w:lineRule="exact"/>
        <w:rPr>
          <w:sz w:val="20"/>
          <w:szCs w:val="20"/>
          <w:color w:val="auto"/>
        </w:rPr>
      </w:pPr>
    </w:p>
    <w:p>
      <w:pPr>
        <w:ind w:left="680" w:hanging="427"/>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right="6880" w:hanging="427"/>
        <w:spacing w:after="0" w:line="506"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1"/>
              </w:rPr>
              <w:t>SHARES</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1,515,151</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1,515,151</w:t>
      </w:r>
    </w:p>
    <w:p>
      <w:pPr>
        <w:spacing w:after="0" w:line="23" w:lineRule="exact"/>
        <w:rPr>
          <w:sz w:val="20"/>
          <w:szCs w:val="20"/>
          <w:color w:val="auto"/>
        </w:rPr>
      </w:pPr>
    </w:p>
    <w:p>
      <w:pPr>
        <w:ind w:left="680" w:hanging="427"/>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1,515,151</w:t>
      </w:r>
    </w:p>
    <w:p>
      <w:pPr>
        <w:spacing w:after="0" w:line="23" w:lineRule="exact"/>
        <w:rPr>
          <w:sz w:val="20"/>
          <w:szCs w:val="20"/>
          <w:color w:val="auto"/>
        </w:rPr>
      </w:pPr>
    </w:p>
    <w:p>
      <w:pPr>
        <w:ind w:left="200"/>
        <w:spacing w:after="0" w:line="207" w:lineRule="exact"/>
        <w:tabs>
          <w:tab w:leader="none" w:pos="660" w:val="left"/>
          <w:tab w:leader="none" w:pos="9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38" w:lineRule="exact"/>
        <w:rPr>
          <w:sz w:val="20"/>
          <w:szCs w:val="20"/>
          <w:color w:val="auto"/>
        </w:rPr>
      </w:pPr>
    </w:p>
    <w:p>
      <w:pPr>
        <w:ind w:left="680" w:right="5620" w:hanging="467"/>
        <w:spacing w:after="0" w:line="506"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w:t>
      </w:r>
    </w:p>
    <w:p>
      <w:pPr>
        <w:spacing w:after="0" w:line="4"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517125100</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734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 w:lineRule="exact"/>
        <w:rPr>
          <w:sz w:val="20"/>
          <w:szCs w:val="20"/>
          <w:color w:val="auto"/>
        </w:rPr>
      </w:pPr>
    </w:p>
    <w:p>
      <w:pPr>
        <w:ind w:left="680" w:right="4960" w:hanging="427"/>
        <w:spacing w:after="0" w:line="498" w:lineRule="auto"/>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Rajeev Shah</w:t>
      </w:r>
    </w:p>
    <w:p>
      <w:pPr>
        <w:spacing w:after="0" w:line="4" w:lineRule="exact"/>
        <w:rPr>
          <w:sz w:val="20"/>
          <w:szCs w:val="20"/>
          <w:color w:val="auto"/>
        </w:rPr>
      </w:pPr>
    </w:p>
    <w:p>
      <w:pPr>
        <w:ind w:left="680" w:hanging="427"/>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right="6880" w:hanging="427"/>
        <w:spacing w:after="0" w:line="506" w:lineRule="auto"/>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United States of America</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1"/>
              </w:rPr>
              <w:t>SHARES</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1,515,151</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1,515,151</w:t>
      </w:r>
    </w:p>
    <w:p>
      <w:pPr>
        <w:spacing w:after="0" w:line="23" w:lineRule="exact"/>
        <w:rPr>
          <w:sz w:val="20"/>
          <w:szCs w:val="20"/>
          <w:color w:val="auto"/>
        </w:rPr>
      </w:pPr>
    </w:p>
    <w:p>
      <w:pPr>
        <w:ind w:left="680" w:hanging="427"/>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1,515,151</w:t>
      </w:r>
    </w:p>
    <w:p>
      <w:pPr>
        <w:spacing w:after="0" w:line="23" w:lineRule="exact"/>
        <w:rPr>
          <w:sz w:val="20"/>
          <w:szCs w:val="20"/>
          <w:color w:val="auto"/>
        </w:rPr>
      </w:pPr>
    </w:p>
    <w:p>
      <w:pPr>
        <w:ind w:left="200"/>
        <w:spacing w:after="0" w:line="207" w:lineRule="exact"/>
        <w:tabs>
          <w:tab w:leader="none" w:pos="660" w:val="left"/>
          <w:tab w:leader="none" w:pos="9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38" w:lineRule="exact"/>
        <w:rPr>
          <w:sz w:val="20"/>
          <w:szCs w:val="20"/>
          <w:color w:val="auto"/>
        </w:rPr>
      </w:pPr>
    </w:p>
    <w:p>
      <w:pPr>
        <w:ind w:left="680" w:right="5620" w:hanging="467"/>
        <w:spacing w:after="0" w:line="506" w:lineRule="auto"/>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w:t>
      </w:r>
    </w:p>
    <w:p>
      <w:pPr>
        <w:spacing w:after="0" w:line="4"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517125100</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734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734685"/>
                    </a:xfrm>
                    <a:prstGeom prst="rect">
                      <a:avLst/>
                    </a:prstGeom>
                    <a:noFill/>
                  </pic:spPr>
                </pic:pic>
              </a:graphicData>
            </a:graphic>
          </wp:anchor>
        </w:drawing>
      </w:r>
    </w:p>
    <w:p>
      <w:pPr>
        <w:spacing w:after="0" w:line="3" w:lineRule="exact"/>
        <w:rPr>
          <w:sz w:val="20"/>
          <w:szCs w:val="20"/>
          <w:color w:val="auto"/>
        </w:rPr>
      </w:pPr>
    </w:p>
    <w:p>
      <w:pPr>
        <w:ind w:left="680" w:right="4960" w:hanging="427"/>
        <w:spacing w:after="0" w:line="498" w:lineRule="auto"/>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 RA Capital Healthcare Fund, L.P.</w:t>
      </w:r>
    </w:p>
    <w:p>
      <w:pPr>
        <w:spacing w:after="0" w:line="4" w:lineRule="exact"/>
        <w:rPr>
          <w:sz w:val="20"/>
          <w:szCs w:val="20"/>
          <w:color w:val="auto"/>
        </w:rPr>
      </w:pPr>
    </w:p>
    <w:p>
      <w:pPr>
        <w:ind w:left="680" w:hanging="427"/>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8140"/>
        <w:spacing w:after="0" w:line="207" w:lineRule="exact"/>
        <w:tabs>
          <w:tab w:leader="none" w:pos="864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80" w:hanging="427"/>
        <w:spacing w:after="0"/>
        <w:tabs>
          <w:tab w:leader="none" w:pos="6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0"/>
          <w:szCs w:val="20"/>
          <w:color w:val="auto"/>
        </w:rPr>
      </w:pPr>
    </w:p>
    <w:p>
      <w:pPr>
        <w:spacing w:after="0" w:line="255" w:lineRule="exact"/>
        <w:rPr>
          <w:sz w:val="20"/>
          <w:szCs w:val="20"/>
          <w:color w:val="auto"/>
        </w:rPr>
      </w:pPr>
    </w:p>
    <w:p>
      <w:pPr>
        <w:ind w:left="680" w:right="6880" w:hanging="427"/>
        <w:spacing w:after="0" w:line="506" w:lineRule="auto"/>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Delaware</w:t>
      </w:r>
    </w:p>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90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6"/>
              </w:rPr>
              <w:t>NUMBER OF</w:t>
            </w:r>
          </w:p>
        </w:tc>
        <w:tc>
          <w:tcPr>
            <w:tcW w:w="500" w:type="dxa"/>
            <w:vAlign w:val="bottom"/>
            <w:tcBorders>
              <w:bottom w:val="single" w:sz="8" w:color="auto"/>
            </w:tcBorders>
          </w:tcPr>
          <w:p>
            <w:pPr>
              <w:spacing w:after="0"/>
              <w:rPr>
                <w:sz w:val="24"/>
                <w:szCs w:val="24"/>
                <w:color w:val="auto"/>
              </w:rPr>
            </w:pPr>
          </w:p>
        </w:tc>
        <w:tc>
          <w:tcPr>
            <w:tcW w:w="9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48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1"/>
              </w:rPr>
              <w:t>SHARES</w:t>
            </w:r>
          </w:p>
        </w:tc>
        <w:tc>
          <w:tcPr>
            <w:tcW w:w="500" w:type="dxa"/>
            <w:vAlign w:val="bottom"/>
          </w:tcPr>
          <w:p>
            <w:pPr>
              <w:jc w:val="right"/>
              <w:ind w:right="70"/>
              <w:spacing w:after="0" w:line="182" w:lineRule="exact"/>
              <w:rPr>
                <w:sz w:val="20"/>
                <w:szCs w:val="20"/>
                <w:color w:val="auto"/>
              </w:rPr>
            </w:pPr>
            <w:r>
              <w:rPr>
                <w:rFonts w:ascii="Arial" w:cs="Arial" w:eastAsia="Arial" w:hAnsi="Arial"/>
                <w:sz w:val="18"/>
                <w:szCs w:val="18"/>
                <w:b w:val="1"/>
                <w:bCs w:val="1"/>
                <w:color w:val="auto"/>
              </w:rPr>
              <w:t>6</w:t>
            </w:r>
          </w:p>
        </w:tc>
        <w:tc>
          <w:tcPr>
            <w:tcW w:w="9040" w:type="dxa"/>
            <w:vAlign w:val="bottom"/>
          </w:tcPr>
          <w:p>
            <w:pPr>
              <w:ind w:left="18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rPr>
              <w:t>BENEFICIALLY</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7"/>
              </w:rPr>
              <w:t>OWNED BY</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1,515,151</w:t>
            </w:r>
          </w:p>
        </w:tc>
        <w:tc>
          <w:tcPr>
            <w:tcW w:w="0" w:type="dxa"/>
            <w:vAlign w:val="bottom"/>
          </w:tcPr>
          <w:p>
            <w:pPr>
              <w:spacing w:after="0"/>
              <w:rPr>
                <w:sz w:val="1"/>
                <w:szCs w:val="1"/>
                <w:color w:val="auto"/>
              </w:rPr>
            </w:pPr>
          </w:p>
        </w:tc>
      </w:tr>
      <w:tr>
        <w:trPr>
          <w:trHeight w:val="28"/>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5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480" w:type="dxa"/>
            <w:vAlign w:val="bottom"/>
            <w:vMerge w:val="continue"/>
          </w:tcPr>
          <w:p>
            <w:pPr>
              <w:spacing w:after="0"/>
              <w:rPr>
                <w:sz w:val="14"/>
                <w:szCs w:val="14"/>
                <w:color w:val="auto"/>
              </w:rPr>
            </w:pPr>
          </w:p>
        </w:tc>
        <w:tc>
          <w:tcPr>
            <w:tcW w:w="500" w:type="dxa"/>
            <w:vAlign w:val="bottom"/>
          </w:tcPr>
          <w:p>
            <w:pPr>
              <w:jc w:val="right"/>
              <w:ind w:right="70"/>
              <w:spacing w:after="0" w:line="168" w:lineRule="exact"/>
              <w:rPr>
                <w:sz w:val="20"/>
                <w:szCs w:val="20"/>
                <w:color w:val="auto"/>
              </w:rPr>
            </w:pPr>
            <w:r>
              <w:rPr>
                <w:rFonts w:ascii="Arial" w:cs="Arial" w:eastAsia="Arial" w:hAnsi="Arial"/>
                <w:sz w:val="18"/>
                <w:szCs w:val="18"/>
                <w:b w:val="1"/>
                <w:bCs w:val="1"/>
                <w:color w:val="auto"/>
              </w:rPr>
              <w:t>7</w:t>
            </w:r>
          </w:p>
        </w:tc>
        <w:tc>
          <w:tcPr>
            <w:tcW w:w="9040" w:type="dxa"/>
            <w:vAlign w:val="bottom"/>
          </w:tcPr>
          <w:p>
            <w:pPr>
              <w:ind w:left="180"/>
              <w:spacing w:after="0" w:line="168"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93"/>
              </w:rPr>
              <w:t>REPORTING</w:t>
            </w:r>
          </w:p>
        </w:tc>
        <w:tc>
          <w:tcPr>
            <w:tcW w:w="500" w:type="dxa"/>
            <w:vAlign w:val="bottom"/>
          </w:tcPr>
          <w:p>
            <w:pPr>
              <w:spacing w:after="0"/>
              <w:rPr>
                <w:sz w:val="18"/>
                <w:szCs w:val="18"/>
                <w:color w:val="auto"/>
              </w:rPr>
            </w:pPr>
          </w:p>
        </w:tc>
        <w:tc>
          <w:tcPr>
            <w:tcW w:w="9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10"/>
              <w:spacing w:after="0"/>
              <w:rPr>
                <w:sz w:val="20"/>
                <w:szCs w:val="20"/>
                <w:color w:val="auto"/>
              </w:rPr>
            </w:pPr>
            <w:r>
              <w:rPr>
                <w:rFonts w:ascii="Arial" w:cs="Arial" w:eastAsia="Arial" w:hAnsi="Arial"/>
                <w:sz w:val="18"/>
                <w:szCs w:val="18"/>
                <w:color w:val="auto"/>
                <w:w w:val="89"/>
              </w:rPr>
              <w:t>PERSON</w:t>
            </w:r>
          </w:p>
        </w:tc>
        <w:tc>
          <w:tcPr>
            <w:tcW w:w="500" w:type="dxa"/>
            <w:vAlign w:val="bottom"/>
          </w:tcPr>
          <w:p>
            <w:pPr>
              <w:spacing w:after="0"/>
              <w:rPr>
                <w:sz w:val="18"/>
                <w:szCs w:val="18"/>
                <w:color w:val="auto"/>
              </w:rPr>
            </w:pPr>
          </w:p>
        </w:tc>
        <w:tc>
          <w:tcPr>
            <w:tcW w:w="9040" w:type="dxa"/>
            <w:vAlign w:val="bottom"/>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1480" w:type="dxa"/>
            <w:vAlign w:val="bottom"/>
            <w:vMerge w:val="restart"/>
          </w:tcPr>
          <w:p>
            <w:pPr>
              <w:jc w:val="center"/>
              <w:ind w:right="110"/>
              <w:spacing w:after="0"/>
              <w:rPr>
                <w:sz w:val="20"/>
                <w:szCs w:val="20"/>
                <w:color w:val="auto"/>
              </w:rPr>
            </w:pPr>
            <w:r>
              <w:rPr>
                <w:rFonts w:ascii="Arial" w:cs="Arial" w:eastAsia="Arial" w:hAnsi="Arial"/>
                <w:sz w:val="18"/>
                <w:szCs w:val="18"/>
                <w:color w:val="auto"/>
              </w:rPr>
              <w:t>WITH:</w:t>
            </w:r>
          </w:p>
        </w:tc>
        <w:tc>
          <w:tcPr>
            <w:tcW w:w="500" w:type="dxa"/>
            <w:vAlign w:val="bottom"/>
            <w:tcBorders>
              <w:bottom w:val="single" w:sz="8" w:color="auto"/>
            </w:tcBorders>
          </w:tcPr>
          <w:p>
            <w:pPr>
              <w:spacing w:after="0"/>
              <w:rPr>
                <w:sz w:val="3"/>
                <w:szCs w:val="3"/>
                <w:color w:val="auto"/>
              </w:rPr>
            </w:pPr>
          </w:p>
        </w:tc>
        <w:tc>
          <w:tcPr>
            <w:tcW w:w="9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80" w:type="dxa"/>
            <w:vAlign w:val="bottom"/>
            <w:vMerge w:val="continue"/>
          </w:tcPr>
          <w:p>
            <w:pPr>
              <w:spacing w:after="0"/>
              <w:rPr>
                <w:sz w:val="19"/>
                <w:szCs w:val="19"/>
                <w:color w:val="auto"/>
              </w:rPr>
            </w:pPr>
          </w:p>
        </w:tc>
        <w:tc>
          <w:tcPr>
            <w:tcW w:w="500" w:type="dxa"/>
            <w:vAlign w:val="bottom"/>
          </w:tcPr>
          <w:p>
            <w:pPr>
              <w:jc w:val="right"/>
              <w:ind w:right="70"/>
              <w:spacing w:after="0"/>
              <w:rPr>
                <w:sz w:val="20"/>
                <w:szCs w:val="20"/>
                <w:color w:val="auto"/>
              </w:rPr>
            </w:pPr>
            <w:r>
              <w:rPr>
                <w:rFonts w:ascii="Arial" w:cs="Arial" w:eastAsia="Arial" w:hAnsi="Arial"/>
                <w:sz w:val="18"/>
                <w:szCs w:val="18"/>
                <w:b w:val="1"/>
                <w:bCs w:val="1"/>
                <w:color w:val="auto"/>
              </w:rPr>
              <w:t>8</w:t>
            </w:r>
          </w:p>
        </w:tc>
        <w:tc>
          <w:tcPr>
            <w:tcW w:w="9040" w:type="dxa"/>
            <w:vAlign w:val="bottom"/>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1,515,151</w:t>
      </w:r>
    </w:p>
    <w:p>
      <w:pPr>
        <w:spacing w:after="0" w:line="23" w:lineRule="exact"/>
        <w:rPr>
          <w:sz w:val="20"/>
          <w:szCs w:val="20"/>
          <w:color w:val="auto"/>
        </w:rPr>
      </w:pPr>
    </w:p>
    <w:p>
      <w:pPr>
        <w:ind w:left="680" w:hanging="427"/>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00" w:lineRule="exact"/>
        <w:rPr>
          <w:sz w:val="20"/>
          <w:szCs w:val="20"/>
          <w:color w:val="auto"/>
        </w:rPr>
      </w:pPr>
    </w:p>
    <w:p>
      <w:pPr>
        <w:spacing w:after="0" w:line="221" w:lineRule="exact"/>
        <w:rPr>
          <w:sz w:val="20"/>
          <w:szCs w:val="20"/>
          <w:color w:val="auto"/>
        </w:rPr>
      </w:pPr>
    </w:p>
    <w:p>
      <w:pPr>
        <w:ind w:left="200"/>
        <w:spacing w:after="0" w:line="207" w:lineRule="exact"/>
        <w:tabs>
          <w:tab w:leader="none" w:pos="660" w:val="left"/>
          <w:tab w:leader="none" w:pos="98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color w:val="auto"/>
        </w:rPr>
        <w:t>CHECK BOX IF THE AGGREGATE AMOUNT IN ROW (9) EXCLUDES CERTAIN SHARES (SEE INSTRUCTIONS)</w:t>
      </w:r>
      <w:r>
        <w:rPr>
          <w:sz w:val="20"/>
          <w:szCs w:val="20"/>
          <w:color w:val="auto"/>
        </w:rPr>
        <w:tab/>
      </w:r>
      <w:r>
        <w:rPr>
          <w:rFonts w:ascii="MS PGothic" w:cs="MS PGothic" w:eastAsia="MS PGothic" w:hAnsi="MS PGothic"/>
          <w:sz w:val="16"/>
          <w:szCs w:val="16"/>
          <w:color w:val="auto"/>
        </w:rPr>
        <w:t>☐</w:t>
      </w:r>
    </w:p>
    <w:p>
      <w:pPr>
        <w:spacing w:after="0" w:line="271" w:lineRule="exact"/>
        <w:rPr>
          <w:sz w:val="20"/>
          <w:szCs w:val="20"/>
          <w:color w:val="auto"/>
        </w:rPr>
      </w:pPr>
    </w:p>
    <w:p>
      <w:pPr>
        <w:ind w:left="680" w:right="5620" w:hanging="467"/>
        <w:spacing w:after="0" w:line="506" w:lineRule="auto"/>
        <w:tabs>
          <w:tab w:leader="none" w:pos="6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9.9%</w:t>
      </w:r>
    </w:p>
    <w:p>
      <w:pPr>
        <w:spacing w:after="0" w:line="4" w:lineRule="exact"/>
        <w:rPr>
          <w:rFonts w:ascii="Arial" w:cs="Arial" w:eastAsia="Arial" w:hAnsi="Arial"/>
          <w:sz w:val="18"/>
          <w:szCs w:val="18"/>
          <w:b w:val="1"/>
          <w:bCs w:val="1"/>
          <w:color w:val="auto"/>
        </w:rPr>
      </w:pPr>
    </w:p>
    <w:p>
      <w:pPr>
        <w:ind w:left="680" w:right="6220" w:hanging="472"/>
        <w:spacing w:after="0" w:line="527" w:lineRule="auto"/>
        <w:tabs>
          <w:tab w:leader="none" w:pos="6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Larimar Therapeutics, Inc. (the “Issuer”)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Three Bala Plaza East, Suite 506, Bala Cynwyd, PA 19004</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u w:val="single" w:color="auto"/>
          <w:color w:val="auto"/>
        </w:rPr>
        <w:t>Names of Persons Filing</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names of the persons filing this report (collectively, the “Reporting Persons”) 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Management, L.P. (“RA Capital”)</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Healthcare Fund, L.P. (the “Fund”)</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of the principal business office of each of the Reporting Persons is: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RA Capital Management, L.P., 200 Berkeley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Boston MA 02116</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RA Capital and the Fund are Delaware limited partnerships. Dr. Kolchinsky and Mr. Shah are United States citizens.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shares, par value $0.001 per share (“Common Stock”)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Number</w:t>
      </w:r>
      <w:r>
        <w:rPr>
          <w:rFonts w:ascii="Arial" w:cs="Arial" w:eastAsia="Arial" w:hAnsi="Arial"/>
          <w:sz w:val="17"/>
          <w:szCs w:val="17"/>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517125100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240.13d-2(b) or (c), check whether the person filing is a:</w:t>
      </w:r>
    </w:p>
    <w:p>
      <w:pPr>
        <w:spacing w:after="0" w:line="229" w:lineRule="exact"/>
        <w:rPr>
          <w:sz w:val="20"/>
          <w:szCs w:val="20"/>
          <w:color w:val="auto"/>
        </w:rPr>
      </w:pPr>
    </w:p>
    <w:p>
      <w:pPr>
        <w:ind w:left="1220" w:hanging="240"/>
        <w:spacing w:after="0"/>
        <w:tabs>
          <w:tab w:leader="none" w:pos="1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RA Capital Management, L.P. is a registered investment adviser and is filing this statement in accordance with §240.13d-1(b)(1)(ii)(E);</w:t>
      </w:r>
    </w:p>
    <w:p>
      <w:pPr>
        <w:spacing w:after="0" w:line="248" w:lineRule="exact"/>
        <w:rPr>
          <w:rFonts w:ascii="Arial" w:cs="Arial" w:eastAsia="Arial" w:hAnsi="Arial"/>
          <w:sz w:val="16"/>
          <w:szCs w:val="16"/>
          <w:color w:val="auto"/>
        </w:rPr>
      </w:pPr>
    </w:p>
    <w:p>
      <w:pPr>
        <w:ind w:left="1240" w:hanging="260"/>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Peter Kolchinsky and Rajeev Shah are control persons and are filing this statement in accordance with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Ownership</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20"/>
        <w:spacing w:after="0" w:line="263" w:lineRule="auto"/>
        <w:rPr>
          <w:sz w:val="20"/>
          <w:szCs w:val="20"/>
          <w:color w:val="auto"/>
        </w:rPr>
      </w:pPr>
      <w:r>
        <w:rPr>
          <w:rFonts w:ascii="Arial" w:cs="Arial" w:eastAsia="Arial" w:hAnsi="Arial"/>
          <w:sz w:val="18"/>
          <w:szCs w:val="18"/>
          <w:color w:val="auto"/>
        </w:rPr>
        <w:t>The information required by this item with respect to each Reporting Person is set forth in Rows 5 through 9 and 11 of the cover pages to this Schedule 13G. The ownership percentages reported are based on 15,356,206 outstanding Common Stock, as reported in the Issuer’s 10-Q filed on November 12, 2020.</w:t>
      </w:r>
    </w:p>
    <w:p>
      <w:pPr>
        <w:spacing w:after="0" w:line="184" w:lineRule="exact"/>
        <w:rPr>
          <w:sz w:val="20"/>
          <w:szCs w:val="20"/>
          <w:color w:val="auto"/>
        </w:rPr>
      </w:pPr>
    </w:p>
    <w:p>
      <w:pPr>
        <w:ind w:left="980" w:right="100"/>
        <w:spacing w:after="0" w:line="287" w:lineRule="auto"/>
        <w:rPr>
          <w:sz w:val="20"/>
          <w:szCs w:val="20"/>
          <w:color w:val="auto"/>
        </w:rPr>
      </w:pPr>
      <w:r>
        <w:rPr>
          <w:rFonts w:ascii="Arial" w:cs="Arial" w:eastAsia="Arial" w:hAnsi="Arial"/>
          <w:sz w:val="16"/>
          <w:szCs w:val="16"/>
          <w:color w:val="auto"/>
        </w:rPr>
        <w:t>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Securities Exchange Act of 1934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ownership of the securities reported in this Schedule 13G Statement (the “Statement”) other than for the purpose of determining their obligations under Section 13(d) of the Act, and the filing of the Statement shall not be deemed an admission that either RA Capital, Dr. Kolchinsky, or Mr. Shah is the beneficial owner of such securities for any other purpose.</w:t>
      </w:r>
    </w:p>
    <w:p>
      <w:pPr>
        <w:spacing w:after="0" w:line="16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r>
        <w:rPr>
          <w:rFonts w:ascii="Arial" w:cs="Arial" w:eastAsia="Arial" w:hAnsi="Arial"/>
          <w:sz w:val="16"/>
          <w:szCs w:val="16"/>
          <w:b w:val="1"/>
          <w:bCs w:val="1"/>
          <w:color w:val="auto"/>
        </w:rPr>
        <w:t>.</w:t>
      </w:r>
    </w:p>
    <w:p>
      <w:pPr>
        <w:spacing w:after="0" w:line="229" w:lineRule="exact"/>
        <w:rPr>
          <w:sz w:val="20"/>
          <w:szCs w:val="20"/>
          <w:color w:val="auto"/>
        </w:rPr>
      </w:pPr>
    </w:p>
    <w:p>
      <w:pPr>
        <w:ind w:left="980" w:right="3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right="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r>
        <w:rPr>
          <w:rFonts w:ascii="Arial" w:cs="Arial" w:eastAsia="Arial" w:hAnsi="Arial"/>
          <w:sz w:val="18"/>
          <w:szCs w:val="18"/>
          <w:b w:val="1"/>
          <w:bCs w:val="1"/>
          <w:color w:val="auto"/>
        </w:rPr>
        <w:t>.</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w:t>
      </w:r>
      <w:r>
        <w:rPr>
          <w:rFonts w:ascii="Arial" w:cs="Arial" w:eastAsia="Arial" w:hAnsi="Arial"/>
          <w:sz w:val="16"/>
          <w:szCs w:val="16"/>
          <w:b w:val="1"/>
          <w:bCs w:val="1"/>
          <w:color w:val="auto"/>
        </w:rPr>
        <w:t>.</w:t>
      </w:r>
    </w:p>
    <w:p>
      <w:pPr>
        <w:spacing w:after="0" w:line="229" w:lineRule="exact"/>
        <w:rPr>
          <w:sz w:val="20"/>
          <w:szCs w:val="20"/>
          <w:color w:val="auto"/>
        </w:rPr>
      </w:pPr>
    </w:p>
    <w:p>
      <w:pPr>
        <w:ind w:left="980"/>
        <w:spacing w:after="0" w:line="279"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7" w:name="page8"/>
    <w:bookmarkEnd w:id="7"/>
    <w:p>
      <w:pPr>
        <w:jc w:val="center"/>
        <w:ind w:right="-79"/>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each of the undersigned certifies that the information set forth in this statement is true, complete and correct.</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This Joint Filing Agreement, dated as of February 16, 2021, is by and among RA Capital Management, L.P., Peter Kolchinsky, Rajeev Shah, and RA Capital Healthcare Fund, L.P. (the foregoing are collectively referred to herein as the “Filers”).</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Each of the Filers may be required to file with the United States Securities and Exchange Commission a statement on Schedule 13G and/or 13D with respect to Common shares, par value $0.001 per share of Larimar Therapeutics, Inc. beneficially owned by them from time to time.</w:t>
      </w:r>
    </w:p>
    <w:p>
      <w:pPr>
        <w:spacing w:after="0" w:line="14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Joint Filing Agreement may be terminated by any of the Filers upon one week’s prior written notice or such lesser period of notice as the Filers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 CAPITAL MANAGEMENT,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PETER KOLCHINSKY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RAJEEV SHAH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Rajeev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RA Capital Healthcare GP, LLC</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Peter Kolchinsky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32746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bullet"/>
      <w:start w:val="1"/>
    </w:lvl>
  </w:abstractNum>
  <w:abstractNum w:abstractNumId="2">
    <w:nsid w:val="1BEFD79F"/>
    <w:multiLevelType w:val="hybridMultilevel"/>
    <w:lvl w:ilvl="0">
      <w:lvlJc w:val="left"/>
      <w:lvlText w:val="2"/>
      <w:numFmt w:val="bullet"/>
      <w:start w:val="1"/>
    </w:lvl>
  </w:abstractNum>
  <w:abstractNum w:abstractNumId="3">
    <w:nsid w:val="41A7C4C9"/>
    <w:multiLevelType w:val="hybridMultilevel"/>
    <w:lvl w:ilvl="0">
      <w:lvlJc w:val="left"/>
      <w:lvlText w:val="3"/>
      <w:numFmt w:val="bullet"/>
      <w:start w:val="1"/>
    </w:lvl>
  </w:abstractNum>
  <w:abstractNum w:abstractNumId="4">
    <w:nsid w:val="6B68079A"/>
    <w:multiLevelType w:val="hybridMultilevel"/>
    <w:lvl w:ilvl="0">
      <w:lvlJc w:val="left"/>
      <w:lvlText w:val="4"/>
      <w:numFmt w:val="bullet"/>
      <w:start w:val="1"/>
    </w:lvl>
  </w:abstractNum>
  <w:abstractNum w:abstractNumId="5">
    <w:nsid w:val="4E6AFB66"/>
    <w:multiLevelType w:val="hybridMultilevel"/>
    <w:lvl w:ilvl="0">
      <w:lvlJc w:val="left"/>
      <w:lvlText w:val="9"/>
      <w:numFmt w:val="bullet"/>
      <w:start w:val="1"/>
    </w:lvl>
  </w:abstractNum>
  <w:abstractNum w:abstractNumId="6">
    <w:nsid w:val="25E45D32"/>
    <w:multiLevelType w:val="hybridMultilevel"/>
    <w:lvl w:ilvl="0">
      <w:lvlJc w:val="left"/>
      <w:lvlText w:val="%1"/>
      <w:numFmt w:val="decimal"/>
      <w:start w:val="11"/>
    </w:lvl>
  </w:abstractNum>
  <w:abstractNum w:abstractNumId="7">
    <w:nsid w:val="519B500D"/>
    <w:multiLevelType w:val="hybridMultilevel"/>
    <w:lvl w:ilvl="0">
      <w:lvlJc w:val="left"/>
      <w:lvlText w:val="1"/>
      <w:numFmt w:val="bullet"/>
      <w:start w:val="1"/>
    </w:lvl>
  </w:abstractNum>
  <w:abstractNum w:abstractNumId="8">
    <w:nsid w:val="431BD7B7"/>
    <w:multiLevelType w:val="hybridMultilevel"/>
    <w:lvl w:ilvl="0">
      <w:lvlJc w:val="left"/>
      <w:lvlText w:val="2"/>
      <w:numFmt w:val="bullet"/>
      <w:start w:val="1"/>
    </w:lvl>
  </w:abstractNum>
  <w:abstractNum w:abstractNumId="9">
    <w:nsid w:val="3F2DBA31"/>
    <w:multiLevelType w:val="hybridMultilevel"/>
    <w:lvl w:ilvl="0">
      <w:lvlJc w:val="left"/>
      <w:lvlText w:val="3"/>
      <w:numFmt w:val="bullet"/>
      <w:start w:val="1"/>
    </w:lvl>
  </w:abstractNum>
  <w:abstractNum w:abstractNumId="10">
    <w:nsid w:val="7C83E458"/>
    <w:multiLevelType w:val="hybridMultilevel"/>
    <w:lvl w:ilvl="0">
      <w:lvlJc w:val="left"/>
      <w:lvlText w:val="4"/>
      <w:numFmt w:val="bullet"/>
      <w:start w:val="1"/>
    </w:lvl>
  </w:abstractNum>
  <w:abstractNum w:abstractNumId="11">
    <w:nsid w:val="257130A3"/>
    <w:multiLevelType w:val="hybridMultilevel"/>
    <w:lvl w:ilvl="0">
      <w:lvlJc w:val="left"/>
      <w:lvlText w:val="9"/>
      <w:numFmt w:val="bullet"/>
      <w:start w:val="1"/>
    </w:lvl>
  </w:abstractNum>
  <w:abstractNum w:abstractNumId="12">
    <w:nsid w:val="62BBD95A"/>
    <w:multiLevelType w:val="hybridMultilevel"/>
    <w:lvl w:ilvl="0">
      <w:lvlJc w:val="left"/>
      <w:lvlText w:val="%1"/>
      <w:numFmt w:val="decimal"/>
      <w:start w:val="11"/>
    </w:lvl>
  </w:abstractNum>
  <w:abstractNum w:abstractNumId="13">
    <w:nsid w:val="436C6125"/>
    <w:multiLevelType w:val="hybridMultilevel"/>
    <w:lvl w:ilvl="0">
      <w:lvlJc w:val="left"/>
      <w:lvlText w:val="1"/>
      <w:numFmt w:val="bullet"/>
      <w:start w:val="1"/>
    </w:lvl>
  </w:abstractNum>
  <w:abstractNum w:abstractNumId="14">
    <w:nsid w:val="628C895D"/>
    <w:multiLevelType w:val="hybridMultilevel"/>
    <w:lvl w:ilvl="0">
      <w:lvlJc w:val="left"/>
      <w:lvlText w:val="2"/>
      <w:numFmt w:val="bullet"/>
      <w:start w:val="1"/>
    </w:lvl>
  </w:abstractNum>
  <w:abstractNum w:abstractNumId="15">
    <w:nsid w:val="333AB105"/>
    <w:multiLevelType w:val="hybridMultilevel"/>
    <w:lvl w:ilvl="0">
      <w:lvlJc w:val="left"/>
      <w:lvlText w:val="3"/>
      <w:numFmt w:val="bullet"/>
      <w:start w:val="1"/>
    </w:lvl>
  </w:abstractNum>
  <w:abstractNum w:abstractNumId="16">
    <w:nsid w:val="721DA317"/>
    <w:multiLevelType w:val="hybridMultilevel"/>
    <w:lvl w:ilvl="0">
      <w:lvlJc w:val="left"/>
      <w:lvlText w:val="4"/>
      <w:numFmt w:val="bullet"/>
      <w:start w:val="1"/>
    </w:lvl>
  </w:abstractNum>
  <w:abstractNum w:abstractNumId="17">
    <w:nsid w:val="2443A858"/>
    <w:multiLevelType w:val="hybridMultilevel"/>
    <w:lvl w:ilvl="0">
      <w:lvlJc w:val="left"/>
      <w:lvlText w:val="9"/>
      <w:numFmt w:val="bullet"/>
      <w:start w:val="1"/>
    </w:lvl>
  </w:abstractNum>
  <w:abstractNum w:abstractNumId="18">
    <w:nsid w:val="2D1D5AE9"/>
    <w:multiLevelType w:val="hybridMultilevel"/>
    <w:lvl w:ilvl="0">
      <w:lvlJc w:val="left"/>
      <w:lvlText w:val="%1"/>
      <w:numFmt w:val="decimal"/>
      <w:start w:val="11"/>
    </w:lvl>
  </w:abstractNum>
  <w:abstractNum w:abstractNumId="19">
    <w:nsid w:val="6763845E"/>
    <w:multiLevelType w:val="hybridMultilevel"/>
    <w:lvl w:ilvl="0">
      <w:lvlJc w:val="left"/>
      <w:lvlText w:val="1"/>
      <w:numFmt w:val="bullet"/>
      <w:start w:val="1"/>
    </w:lvl>
  </w:abstractNum>
  <w:abstractNum w:abstractNumId="20">
    <w:nsid w:val="75A2A8D4"/>
    <w:multiLevelType w:val="hybridMultilevel"/>
    <w:lvl w:ilvl="0">
      <w:lvlJc w:val="left"/>
      <w:lvlText w:val="2"/>
      <w:numFmt w:val="bullet"/>
      <w:start w:val="1"/>
    </w:lvl>
  </w:abstractNum>
  <w:abstractNum w:abstractNumId="21">
    <w:nsid w:val="8EDBDAB"/>
    <w:multiLevelType w:val="hybridMultilevel"/>
    <w:lvl w:ilvl="0">
      <w:lvlJc w:val="left"/>
      <w:lvlText w:val="3"/>
      <w:numFmt w:val="bullet"/>
      <w:start w:val="1"/>
    </w:lvl>
  </w:abstractNum>
  <w:abstractNum w:abstractNumId="22">
    <w:nsid w:val="79838CB2"/>
    <w:multiLevelType w:val="hybridMultilevel"/>
    <w:lvl w:ilvl="0">
      <w:lvlJc w:val="left"/>
      <w:lvlText w:val="4"/>
      <w:numFmt w:val="bullet"/>
      <w:start w:val="1"/>
    </w:lvl>
  </w:abstractNum>
  <w:abstractNum w:abstractNumId="23">
    <w:nsid w:val="4353D0CD"/>
    <w:multiLevelType w:val="hybridMultilevel"/>
    <w:lvl w:ilvl="0">
      <w:lvlJc w:val="left"/>
      <w:lvlText w:val="9"/>
      <w:numFmt w:val="bullet"/>
      <w:start w:val="1"/>
    </w:lvl>
  </w:abstractNum>
  <w:abstractNum w:abstractNumId="24">
    <w:nsid w:val="B03E0C6"/>
    <w:multiLevelType w:val="hybridMultilevel"/>
    <w:lvl w:ilvl="0">
      <w:lvlJc w:val="left"/>
      <w:lvlText w:val="%1"/>
      <w:numFmt w:val="decimal"/>
      <w:start w:val="11"/>
    </w:lvl>
  </w:abstractNum>
  <w:abstractNum w:abstractNumId="25">
    <w:nsid w:val="189A769B"/>
    <w:multiLevelType w:val="hybridMultilevel"/>
    <w:lvl w:ilvl="0">
      <w:lvlJc w:val="left"/>
      <w:lvlText w:val="(%1)"/>
      <w:numFmt w:val="lowerLetter"/>
      <w:start w:val="5"/>
    </w:lvl>
  </w:abstractNum>
  <w:abstractNum w:abstractNumId="26">
    <w:nsid w:val="54E49EB4"/>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2021-02-16T16:24:22Z</dcterms:created>
  <dcterms:modified xsi:type="dcterms:W3CDTF">2021-02-16T16:24:22Z</dcterms:modified>
</cp:coreProperties>
</file>