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Statement Pursuant to Rules 13d-1 and 13d-2</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ZAFGEN,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$0.001</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98885E103</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2017</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7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tbl>
      <w:tblPr>
        <w:tblLayout w:type="fixed"/>
        <w:tblInd w:w="120" w:type="dxa"/>
        <w:tblCellMar>
          <w:top w:w="0" w:type="dxa"/>
          <w:left w:w="0" w:type="dxa"/>
          <w:bottom w:w="0" w:type="dxa"/>
          <w:right w:w="0" w:type="dxa"/>
        </w:tblCellMar>
      </w:tblPr>
      <w:tr>
        <w:trPr>
          <w:trHeight w:val="234"/>
        </w:trPr>
        <w:tc>
          <w:tcPr>
            <w:tcW w:w="3560" w:type="dxa"/>
            <w:vAlign w:val="bottom"/>
          </w:tcPr>
          <w:p>
            <w:pPr>
              <w:ind w:left="60"/>
              <w:spacing w:after="0"/>
              <w:rPr>
                <w:sz w:val="20"/>
                <w:szCs w:val="20"/>
                <w:color w:val="auto"/>
              </w:rPr>
            </w:pPr>
            <w:r>
              <w:rPr>
                <w:rFonts w:ascii="Arial" w:cs="Arial" w:eastAsia="Arial" w:hAnsi="Arial"/>
                <w:sz w:val="18"/>
                <w:szCs w:val="18"/>
                <w:color w:val="auto"/>
              </w:rPr>
              <w:t>CUSIP No. 98885E103</w:t>
            </w:r>
          </w:p>
        </w:tc>
        <w:tc>
          <w:tcPr>
            <w:tcW w:w="7500" w:type="dxa"/>
            <w:vAlign w:val="bottom"/>
          </w:tcPr>
          <w:p>
            <w:pPr>
              <w:ind w:left="1800"/>
              <w:spacing w:after="0"/>
              <w:rPr>
                <w:sz w:val="20"/>
                <w:szCs w:val="20"/>
                <w:color w:val="auto"/>
              </w:rPr>
            </w:pPr>
            <w:r>
              <w:rPr>
                <w:rFonts w:ascii="Arial" w:cs="Arial" w:eastAsia="Arial" w:hAnsi="Arial"/>
                <w:sz w:val="18"/>
                <w:szCs w:val="18"/>
                <w:b w:val="1"/>
                <w:bCs w:val="1"/>
                <w:color w:val="auto"/>
              </w:rPr>
              <w:t>13G</w:t>
            </w:r>
          </w:p>
        </w:tc>
      </w:tr>
      <w:tr>
        <w:trPr>
          <w:trHeight w:val="54"/>
        </w:trPr>
        <w:tc>
          <w:tcPr>
            <w:tcW w:w="3560" w:type="dxa"/>
            <w:vAlign w:val="bottom"/>
            <w:tcBorders>
              <w:bottom w:val="single" w:sz="8" w:color="auto"/>
            </w:tcBorders>
          </w:tcPr>
          <w:p>
            <w:pPr>
              <w:spacing w:after="0"/>
              <w:rPr>
                <w:sz w:val="4"/>
                <w:szCs w:val="4"/>
                <w:color w:val="auto"/>
              </w:rPr>
            </w:pPr>
          </w:p>
        </w:tc>
        <w:tc>
          <w:tcPr>
            <w:tcW w:w="7500" w:type="dxa"/>
            <w:vAlign w:val="bottom"/>
            <w:tcBorders>
              <w:bottom w:val="single" w:sz="8" w:color="auto"/>
            </w:tcBorders>
          </w:tcPr>
          <w:p>
            <w:pPr>
              <w:spacing w:after="0"/>
              <w:rPr>
                <w:sz w:val="4"/>
                <w:szCs w:val="4"/>
                <w:color w:val="auto"/>
              </w:rPr>
            </w:pPr>
          </w:p>
        </w:tc>
      </w:tr>
    </w:tbl>
    <w:p>
      <w:pPr>
        <w:spacing w:after="0" w:line="364" w:lineRule="exact"/>
        <w:rPr>
          <w:sz w:val="24"/>
          <w:szCs w:val="24"/>
          <w:color w:val="auto"/>
        </w:rPr>
      </w:pPr>
    </w:p>
    <w:p>
      <w:pPr>
        <w:ind w:left="1120" w:hanging="585"/>
        <w:spacing w:after="0"/>
        <w:tabs>
          <w:tab w:leader="none" w:pos="1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12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11" w:lineRule="exact"/>
        <w:rPr>
          <w:sz w:val="24"/>
          <w:szCs w:val="24"/>
          <w:color w:val="auto"/>
        </w:rPr>
      </w:pPr>
    </w:p>
    <w:p>
      <w:pPr>
        <w:ind w:left="1120"/>
        <w:spacing w:after="0"/>
        <w:rPr>
          <w:sz w:val="20"/>
          <w:szCs w:val="20"/>
          <w:color w:val="auto"/>
        </w:rPr>
      </w:pPr>
      <w:r>
        <w:rPr>
          <w:rFonts w:ascii="Arial" w:cs="Arial" w:eastAsia="Arial" w:hAnsi="Arial"/>
          <w:sz w:val="18"/>
          <w:szCs w:val="18"/>
          <w:color w:val="auto"/>
        </w:rPr>
        <w:t>Atlas Venture Fund VII,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682625</wp:posOffset>
            </wp:positionH>
            <wp:positionV relativeFrom="paragraph">
              <wp:posOffset>48895</wp:posOffset>
            </wp:positionV>
            <wp:extent cx="6414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477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1120" w:hanging="58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17" w:lineRule="exact"/>
        <w:rPr>
          <w:rFonts w:ascii="Arial" w:cs="Arial" w:eastAsia="Arial" w:hAnsi="Arial"/>
          <w:sz w:val="18"/>
          <w:szCs w:val="18"/>
          <w:color w:val="auto"/>
        </w:rPr>
      </w:pPr>
    </w:p>
    <w:p>
      <w:pPr>
        <w:ind w:left="1720" w:hanging="591"/>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720" w:hanging="591"/>
        <w:spacing w:after="0"/>
        <w:tabs>
          <w:tab w:leader="none" w:pos="1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20" w:hanging="585"/>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120" w:right="7540" w:hanging="585"/>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682625</wp:posOffset>
            </wp:positionH>
            <wp:positionV relativeFrom="paragraph">
              <wp:posOffset>14605</wp:posOffset>
            </wp:positionV>
            <wp:extent cx="6414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-534035</wp:posOffset>
            </wp:positionV>
            <wp:extent cx="6414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-945515</wp:posOffset>
            </wp:positionV>
            <wp:extent cx="6037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37580" cy="8890"/>
                    </a:xfrm>
                    <a:prstGeom prst="rect">
                      <a:avLst/>
                    </a:prstGeom>
                    <a:noFill/>
                  </pic:spPr>
                </pic:pic>
              </a:graphicData>
            </a:graphic>
          </wp:anchor>
        </w:drawing>
        <w:drawing>
          <wp:anchor simplePos="0" relativeHeight="251657728" behindDoc="1" locked="0" layoutInCell="0" allowOverlap="1">
            <wp:simplePos x="0" y="0"/>
            <wp:positionH relativeFrom="column">
              <wp:posOffset>1059815</wp:posOffset>
            </wp:positionH>
            <wp:positionV relativeFrom="paragraph">
              <wp:posOffset>-1159510</wp:posOffset>
            </wp:positionV>
            <wp:extent cx="6037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37580" cy="8890"/>
                    </a:xfrm>
                    <a:prstGeom prst="rect">
                      <a:avLst/>
                    </a:prstGeom>
                    <a:noFill/>
                  </pic:spPr>
                </pic:pic>
              </a:graphicData>
            </a:graphic>
          </wp:anchor>
        </w:drawing>
      </w:r>
    </w:p>
    <w:p>
      <w:pPr>
        <w:sectPr>
          <w:pgSz w:w="11900" w:h="16838" w:orient="portrait"/>
          <w:cols w:equalWidth="0" w:num="1">
            <w:col w:w="11300"/>
          </w:cols>
          <w:pgMar w:left="240" w:top="436" w:right="359" w:bottom="279" w:gutter="0" w:footer="0" w:header="0"/>
        </w:sectPr>
      </w:pPr>
    </w:p>
    <w:p>
      <w:pPr>
        <w:spacing w:after="0" w:line="400" w:lineRule="exact"/>
        <w:rPr>
          <w:sz w:val="24"/>
          <w:szCs w:val="24"/>
          <w:color w:val="auto"/>
        </w:rPr>
      </w:pPr>
    </w:p>
    <w:tbl>
      <w:tblPr>
        <w:tblLayout w:type="fixed"/>
        <w:tblInd w:w="18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Number of</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Shares</w:t>
            </w:r>
          </w:p>
        </w:tc>
        <w:tc>
          <w:tcPr>
            <w:tcW w:w="46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Beneficially</w:t>
            </w:r>
          </w:p>
        </w:tc>
        <w:tc>
          <w:tcPr>
            <w:tcW w:w="46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Owned by</w:t>
            </w:r>
          </w:p>
        </w:tc>
        <w:tc>
          <w:tcPr>
            <w:tcW w:w="460" w:type="dxa"/>
            <w:vAlign w:val="bottom"/>
          </w:tcPr>
          <w:p>
            <w:pPr>
              <w:spacing w:after="0"/>
              <w:rPr>
                <w:sz w:val="18"/>
                <w:szCs w:val="18"/>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Each</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Reporting</w:t>
            </w:r>
          </w:p>
        </w:tc>
        <w:tc>
          <w:tcPr>
            <w:tcW w:w="460" w:type="dxa"/>
            <w:vAlign w:val="bottom"/>
          </w:tcPr>
          <w:p>
            <w:pPr>
              <w:spacing w:after="0"/>
              <w:rPr>
                <w:sz w:val="18"/>
                <w:szCs w:val="18"/>
                <w:color w:val="auto"/>
              </w:rPr>
            </w:pP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Person With</w:t>
            </w:r>
          </w:p>
        </w:tc>
        <w:tc>
          <w:tcPr>
            <w:tcW w:w="460" w:type="dxa"/>
            <w:vAlign w:val="bottom"/>
          </w:tcPr>
          <w:p>
            <w:pPr>
              <w:spacing w:after="0"/>
              <w:rPr>
                <w:sz w:val="20"/>
                <w:szCs w:val="20"/>
                <w:color w:val="auto"/>
              </w:rPr>
            </w:pPr>
          </w:p>
        </w:tc>
      </w:tr>
      <w:tr>
        <w:trPr>
          <w:trHeight w:val="432"/>
        </w:trPr>
        <w:tc>
          <w:tcPr>
            <w:tcW w:w="12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r>
    </w:tbl>
    <w:p>
      <w:pPr>
        <w:spacing w:after="0" w:line="20" w:lineRule="exact"/>
        <w:rPr>
          <w:sz w:val="24"/>
          <w:szCs w:val="24"/>
          <w:color w:val="auto"/>
        </w:rPr>
      </w:pPr>
      <w:r>
        <w:rPr>
          <w:sz w:val="24"/>
          <w:szCs w:val="24"/>
          <w:color w:val="auto"/>
        </w:rPr>
        <w:br w:type="column"/>
      </w: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color w:val="auto"/>
        </w:rPr>
        <w:t>Sole Voting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186690</wp:posOffset>
            </wp:positionV>
            <wp:extent cx="5702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Arial" w:cs="Arial" w:eastAsia="Arial" w:hAnsi="Arial"/>
          <w:sz w:val="17"/>
          <w:szCs w:val="17"/>
          <w:color w:val="auto"/>
        </w:rPr>
        <w:t>Shared Voting Power</w:t>
      </w:r>
    </w:p>
    <w:p>
      <w:pPr>
        <w:spacing w:after="0" w:line="35" w:lineRule="exact"/>
        <w:rPr>
          <w:sz w:val="24"/>
          <w:szCs w:val="24"/>
          <w:color w:val="auto"/>
        </w:rPr>
      </w:pPr>
    </w:p>
    <w:p>
      <w:pPr>
        <w:spacing w:after="0"/>
        <w:rPr>
          <w:sz w:val="20"/>
          <w:szCs w:val="20"/>
          <w:color w:val="auto"/>
        </w:rPr>
      </w:pPr>
      <w:r>
        <w:rPr>
          <w:rFonts w:ascii="Arial" w:cs="Arial" w:eastAsia="Arial" w:hAnsi="Arial"/>
          <w:sz w:val="18"/>
          <w:szCs w:val="18"/>
          <w:color w:val="auto"/>
        </w:rPr>
        <w:t>4,632,730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40005</wp:posOffset>
            </wp:positionV>
            <wp:extent cx="57029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6"/>
          <w:szCs w:val="16"/>
          <w:color w:val="auto"/>
        </w:rPr>
        <w:t>Sole Dispositive Power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-40005</wp:posOffset>
            </wp:positionH>
            <wp:positionV relativeFrom="paragraph">
              <wp:posOffset>201295</wp:posOffset>
            </wp:positionV>
            <wp:extent cx="57029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ectPr>
          <w:pgSz w:w="11900" w:h="16838" w:orient="portrait"/>
          <w:cols w:equalWidth="0" w:num="2">
            <w:col w:w="1840" w:space="420"/>
            <w:col w:w="9040"/>
          </w:cols>
          <w:pgMar w:left="240" w:top="436" w:right="359" w:bottom="279" w:gutter="0" w:footer="0" w:header="0"/>
          <w:type w:val="continuous"/>
        </w:sectPr>
      </w:pPr>
    </w:p>
    <w:bookmarkStart w:id="1" w:name="page2"/>
    <w:bookmarkEnd w:id="1"/>
    <w:p>
      <w:pPr>
        <w:ind w:left="2200" w:right="7300" w:hanging="550"/>
        <w:spacing w:after="0" w:line="308" w:lineRule="auto"/>
        <w:tabs>
          <w:tab w:leader="none" w:pos="2200" w:val="left"/>
        </w:tabs>
        <w:numPr>
          <w:ilvl w:val="1"/>
          <w:numId w:val="4"/>
        </w:numPr>
        <w:rPr>
          <w:rFonts w:ascii="Arial" w:cs="Arial" w:eastAsia="Arial" w:hAnsi="Arial"/>
          <w:sz w:val="17"/>
          <w:szCs w:val="17"/>
          <w:color w:val="auto"/>
        </w:rPr>
      </w:pPr>
      <w:r>
        <w:rPr>
          <w:rFonts w:ascii="Arial" w:cs="Arial" w:eastAsia="Arial" w:hAnsi="Arial"/>
          <w:sz w:val="17"/>
          <w:szCs w:val="17"/>
          <w:color w:val="auto"/>
        </w:rPr>
        <w:t>Shared Dispositive Power 4,632,730 shares</w:t>
      </w:r>
    </w:p>
    <w:p>
      <w:pPr>
        <w:spacing w:after="0" w:line="362" w:lineRule="exact"/>
        <w:rPr>
          <w:rFonts w:ascii="Arial" w:cs="Arial" w:eastAsia="Arial" w:hAnsi="Arial"/>
          <w:sz w:val="17"/>
          <w:szCs w:val="17"/>
          <w:color w:val="auto"/>
        </w:rPr>
      </w:pPr>
    </w:p>
    <w:p>
      <w:pPr>
        <w:ind w:left="1060" w:right="5480" w:hanging="585"/>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4,632,730 shares</w:t>
      </w:r>
    </w:p>
    <w:p>
      <w:pPr>
        <w:spacing w:after="0" w:line="386" w:lineRule="exact"/>
        <w:rPr>
          <w:rFonts w:ascii="Arial" w:cs="Arial" w:eastAsia="Arial" w:hAnsi="Arial"/>
          <w:sz w:val="18"/>
          <w:szCs w:val="18"/>
          <w:color w:val="auto"/>
        </w:rPr>
      </w:pPr>
    </w:p>
    <w:p>
      <w:pPr>
        <w:ind w:left="1060" w:hanging="585"/>
        <w:spacing w:after="0"/>
        <w:tabs>
          <w:tab w:leader="none" w:pos="10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Check Box if the Aggregate Amount in Row (9) Excludes Certain Shares o</w:t>
      </w:r>
    </w:p>
    <w:p>
      <w:pPr>
        <w:spacing w:after="0" w:line="200" w:lineRule="exact"/>
        <w:rPr>
          <w:rFonts w:ascii="Arial" w:cs="Arial" w:eastAsia="Arial" w:hAnsi="Arial"/>
          <w:sz w:val="16"/>
          <w:szCs w:val="16"/>
          <w:color w:val="auto"/>
        </w:rPr>
      </w:pPr>
    </w:p>
    <w:p>
      <w:pPr>
        <w:spacing w:after="0" w:line="264" w:lineRule="exact"/>
        <w:rPr>
          <w:rFonts w:ascii="Arial" w:cs="Arial" w:eastAsia="Arial" w:hAnsi="Arial"/>
          <w:sz w:val="16"/>
          <w:szCs w:val="16"/>
          <w:color w:val="auto"/>
        </w:rPr>
      </w:pPr>
    </w:p>
    <w:p>
      <w:pPr>
        <w:ind w:left="1060" w:right="6500" w:hanging="585"/>
        <w:spacing w:after="0" w:line="277"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(9) 16.85%</w:t>
      </w:r>
    </w:p>
    <w:p>
      <w:pPr>
        <w:spacing w:after="0" w:line="386" w:lineRule="exact"/>
        <w:rPr>
          <w:rFonts w:ascii="Arial" w:cs="Arial" w:eastAsia="Arial" w:hAnsi="Arial"/>
          <w:sz w:val="18"/>
          <w:szCs w:val="18"/>
          <w:color w:val="auto"/>
        </w:rPr>
      </w:pPr>
    </w:p>
    <w:p>
      <w:pPr>
        <w:ind w:left="1060" w:hanging="585"/>
        <w:spacing w:after="0"/>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10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644525</wp:posOffset>
            </wp:positionH>
            <wp:positionV relativeFrom="paragraph">
              <wp:posOffset>40005</wp:posOffset>
            </wp:positionV>
            <wp:extent cx="6414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-508000</wp:posOffset>
            </wp:positionV>
            <wp:extent cx="6414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-1057275</wp:posOffset>
            </wp:positionV>
            <wp:extent cx="6414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-1468755</wp:posOffset>
            </wp:positionV>
            <wp:extent cx="6414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4770" cy="889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-2017395</wp:posOffset>
            </wp:positionV>
            <wp:extent cx="57029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179"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Name of Issuer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issuer to which this filing on Schedule 13G/A relates is Zafgen, Inc.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3201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Address of Issuer’s Principal Executive Offices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The principal executive offices of the Company are located at 175 Portland Street, 4th Floor, Boston, Massachusetts 02114.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47625</wp:posOffset>
            </wp:positionV>
            <wp:extent cx="63201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Filing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This Statement is being filed on behalf of Atlas Venture Fund VII, L.P. (“</w:t>
      </w:r>
      <w:r>
        <w:rPr>
          <w:rFonts w:ascii="Arial" w:cs="Arial" w:eastAsia="Arial" w:hAnsi="Arial"/>
          <w:sz w:val="17"/>
          <w:szCs w:val="17"/>
          <w:u w:val="single" w:color="auto"/>
          <w:color w:val="auto"/>
        </w:rPr>
        <w:t>Atlas VII</w:t>
      </w:r>
      <w:r>
        <w:rPr>
          <w:rFonts w:ascii="Arial" w:cs="Arial" w:eastAsia="Arial" w:hAnsi="Arial"/>
          <w:sz w:val="17"/>
          <w:szCs w:val="17"/>
          <w:color w:val="auto"/>
        </w:rPr>
        <w:t>”). Atlas Venture Associates VII, L.P. (“</w:t>
      </w:r>
      <w:r>
        <w:rPr>
          <w:rFonts w:ascii="Arial" w:cs="Arial" w:eastAsia="Arial" w:hAnsi="Arial"/>
          <w:sz w:val="17"/>
          <w:szCs w:val="17"/>
          <w:u w:val="single" w:color="auto"/>
          <w:color w:val="auto"/>
        </w:rPr>
        <w:t>AVA VII</w:t>
      </w:r>
    </w:p>
    <w:p>
      <w:pPr>
        <w:spacing w:after="0" w:line="21" w:lineRule="exact"/>
        <w:rPr>
          <w:sz w:val="20"/>
          <w:szCs w:val="20"/>
          <w:color w:val="auto"/>
        </w:rPr>
      </w:pPr>
    </w:p>
    <w:p>
      <w:pPr>
        <w:ind w:right="100"/>
        <w:spacing w:after="0" w:line="290" w:lineRule="auto"/>
        <w:rPr>
          <w:sz w:val="20"/>
          <w:szCs w:val="20"/>
          <w:color w:val="auto"/>
        </w:rPr>
      </w:pPr>
      <w:r>
        <w:rPr>
          <w:rFonts w:ascii="Arial" w:cs="Arial" w:eastAsia="Arial" w:hAnsi="Arial"/>
          <w:sz w:val="17"/>
          <w:szCs w:val="17"/>
          <w:u w:val="single" w:color="auto"/>
          <w:color w:val="auto"/>
        </w:rPr>
        <w:t>LP</w:t>
      </w:r>
      <w:r>
        <w:rPr>
          <w:rFonts w:ascii="Arial" w:cs="Arial" w:eastAsia="Arial" w:hAnsi="Arial"/>
          <w:sz w:val="17"/>
          <w:szCs w:val="17"/>
          <w:color w:val="auto"/>
        </w:rPr>
        <w:t>”) is the sole general partner of Atlas VII. Atlas Venture Associates VII, Inc. (“</w:t>
      </w:r>
      <w:r>
        <w:rPr>
          <w:rFonts w:ascii="Arial" w:cs="Arial" w:eastAsia="Arial" w:hAnsi="Arial"/>
          <w:sz w:val="17"/>
          <w:szCs w:val="17"/>
          <w:u w:val="single" w:color="auto"/>
          <w:color w:val="auto"/>
        </w:rPr>
        <w:t>AVA VII Inc.</w:t>
      </w:r>
      <w:r>
        <w:rPr>
          <w:rFonts w:ascii="Arial" w:cs="Arial" w:eastAsia="Arial" w:hAnsi="Arial"/>
          <w:sz w:val="17"/>
          <w:szCs w:val="17"/>
          <w:color w:val="auto"/>
        </w:rPr>
        <w:t>”) is the sole general partner of AVA VII LP. Peter Barrett, Bruce Booth, Jeff Fagnan and Jean-Francois Formela, is each a director of AVA VII Inc. (the “</w:t>
      </w:r>
      <w:r>
        <w:rPr>
          <w:rFonts w:ascii="Arial" w:cs="Arial" w:eastAsia="Arial" w:hAnsi="Arial"/>
          <w:sz w:val="17"/>
          <w:szCs w:val="17"/>
          <w:u w:val="single" w:color="auto"/>
          <w:color w:val="auto"/>
        </w:rPr>
        <w:t>Directors</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8890</wp:posOffset>
            </wp:positionV>
            <wp:extent cx="63201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Address of Principal Business Office or, if none, Residence</w:t>
      </w:r>
    </w:p>
    <w:p>
      <w:pPr>
        <w:spacing w:after="0" w:line="23" w:lineRule="exact"/>
        <w:rPr>
          <w:sz w:val="20"/>
          <w:szCs w:val="20"/>
          <w:color w:val="auto"/>
        </w:rPr>
      </w:pPr>
    </w:p>
    <w:p>
      <w:pPr>
        <w:ind w:right="860"/>
        <w:spacing w:after="0" w:line="261" w:lineRule="auto"/>
        <w:rPr>
          <w:sz w:val="20"/>
          <w:szCs w:val="20"/>
          <w:color w:val="auto"/>
        </w:rPr>
      </w:pPr>
      <w:r>
        <w:rPr>
          <w:rFonts w:ascii="Arial" w:cs="Arial" w:eastAsia="Arial" w:hAnsi="Arial"/>
          <w:sz w:val="18"/>
          <w:szCs w:val="18"/>
          <w:color w:val="auto"/>
        </w:rPr>
        <w:t>The principal business address of each of Atlas VII, AVA VII LP, AVA VII Inc. and the Directors is 25 First Street, Suite 303, Cambridge, MA 02141.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22860</wp:posOffset>
            </wp:positionV>
            <wp:extent cx="6320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Each of Atlas VII, AVA VII LP and AVA VII Inc. is organized under the laws of Delaware. Mr. Barrett is a citizen of the United States.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Mr. Booth is a citizen of the United States. Mr. Fagnan is a citizen of the United States. Mr. Formela is a citizen of 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40005</wp:posOffset>
            </wp:positionV>
            <wp:extent cx="6320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320155"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760" w:space="700"/>
            <w:col w:w="9900"/>
          </w:cols>
          <w:pgMar w:left="300" w:top="179" w:right="239" w:bottom="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9960" w:type="dxa"/>
            <w:vAlign w:val="bottom"/>
          </w:tcPr>
          <w:p>
            <w:pPr>
              <w:ind w:left="60"/>
              <w:spacing w:after="0"/>
              <w:rPr>
                <w:sz w:val="20"/>
                <w:szCs w:val="20"/>
                <w:color w:val="auto"/>
              </w:rPr>
            </w:pPr>
            <w:r>
              <w:rPr>
                <w:rFonts w:ascii="Arial" w:cs="Arial" w:eastAsia="Arial" w:hAnsi="Arial"/>
                <w:sz w:val="18"/>
                <w:szCs w:val="18"/>
                <w:color w:val="auto"/>
              </w:rPr>
              <w:t>Title of Class of Securities</w:t>
            </w: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w w:val="96"/>
              </w:rPr>
              <w:t>The class of equity securities of the Company to which this filing on Schedule 13G/A relates is Common Stock, par value $0.001</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(“Common Stock”).</w:t>
            </w:r>
          </w:p>
        </w:tc>
        <w:tc>
          <w:tcPr>
            <w:tcW w:w="0" w:type="dxa"/>
            <w:vAlign w:val="bottom"/>
          </w:tcPr>
          <w:p>
            <w:pPr>
              <w:spacing w:after="0"/>
              <w:rPr>
                <w:sz w:val="1"/>
                <w:szCs w:val="1"/>
                <w:color w:val="auto"/>
              </w:rPr>
            </w:pPr>
          </w:p>
        </w:tc>
      </w:tr>
      <w:tr>
        <w:trPr>
          <w:trHeight w:val="54"/>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Item 2(e).</w:t>
            </w: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400" w:type="dxa"/>
            <w:vAlign w:val="bottom"/>
            <w:vMerge w:val="continue"/>
          </w:tcPr>
          <w:p>
            <w:pPr>
              <w:spacing w:after="0"/>
              <w:rPr>
                <w:sz w:val="21"/>
                <w:szCs w:val="21"/>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p>
        </w:tc>
        <w:tc>
          <w:tcPr>
            <w:tcW w:w="9960" w:type="dxa"/>
            <w:vAlign w:val="bottom"/>
          </w:tcPr>
          <w:p>
            <w:pPr>
              <w:ind w:left="60"/>
              <w:spacing w:after="0"/>
              <w:rPr>
                <w:sz w:val="20"/>
                <w:szCs w:val="20"/>
                <w:color w:val="auto"/>
              </w:rPr>
            </w:pPr>
            <w:r>
              <w:rPr>
                <w:rFonts w:ascii="Arial" w:cs="Arial" w:eastAsia="Arial" w:hAnsi="Arial"/>
                <w:sz w:val="18"/>
                <w:szCs w:val="18"/>
                <w:color w:val="auto"/>
              </w:rPr>
              <w:t>The CUSIP number of the Company’s Common Stock is 98885E103.</w:t>
            </w:r>
          </w:p>
        </w:tc>
        <w:tc>
          <w:tcPr>
            <w:tcW w:w="0" w:type="dxa"/>
            <w:vAlign w:val="bottom"/>
          </w:tcPr>
          <w:p>
            <w:pPr>
              <w:spacing w:after="0"/>
              <w:rPr>
                <w:sz w:val="1"/>
                <w:szCs w:val="1"/>
                <w:color w:val="auto"/>
              </w:rPr>
            </w:pPr>
          </w:p>
        </w:tc>
      </w:tr>
      <w:tr>
        <w:trPr>
          <w:trHeight w:val="54"/>
        </w:trPr>
        <w:tc>
          <w:tcPr>
            <w:tcW w:w="1400" w:type="dxa"/>
            <w:vAlign w:val="bottom"/>
          </w:tcPr>
          <w:p>
            <w:pPr>
              <w:spacing w:after="0"/>
              <w:rPr>
                <w:sz w:val="4"/>
                <w:szCs w:val="4"/>
                <w:color w:val="auto"/>
              </w:rPr>
            </w:pPr>
          </w:p>
        </w:tc>
        <w:tc>
          <w:tcPr>
            <w:tcW w:w="99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4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7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00" w:lineRule="exact"/>
        <w:rPr>
          <w:sz w:val="20"/>
          <w:szCs w:val="20"/>
          <w:color w:val="auto"/>
        </w:rPr>
      </w:pPr>
    </w:p>
    <w:p>
      <w:pPr>
        <w:spacing w:after="0" w:line="295"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color w:val="auto"/>
        </w:rPr>
        <w:t>Amount beneficially owned</w:t>
      </w:r>
    </w:p>
    <w:p>
      <w:pPr>
        <w:sectPr>
          <w:pgSz w:w="11900" w:h="16838" w:orient="portrait"/>
          <w:cols w:equalWidth="0" w:num="1">
            <w:col w:w="11360"/>
          </w:cols>
          <w:pgMar w:left="300" w:top="179"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4(b).</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4(c).</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the close of business on December 31, 2017, Atlas VII is the record holder of 4,632,730 shares of Common Stock (the “Atlas Shares”). AVA VII LP is the sole general partner of Atlas VII. AVA VII Inc. is the sole general partner of AVA VII LP. Messrs. Barrett, Booth, Fagnan and Formela are the directors of AVA VII Inc. No person other than the respective owner referred to herein of the Atlas Shares is known to have the right to receive or the power to direct the receipt of dividends from or the proceeds from the sale of such Atlas Shares. Each of Atlas VII, AVA VII LP, AVA VII Inc. and the Directors disclaim beneficial ownership of the Atlas Shares except for such shares, if any, such person holds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62865</wp:posOffset>
            </wp:positionV>
            <wp:extent cx="62344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Percent of class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As of the close of business on December 31, 2017, Atlas VII was the beneficial owner of 16.85% of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83185</wp:posOffset>
            </wp:positionV>
            <wp:extent cx="62344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as to which the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255270</wp:posOffset>
            </wp:positionV>
            <wp:extent cx="62344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720"/>
            <w:col w:w="9760"/>
          </w:cols>
          <w:pgMar w:left="300" w:top="179" w:right="239" w:bottom="0" w:gutter="0" w:footer="0" w:header="0"/>
          <w:type w:val="continuous"/>
        </w:sectPr>
      </w:pPr>
    </w:p>
    <w:p>
      <w:pPr>
        <w:spacing w:after="0" w:line="309" w:lineRule="exact"/>
        <w:rPr>
          <w:sz w:val="20"/>
          <w:szCs w:val="20"/>
          <w:color w:val="auto"/>
        </w:rPr>
      </w:pPr>
    </w:p>
    <w:p>
      <w:pPr>
        <w:ind w:left="2220" w:hanging="453"/>
        <w:spacing w:after="0"/>
        <w:tabs>
          <w:tab w:leader="none" w:pos="2220" w:val="left"/>
        </w:tabs>
        <w:numPr>
          <w:ilvl w:val="0"/>
          <w:numId w:val="6"/>
        </w:numPr>
        <w:rPr>
          <w:rFonts w:ascii="Arial" w:cs="Arial" w:eastAsia="Arial" w:hAnsi="Arial"/>
          <w:sz w:val="16"/>
          <w:szCs w:val="16"/>
          <w:color w:val="auto"/>
        </w:rPr>
      </w:pPr>
      <w:r>
        <w:rPr>
          <w:rFonts w:ascii="Arial" w:cs="Arial" w:eastAsia="Arial" w:hAnsi="Arial"/>
          <w:sz w:val="16"/>
          <w:szCs w:val="16"/>
          <w:color w:val="auto"/>
        </w:rPr>
        <w:t>Sole power to vote or to direct the vote:</w:t>
      </w:r>
    </w:p>
    <w:p>
      <w:pPr>
        <w:sectPr>
          <w:pgSz w:w="11900" w:h="16838" w:orient="portrait"/>
          <w:cols w:equalWidth="0" w:num="1">
            <w:col w:w="11360"/>
          </w:cols>
          <w:pgMar w:left="300" w:top="179" w:right="239" w:bottom="0" w:gutter="0" w:footer="0" w:header="0"/>
          <w:type w:val="continuous"/>
        </w:sectPr>
      </w:pPr>
    </w:p>
    <w:bookmarkStart w:id="2" w:name="page3"/>
    <w:bookmarkEnd w:id="2"/>
    <w:p>
      <w:pPr>
        <w:ind w:left="2280"/>
        <w:spacing w:after="0"/>
        <w:rPr>
          <w:sz w:val="20"/>
          <w:szCs w:val="20"/>
          <w:color w:val="auto"/>
        </w:rPr>
      </w:pPr>
      <w:r>
        <w:rPr>
          <w:rFonts w:ascii="Arial" w:cs="Arial" w:eastAsia="Arial" w:hAnsi="Arial"/>
          <w:sz w:val="18"/>
          <w:szCs w:val="18"/>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right="6320" w:hanging="478"/>
        <w:spacing w:after="0" w:line="340" w:lineRule="auto"/>
        <w:tabs>
          <w:tab w:leader="none" w:pos="22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power to vote or direct the vote: 4,632,730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109" w:lineRule="exact"/>
        <w:rPr>
          <w:sz w:val="20"/>
          <w:szCs w:val="20"/>
          <w:color w:val="auto"/>
        </w:rPr>
      </w:pPr>
    </w:p>
    <w:p>
      <w:pPr>
        <w:ind w:left="2280" w:right="5600" w:hanging="503"/>
        <w:spacing w:after="0" w:line="340"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w:t>
      </w:r>
    </w:p>
    <w:p>
      <w:pPr>
        <w:spacing w:after="0" w:line="129" w:lineRule="exact"/>
        <w:rPr>
          <w:rFonts w:ascii="Arial" w:cs="Arial" w:eastAsia="Arial" w:hAnsi="Arial"/>
          <w:sz w:val="18"/>
          <w:szCs w:val="18"/>
          <w:color w:val="auto"/>
        </w:rPr>
      </w:pPr>
    </w:p>
    <w:p>
      <w:pPr>
        <w:ind w:left="2280" w:right="5420" w:hanging="498"/>
        <w:spacing w:after="0" w:line="340" w:lineRule="auto"/>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of: 4,632,730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13970</wp:posOffset>
            </wp:positionV>
            <wp:extent cx="5840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-440055</wp:posOffset>
            </wp:positionV>
            <wp:extent cx="5840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362" w:lineRule="exact"/>
        <w:rPr>
          <w:sz w:val="20"/>
          <w:szCs w:val="20"/>
          <w:color w:val="auto"/>
        </w:rPr>
      </w:pPr>
    </w:p>
    <w:p>
      <w:pPr>
        <w:ind w:left="60"/>
        <w:spacing w:after="0"/>
        <w:tabs>
          <w:tab w:leader="none" w:pos="1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All other items reported on the Schedule 13G dated as of February 9, 2017 and filed on behalf of the Filing Persons with respect to the Common Stock of Zafgen, Inc. remain unchanged.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9,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ATLAS VENTURE FUND VII, L.P.</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Atlas Venture Associates VII, L.P.,</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Atlas Venture Associates VII,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Frank Castellucci</w:t>
            </w:r>
          </w:p>
        </w:tc>
        <w:tc>
          <w:tcPr>
            <w:tcW w:w="40" w:type="dxa"/>
            <w:vAlign w:val="bottom"/>
          </w:tcPr>
          <w:p>
            <w:pPr>
              <w:spacing w:after="0"/>
              <w:rPr>
                <w:sz w:val="20"/>
                <w:szCs w:val="20"/>
                <w:color w:val="auto"/>
              </w:rPr>
            </w:pPr>
          </w:p>
        </w:tc>
      </w:tr>
      <w:tr>
        <w:trPr>
          <w:trHeight w:val="195"/>
        </w:trPr>
        <w:tc>
          <w:tcPr>
            <w:tcW w:w="646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Frank Castellucci</w:t>
            </w:r>
          </w:p>
        </w:tc>
        <w:tc>
          <w:tcPr>
            <w:tcW w:w="40" w:type="dxa"/>
            <w:vAlign w:val="bottom"/>
          </w:tcPr>
          <w:p>
            <w:pPr>
              <w:spacing w:after="0"/>
              <w:rPr>
                <w:sz w:val="16"/>
                <w:szCs w:val="16"/>
                <w:color w:val="auto"/>
              </w:rPr>
            </w:pPr>
          </w:p>
        </w:tc>
      </w:tr>
      <w:tr>
        <w:trPr>
          <w:trHeight w:val="230"/>
        </w:trPr>
        <w:tc>
          <w:tcPr>
            <w:tcW w:w="6460" w:type="dxa"/>
            <w:vAlign w:val="bottom"/>
          </w:tcPr>
          <w:p>
            <w:pPr>
              <w:ind w:left="5720"/>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Secretary</w:t>
            </w:r>
          </w:p>
        </w:tc>
        <w:tc>
          <w:tcPr>
            <w:tcW w:w="40" w:type="dxa"/>
            <w:vAlign w:val="bottom"/>
          </w:tcPr>
          <w:p>
            <w:pPr>
              <w:spacing w:after="0"/>
              <w:rPr>
                <w:sz w:val="20"/>
                <w:szCs w:val="20"/>
                <w:color w:val="auto"/>
              </w:rPr>
            </w:pPr>
          </w:p>
        </w:tc>
      </w:tr>
      <w:tr>
        <w:trPr>
          <w:trHeight w:val="432"/>
        </w:trPr>
        <w:tc>
          <w:tcPr>
            <w:tcW w:w="6460" w:type="dxa"/>
            <w:vAlign w:val="bottom"/>
          </w:tcPr>
          <w:p>
            <w:pPr>
              <w:jc w:val="right"/>
              <w:ind w:right="610"/>
              <w:spacing w:after="0"/>
              <w:rPr>
                <w:sz w:val="20"/>
                <w:szCs w:val="20"/>
                <w:color w:val="auto"/>
              </w:rPr>
            </w:pPr>
            <w:r>
              <w:rPr>
                <w:rFonts w:ascii="Arial" w:cs="Arial" w:eastAsia="Arial" w:hAnsi="Arial"/>
                <w:sz w:val="18"/>
                <w:szCs w:val="18"/>
                <w:color w:val="auto"/>
              </w:rPr>
              <w:t>4</w:t>
            </w:r>
          </w:p>
        </w:tc>
        <w:tc>
          <w:tcPr>
            <w:tcW w:w="4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60" w:type="dxa"/>
            <w:vAlign w:val="bottom"/>
            <w:tcBorders>
              <w:bottom w:val="single" w:sz="8" w:color="808080"/>
            </w:tcBorders>
          </w:tcPr>
          <w:p>
            <w:pPr>
              <w:spacing w:after="0"/>
              <w:rPr>
                <w:sz w:val="11"/>
                <w:szCs w:val="11"/>
                <w:color w:val="auto"/>
              </w:rPr>
            </w:pPr>
          </w:p>
        </w:tc>
        <w:tc>
          <w:tcPr>
            <w:tcW w:w="4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lvl w:ilvl="1">
      <w:lvlJc w:val="left"/>
      <w:lvlText w:val="(%2)"/>
      <w:numFmt w:val="lowerLetter"/>
      <w:start w:val="1"/>
    </w:lvl>
  </w:abstractNum>
  <w:abstractNum w:abstractNumId="3">
    <w:nsid w:val="507ED7AB"/>
    <w:multiLevelType w:val="hybridMultilevel"/>
    <w:lvl w:ilvl="0">
      <w:lvlJc w:val="left"/>
      <w:lvlText w:val="%1"/>
      <w:numFmt w:val="decimal"/>
      <w:start w:val="1"/>
    </w:lvl>
    <w:lvl w:ilvl="1">
      <w:lvlJc w:val="left"/>
      <w:lvlText w:val="%2."/>
      <w:numFmt w:val="decimal"/>
      <w:start w:val="8"/>
    </w:lvl>
  </w:abstractNum>
  <w:abstractNum w:abstractNumId="4">
    <w:nsid w:val="2EB141F2"/>
    <w:multiLevelType w:val="hybridMultilevel"/>
    <w:lvl w:ilvl="0">
      <w:lvlJc w:val="left"/>
      <w:lvlText w:val="%1."/>
      <w:numFmt w:val="decimal"/>
      <w:start w:val="9"/>
    </w:lvl>
    <w:lvl w:ilvl="1">
      <w:lvlJc w:val="left"/>
      <w:lvlText w:val="%2"/>
      <w:numFmt w:val="decimal"/>
      <w:start w:val="1"/>
    </w:lvl>
  </w:abstractNum>
  <w:abstractNum w:abstractNumId="5">
    <w:nsid w:val="41B71EFB"/>
    <w:multiLevelType w:val="hybridMultilevel"/>
    <w:lvl w:ilvl="0">
      <w:lvlJc w:val="left"/>
      <w:lvlText w:val="(%1)"/>
      <w:numFmt w:val="lowerRoman"/>
      <w:start w:val="1"/>
    </w:lvl>
  </w:abstractNum>
  <w:abstractNum w:abstractNumId="6">
    <w:nsid w:val="79E2A9E3"/>
    <w:multiLevelType w:val="hybridMultilevel"/>
    <w:lvl w:ilvl="0">
      <w:lvlJc w:val="left"/>
      <w:lvlText w:val="(%1)"/>
      <w:numFmt w:val="lowerRoman"/>
      <w:start w:val="2"/>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2019-12-16T22:14:04Z</dcterms:created>
  <dcterms:modified xsi:type="dcterms:W3CDTF">2019-12-16T22:14:04Z</dcterms:modified>
</cp:coreProperties>
</file>