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150495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Larimar Therapeutics,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5" w:lineRule="exact"/>
        <w:rPr>
          <w:sz w:val="24"/>
          <w:szCs w:val="24"/>
          <w:color w:val="auto"/>
        </w:rPr>
      </w:pPr>
    </w:p>
    <w:tbl>
      <w:tblPr>
        <w:tblLayout w:type="fixed"/>
        <w:tblInd w:w="1320" w:type="dxa"/>
        <w:tblCellMar>
          <w:top w:w="0" w:type="dxa"/>
          <w:left w:w="0" w:type="dxa"/>
          <w:bottom w:w="0" w:type="dxa"/>
          <w:right w:w="0" w:type="dxa"/>
        </w:tblCellMar>
      </w:tblPr>
      <w:tr>
        <w:trPr>
          <w:trHeight w:val="150"/>
        </w:trPr>
        <w:tc>
          <w:tcPr>
            <w:tcW w:w="2120" w:type="dxa"/>
            <w:vAlign w:val="bottom"/>
          </w:tcPr>
          <w:p>
            <w:pPr>
              <w:jc w:val="center"/>
              <w:ind w:right="805"/>
              <w:spacing w:after="0"/>
              <w:rPr>
                <w:sz w:val="20"/>
                <w:szCs w:val="20"/>
                <w:color w:val="auto"/>
              </w:rPr>
            </w:pPr>
            <w:r>
              <w:rPr>
                <w:rFonts w:ascii="Arial" w:cs="Arial" w:eastAsia="Arial" w:hAnsi="Arial"/>
                <w:sz w:val="13"/>
                <w:szCs w:val="13"/>
                <w:b w:val="1"/>
                <w:bCs w:val="1"/>
                <w:color w:val="auto"/>
                <w:w w:val="87"/>
              </w:rPr>
              <w:t>Delaware</w:t>
            </w:r>
          </w:p>
        </w:tc>
        <w:tc>
          <w:tcPr>
            <w:tcW w:w="2360" w:type="dxa"/>
            <w:vAlign w:val="bottom"/>
          </w:tcPr>
          <w:p>
            <w:pPr>
              <w:ind w:left="880"/>
              <w:spacing w:after="0"/>
              <w:rPr>
                <w:sz w:val="20"/>
                <w:szCs w:val="20"/>
                <w:color w:val="auto"/>
              </w:rPr>
            </w:pPr>
            <w:r>
              <w:rPr>
                <w:rFonts w:ascii="Arial" w:cs="Arial" w:eastAsia="Arial" w:hAnsi="Arial"/>
                <w:sz w:val="13"/>
                <w:szCs w:val="13"/>
                <w:b w:val="1"/>
                <w:bCs w:val="1"/>
                <w:color w:val="auto"/>
              </w:rPr>
              <w:t>001-36510</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20-3857670</w:t>
            </w:r>
          </w:p>
        </w:tc>
      </w:tr>
      <w:tr>
        <w:trPr>
          <w:trHeight w:val="104"/>
        </w:trPr>
        <w:tc>
          <w:tcPr>
            <w:tcW w:w="2120" w:type="dxa"/>
            <w:vAlign w:val="bottom"/>
          </w:tcPr>
          <w:p>
            <w:pPr>
              <w:jc w:val="center"/>
              <w:ind w:right="805"/>
              <w:spacing w:after="0" w:line="104" w:lineRule="exact"/>
              <w:rPr>
                <w:sz w:val="20"/>
                <w:szCs w:val="20"/>
                <w:color w:val="auto"/>
              </w:rPr>
            </w:pPr>
            <w:r>
              <w:rPr>
                <w:rFonts w:ascii="Arial" w:cs="Arial" w:eastAsia="Arial" w:hAnsi="Arial"/>
                <w:sz w:val="10"/>
                <w:szCs w:val="10"/>
                <w:b w:val="1"/>
                <w:bCs w:val="1"/>
                <w:color w:val="auto"/>
                <w:w w:val="91"/>
              </w:rPr>
              <w:t>(State or other jurisdiction of</w:t>
            </w:r>
          </w:p>
        </w:tc>
        <w:tc>
          <w:tcPr>
            <w:tcW w:w="2360" w:type="dxa"/>
            <w:vAlign w:val="bottom"/>
          </w:tcPr>
          <w:p>
            <w:pPr>
              <w:ind w:left="86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120" w:type="dxa"/>
            <w:vAlign w:val="bottom"/>
          </w:tcPr>
          <w:p>
            <w:pPr>
              <w:jc w:val="center"/>
              <w:ind w:right="805"/>
              <w:spacing w:after="0"/>
              <w:rPr>
                <w:sz w:val="20"/>
                <w:szCs w:val="20"/>
                <w:color w:val="auto"/>
              </w:rPr>
            </w:pPr>
            <w:r>
              <w:rPr>
                <w:rFonts w:ascii="Arial" w:cs="Arial" w:eastAsia="Arial" w:hAnsi="Arial"/>
                <w:sz w:val="10"/>
                <w:szCs w:val="10"/>
                <w:b w:val="1"/>
                <w:bCs w:val="1"/>
                <w:color w:val="auto"/>
                <w:w w:val="91"/>
              </w:rPr>
              <w:t>incorporation)</w:t>
            </w:r>
          </w:p>
        </w:tc>
        <w:tc>
          <w:tcPr>
            <w:tcW w:w="2360" w:type="dxa"/>
            <w:vAlign w:val="bottom"/>
          </w:tcPr>
          <w:p>
            <w:pPr>
              <w:ind w:left="86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137" w:lineRule="exact"/>
        <w:rPr>
          <w:sz w:val="24"/>
          <w:szCs w:val="24"/>
          <w:color w:val="auto"/>
        </w:rPr>
      </w:pPr>
    </w:p>
    <w:p>
      <w:pPr>
        <w:sectPr>
          <w:pgSz w:w="11900" w:h="16838" w:orient="portrait"/>
          <w:cols w:equalWidth="0" w:num="1">
            <w:col w:w="9019"/>
          </w:cols>
          <w:pgMar w:left="1440" w:top="299" w:right="1440" w:bottom="1440" w:gutter="0" w:footer="0" w:header="0"/>
        </w:sectPr>
      </w:pPr>
    </w:p>
    <w:p>
      <w:pPr>
        <w:jc w:val="center"/>
        <w:ind w:right="440"/>
        <w:spacing w:after="0"/>
        <w:rPr>
          <w:sz w:val="20"/>
          <w:szCs w:val="20"/>
          <w:color w:val="auto"/>
        </w:rPr>
      </w:pPr>
      <w:r>
        <w:rPr>
          <w:rFonts w:ascii="Arial" w:cs="Arial" w:eastAsia="Arial" w:hAnsi="Arial"/>
          <w:sz w:val="11"/>
          <w:szCs w:val="11"/>
          <w:b w:val="1"/>
          <w:bCs w:val="1"/>
          <w:color w:val="auto"/>
        </w:rPr>
        <w:t>Three Bala Plaza East, Suite 506</w:t>
      </w:r>
    </w:p>
    <w:p>
      <w:pPr>
        <w:spacing w:after="0" w:line="38"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19004</w:t>
      </w:r>
    </w:p>
    <w:p>
      <w:pPr>
        <w:spacing w:after="0" w:line="38" w:lineRule="exact"/>
        <w:rPr>
          <w:sz w:val="24"/>
          <w:szCs w:val="24"/>
          <w:color w:val="auto"/>
        </w:rPr>
      </w:pPr>
    </w:p>
    <w:p>
      <w:pPr>
        <w:sectPr>
          <w:pgSz w:w="11900" w:h="16838" w:orient="portrait"/>
          <w:cols w:equalWidth="0" w:num="2">
            <w:col w:w="5620" w:space="720"/>
            <w:col w:w="2679"/>
          </w:cols>
          <w:pgMar w:left="1440" w:top="299" w:right="1440" w:bottom="1440" w:gutter="0" w:footer="0" w:header="0"/>
          <w:type w:val="continuous"/>
        </w:sectPr>
      </w:pPr>
    </w:p>
    <w:p>
      <w:pPr>
        <w:ind w:left="17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11" w:lineRule="exact"/>
        <w:rPr>
          <w:sz w:val="24"/>
          <w:szCs w:val="24"/>
          <w:color w:val="auto"/>
        </w:rPr>
      </w:pPr>
    </w:p>
    <w:p>
      <w:pPr>
        <w:sectPr>
          <w:pgSz w:w="11900" w:h="16838" w:orient="portrait"/>
          <w:cols w:equalWidth="0" w:num="2">
            <w:col w:w="5540" w:space="720"/>
            <w:col w:w="2759"/>
          </w:cols>
          <w:pgMar w:left="1440" w:top="29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(844) 511-9056</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153035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5"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4"/>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LRMR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Nasdaq Global Market</w:t>
            </w:r>
          </w:p>
        </w:tc>
      </w:tr>
    </w:tbl>
    <w:p>
      <w:pPr>
        <w:spacing w:after="0" w:line="111"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6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3"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2" w:lineRule="exact"/>
        <w:rPr>
          <w:sz w:val="20"/>
          <w:szCs w:val="20"/>
          <w:color w:val="auto"/>
        </w:rPr>
      </w:pPr>
    </w:p>
    <w:p>
      <w:pPr>
        <w:ind w:left="640" w:right="699"/>
        <w:spacing w:after="0" w:line="252" w:lineRule="auto"/>
        <w:rPr>
          <w:sz w:val="20"/>
          <w:szCs w:val="20"/>
          <w:color w:val="auto"/>
        </w:rPr>
      </w:pPr>
      <w:r>
        <w:rPr>
          <w:rFonts w:ascii="Arial" w:cs="Arial" w:eastAsia="Arial" w:hAnsi="Arial"/>
          <w:sz w:val="13"/>
          <w:szCs w:val="13"/>
          <w:color w:val="auto"/>
        </w:rPr>
        <w:t>On November 12, 2021, Larimar Therapeutics,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announced its financial results and operational highlights for the third quarter ended September 30, 2021. A copy of the press release is being furnished as Exhibit 99.1 to this Current Report on Form 8-K and is incorporated herein by reference.</w:t>
      </w:r>
    </w:p>
    <w:p>
      <w:pPr>
        <w:spacing w:after="0" w:line="136" w:lineRule="exact"/>
        <w:rPr>
          <w:sz w:val="20"/>
          <w:szCs w:val="20"/>
          <w:color w:val="auto"/>
        </w:rPr>
      </w:pPr>
    </w:p>
    <w:p>
      <w:pPr>
        <w:ind w:left="640" w:right="659"/>
        <w:spacing w:after="0" w:line="249" w:lineRule="auto"/>
        <w:rPr>
          <w:sz w:val="20"/>
          <w:szCs w:val="20"/>
          <w:color w:val="auto"/>
        </w:rPr>
      </w:pPr>
      <w:r>
        <w:rPr>
          <w:rFonts w:ascii="Arial" w:cs="Arial" w:eastAsia="Arial" w:hAnsi="Arial"/>
          <w:sz w:val="13"/>
          <w:szCs w:val="13"/>
          <w:color w:val="auto"/>
        </w:rPr>
        <w:t>The information in this Current Report on Form 8-K and Exhibit 99.1 attached hereto is intended to be furnished and shall not be deemed “filed” for purposes of Section 18 of the Securities Exchange Act of 1934, as amended (the “</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38"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right="659"/>
        <w:spacing w:after="0" w:line="252" w:lineRule="auto"/>
        <w:rPr>
          <w:sz w:val="20"/>
          <w:szCs w:val="20"/>
          <w:color w:val="auto"/>
        </w:rPr>
      </w:pPr>
      <w:r>
        <w:rPr>
          <w:rFonts w:ascii="Arial" w:cs="Arial" w:eastAsia="Arial" w:hAnsi="Arial"/>
          <w:sz w:val="13"/>
          <w:szCs w:val="13"/>
          <w:color w:val="auto"/>
        </w:rPr>
        <w:t>On November 12, 2021,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36"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Below is a list of exhibits included with this Current Report on Form 8-K.</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1"/>
              </w:rPr>
              <w:t>Exhibit No.</w:t>
            </w:r>
          </w:p>
        </w:tc>
        <w:tc>
          <w:tcPr>
            <w:tcW w:w="520" w:type="dxa"/>
            <w:vAlign w:val="bottom"/>
          </w:tcPr>
          <w:p>
            <w:pPr>
              <w:spacing w:after="0"/>
              <w:rPr>
                <w:sz w:val="10"/>
                <w:szCs w:val="10"/>
                <w:color w:val="auto"/>
              </w:rPr>
            </w:pPr>
          </w:p>
        </w:tc>
        <w:tc>
          <w:tcPr>
            <w:tcW w:w="6720" w:type="dxa"/>
            <w:vAlign w:val="bottom"/>
            <w:tcBorders>
              <w:bottom w:val="single" w:sz="8" w:color="auto"/>
            </w:tcBorders>
            <w:gridSpan w:val="3"/>
          </w:tcPr>
          <w:p>
            <w:pPr>
              <w:ind w:left="3140"/>
              <w:spacing w:after="0"/>
              <w:rPr>
                <w:sz w:val="20"/>
                <w:szCs w:val="20"/>
                <w:color w:val="auto"/>
              </w:rPr>
            </w:pPr>
            <w:r>
              <w:rPr>
                <w:rFonts w:ascii="Arial" w:cs="Arial" w:eastAsia="Arial" w:hAnsi="Arial"/>
                <w:sz w:val="10"/>
                <w:szCs w:val="10"/>
                <w:b w:val="1"/>
                <w:bCs w:val="1"/>
                <w:color w:val="auto"/>
              </w:rPr>
              <w:t>Document</w:t>
            </w:r>
          </w:p>
        </w:tc>
      </w:tr>
      <w:tr>
        <w:trPr>
          <w:trHeight w:val="188"/>
        </w:trPr>
        <w:tc>
          <w:tcPr>
            <w:tcW w:w="500" w:type="dxa"/>
            <w:vAlign w:val="bottom"/>
          </w:tcPr>
          <w:p>
            <w:pPr>
              <w:spacing w:after="0"/>
              <w:rPr>
                <w:sz w:val="20"/>
                <w:szCs w:val="20"/>
                <w:color w:val="auto"/>
              </w:rPr>
            </w:pPr>
            <w:r>
              <w:rPr>
                <w:rFonts w:ascii="Arial" w:cs="Arial" w:eastAsia="Arial" w:hAnsi="Arial"/>
                <w:sz w:val="13"/>
                <w:szCs w:val="13"/>
                <w:color w:val="auto"/>
              </w:rPr>
              <w:t>99.1</w:t>
            </w:r>
          </w:p>
        </w:tc>
        <w:tc>
          <w:tcPr>
            <w:tcW w:w="520" w:type="dxa"/>
            <w:vAlign w:val="bottom"/>
          </w:tcPr>
          <w:p>
            <w:pPr>
              <w:spacing w:after="0"/>
              <w:rPr>
                <w:sz w:val="16"/>
                <w:szCs w:val="16"/>
                <w:color w:val="auto"/>
              </w:rPr>
            </w:pPr>
          </w:p>
        </w:tc>
        <w:tc>
          <w:tcPr>
            <w:tcW w:w="3840" w:type="dxa"/>
            <w:vAlign w:val="bottom"/>
            <w:tcBorders>
              <w:bottom w:val="single" w:sz="8" w:color="0000EE"/>
            </w:tcBorders>
          </w:tcPr>
          <w:p>
            <w:pPr>
              <w:spacing w:after="0"/>
              <w:rPr>
                <w:rFonts w:ascii="Arial" w:cs="Arial" w:eastAsia="Arial" w:hAnsi="Arial"/>
                <w:sz w:val="13"/>
                <w:szCs w:val="13"/>
                <w:color w:val="0000EE"/>
                <w:w w:val="87"/>
              </w:rPr>
            </w:pPr>
            <w:hyperlink w:anchor="page4">
              <w:r>
                <w:rPr>
                  <w:rFonts w:ascii="Arial" w:cs="Arial" w:eastAsia="Arial" w:hAnsi="Arial"/>
                  <w:sz w:val="13"/>
                  <w:szCs w:val="13"/>
                  <w:color w:val="0000EE"/>
                  <w:w w:val="87"/>
                </w:rPr>
                <w:t>Press Release issued by Larimar Therapeutics, Inc. on November 12, 2021*</w:t>
              </w:r>
            </w:hyperlink>
          </w:p>
        </w:tc>
        <w:tc>
          <w:tcPr>
            <w:tcW w:w="2880" w:type="dxa"/>
            <w:vAlign w:val="bottom"/>
            <w:gridSpan w:val="2"/>
          </w:tcPr>
          <w:p>
            <w:pPr>
              <w:spacing w:after="0"/>
              <w:rPr>
                <w:sz w:val="16"/>
                <w:szCs w:val="16"/>
                <w:color w:val="auto"/>
              </w:rPr>
            </w:pPr>
          </w:p>
        </w:tc>
      </w:tr>
      <w:tr>
        <w:trPr>
          <w:trHeight w:val="207"/>
        </w:trPr>
        <w:tc>
          <w:tcPr>
            <w:tcW w:w="500" w:type="dxa"/>
            <w:vAlign w:val="bottom"/>
          </w:tcPr>
          <w:p>
            <w:pPr>
              <w:spacing w:after="0"/>
              <w:rPr>
                <w:sz w:val="20"/>
                <w:szCs w:val="20"/>
                <w:color w:val="auto"/>
              </w:rPr>
            </w:pPr>
            <w:r>
              <w:rPr>
                <w:rFonts w:ascii="Arial" w:cs="Arial" w:eastAsia="Arial" w:hAnsi="Arial"/>
                <w:sz w:val="13"/>
                <w:szCs w:val="13"/>
                <w:color w:val="auto"/>
              </w:rPr>
              <w:t>99.2</w:t>
            </w:r>
          </w:p>
        </w:tc>
        <w:tc>
          <w:tcPr>
            <w:tcW w:w="520" w:type="dxa"/>
            <w:vAlign w:val="bottom"/>
          </w:tcPr>
          <w:p>
            <w:pPr>
              <w:spacing w:after="0"/>
              <w:rPr>
                <w:sz w:val="18"/>
                <w:szCs w:val="18"/>
                <w:color w:val="auto"/>
              </w:rPr>
            </w:pPr>
          </w:p>
        </w:tc>
        <w:tc>
          <w:tcPr>
            <w:tcW w:w="3920" w:type="dxa"/>
            <w:vAlign w:val="bottom"/>
            <w:tcBorders>
              <w:bottom w:val="single" w:sz="8" w:color="0000EE"/>
            </w:tcBorders>
            <w:gridSpan w:val="2"/>
          </w:tcPr>
          <w:p>
            <w:pPr>
              <w:spacing w:after="0"/>
              <w:rPr>
                <w:rFonts w:ascii="Arial" w:cs="Arial" w:eastAsia="Arial" w:hAnsi="Arial"/>
                <w:sz w:val="13"/>
                <w:szCs w:val="13"/>
                <w:color w:val="0000EE"/>
                <w:w w:val="87"/>
              </w:rPr>
            </w:pPr>
            <w:hyperlink w:anchor="page9">
              <w:r>
                <w:rPr>
                  <w:rFonts w:ascii="Arial" w:cs="Arial" w:eastAsia="Arial" w:hAnsi="Arial"/>
                  <w:sz w:val="13"/>
                  <w:szCs w:val="13"/>
                  <w:color w:val="0000EE"/>
                  <w:w w:val="87"/>
                </w:rPr>
                <w:t>Larimar Therapeutics, Inc. Corporate Presentation, dated November 12, 2021</w:t>
              </w:r>
            </w:hyperlink>
          </w:p>
        </w:tc>
        <w:tc>
          <w:tcPr>
            <w:tcW w:w="2800" w:type="dxa"/>
            <w:vAlign w:val="bottom"/>
          </w:tcPr>
          <w:p>
            <w:pPr>
              <w:spacing w:after="0"/>
              <w:rPr>
                <w:sz w:val="18"/>
                <w:szCs w:val="18"/>
                <w:color w:val="auto"/>
              </w:rPr>
            </w:pPr>
          </w:p>
        </w:tc>
      </w:tr>
    </w:tbl>
    <w:p>
      <w:pPr>
        <w:spacing w:after="0" w:line="86" w:lineRule="exact"/>
        <w:rPr>
          <w:sz w:val="20"/>
          <w:szCs w:val="20"/>
          <w:color w:val="auto"/>
        </w:rPr>
      </w:pPr>
    </w:p>
    <w:p>
      <w:pPr>
        <w:ind w:left="640" w:right="3299" w:hanging="3"/>
        <w:spacing w:after="0" w:line="535" w:lineRule="auto"/>
        <w:tabs>
          <w:tab w:leader="none" w:pos="1664" w:val="left"/>
        </w:tabs>
        <w:numPr>
          <w:ilvl w:val="0"/>
          <w:numId w:val="2"/>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 * Furnished herewith</w:t>
      </w:r>
    </w:p>
    <w:p>
      <w:pPr>
        <w:sectPr>
          <w:pgSz w:w="11900" w:h="16838" w:orient="portrait"/>
          <w:cols w:equalWidth="0" w:num="1">
            <w:col w:w="9019"/>
          </w:cols>
          <w:pgMar w:left="1440" w:top="25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Larimar Therapeutics, Inc.</w:t>
      </w:r>
    </w:p>
    <w:p>
      <w:pPr>
        <w:spacing w:after="0" w:line="154" w:lineRule="exact"/>
        <w:rPr>
          <w:sz w:val="20"/>
          <w:szCs w:val="20"/>
          <w:color w:val="auto"/>
        </w:rPr>
      </w:pPr>
    </w:p>
    <w:tbl>
      <w:tblPr>
        <w:tblLayout w:type="fixed"/>
        <w:tblInd w:w="5280" w:type="dxa"/>
        <w:tblCellMar>
          <w:top w:w="0" w:type="dxa"/>
          <w:left w:w="0" w:type="dxa"/>
          <w:bottom w:w="0" w:type="dxa"/>
          <w:right w:w="0" w:type="dxa"/>
        </w:tblCellMar>
      </w:tblPr>
      <w:tr>
        <w:trPr>
          <w:trHeight w:val="16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Carole S. Ben-Maimon, M.D.</w:t>
            </w:r>
          </w:p>
        </w:tc>
      </w:tr>
      <w:tr>
        <w:trPr>
          <w:trHeight w:val="142"/>
        </w:trPr>
        <w:tc>
          <w:tcPr>
            <w:tcW w:w="400" w:type="dxa"/>
            <w:vAlign w:val="bottom"/>
          </w:tcPr>
          <w:p>
            <w:pPr>
              <w:spacing w:after="0" w:line="142" w:lineRule="exact"/>
              <w:rPr>
                <w:sz w:val="20"/>
                <w:szCs w:val="20"/>
                <w:color w:val="auto"/>
              </w:rPr>
            </w:pPr>
            <w:r>
              <w:rPr>
                <w:rFonts w:ascii="Arial" w:cs="Arial" w:eastAsia="Arial" w:hAnsi="Arial"/>
                <w:sz w:val="13"/>
                <w:szCs w:val="13"/>
                <w:i w:val="1"/>
                <w:iCs w:val="1"/>
                <w:color w:val="auto"/>
                <w:w w:val="99"/>
              </w:rPr>
              <w:t>Name:</w:t>
            </w:r>
          </w:p>
        </w:tc>
        <w:tc>
          <w:tcPr>
            <w:tcW w:w="2700" w:type="dxa"/>
            <w:vAlign w:val="bottom"/>
          </w:tcPr>
          <w:p>
            <w:pPr>
              <w:spacing w:after="0" w:line="142" w:lineRule="exact"/>
              <w:rPr>
                <w:sz w:val="20"/>
                <w:szCs w:val="20"/>
                <w:color w:val="auto"/>
              </w:rPr>
            </w:pPr>
            <w:r>
              <w:rPr>
                <w:rFonts w:ascii="Arial" w:cs="Arial" w:eastAsia="Arial" w:hAnsi="Arial"/>
                <w:sz w:val="13"/>
                <w:szCs w:val="13"/>
                <w:i w:val="1"/>
                <w:iCs w:val="1"/>
                <w:color w:val="auto"/>
              </w:rPr>
              <w:t>Carole S. Ben-Maimon, M.D.</w:t>
            </w:r>
          </w:p>
        </w:tc>
      </w:tr>
      <w:tr>
        <w:trPr>
          <w:trHeight w:val="161"/>
        </w:trPr>
        <w:tc>
          <w:tcPr>
            <w:tcW w:w="400" w:type="dxa"/>
            <w:vAlign w:val="bottom"/>
          </w:tcPr>
          <w:p>
            <w:pPr>
              <w:spacing w:after="0"/>
              <w:rPr>
                <w:sz w:val="20"/>
                <w:szCs w:val="20"/>
                <w:color w:val="auto"/>
              </w:rPr>
            </w:pPr>
            <w:r>
              <w:rPr>
                <w:rFonts w:ascii="Arial" w:cs="Arial" w:eastAsia="Arial" w:hAnsi="Arial"/>
                <w:sz w:val="13"/>
                <w:szCs w:val="13"/>
                <w:i w:val="1"/>
                <w:iCs w:val="1"/>
                <w:color w:val="auto"/>
              </w:rPr>
              <w:t>Title:</w:t>
            </w:r>
          </w:p>
        </w:tc>
        <w:tc>
          <w:tcPr>
            <w:tcW w:w="2700" w:type="dxa"/>
            <w:vAlign w:val="bottom"/>
          </w:tcPr>
          <w:p>
            <w:pPr>
              <w:spacing w:after="0"/>
              <w:rPr>
                <w:sz w:val="20"/>
                <w:szCs w:val="20"/>
                <w:color w:val="auto"/>
              </w:rPr>
            </w:pPr>
            <w:r>
              <w:rPr>
                <w:rFonts w:ascii="Arial" w:cs="Arial" w:eastAsia="Arial" w:hAnsi="Arial"/>
                <w:sz w:val="13"/>
                <w:szCs w:val="13"/>
                <w:i w:val="1"/>
                <w:iCs w:val="1"/>
                <w:color w:val="auto"/>
              </w:rPr>
              <w:t>President and Chief Executive Officer</w:t>
            </w: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November 12, 2021</w:t>
      </w:r>
    </w:p>
    <w:p>
      <w:pPr>
        <w:sectPr>
          <w:pgSz w:w="11900" w:h="16838" w:orient="portrait"/>
          <w:cols w:equalWidth="0" w:num="1">
            <w:col w:w="9019"/>
          </w:cols>
          <w:pgMar w:left="1440" w:top="250" w:right="1440" w:bottom="1440" w:gutter="0" w:footer="0" w:header="0"/>
        </w:sectPr>
      </w:pPr>
    </w:p>
    <w:bookmarkStart w:id="3" w:name="page4"/>
    <w:bookmarkEnd w:id="3"/>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969010" cy="337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901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Larimar Therapeutics Reports Third Quarter 2021 Operating and Financial Results</w:t>
      </w:r>
    </w:p>
    <w:p>
      <w:pPr>
        <w:spacing w:after="0" w:line="78" w:lineRule="exact"/>
        <w:rPr>
          <w:sz w:val="20"/>
          <w:szCs w:val="20"/>
          <w:color w:val="auto"/>
        </w:rPr>
      </w:pPr>
    </w:p>
    <w:p>
      <w:pPr>
        <w:ind w:left="640" w:right="679"/>
        <w:spacing w:after="0" w:line="359" w:lineRule="auto"/>
        <w:rPr>
          <w:sz w:val="20"/>
          <w:szCs w:val="20"/>
          <w:color w:val="auto"/>
        </w:rPr>
      </w:pPr>
      <w:r>
        <w:rPr>
          <w:rFonts w:ascii="Arial" w:cs="Arial" w:eastAsia="Arial" w:hAnsi="Arial"/>
          <w:sz w:val="11"/>
          <w:szCs w:val="11"/>
          <w:b w:val="1"/>
          <w:bCs w:val="1"/>
          <w:color w:val="auto"/>
        </w:rPr>
        <w:t xml:space="preserve">Bala Cynwyd, PA, </w:t>
      </w:r>
      <w:r>
        <w:rPr>
          <w:rFonts w:ascii="Arial" w:cs="Arial" w:eastAsia="Arial" w:hAnsi="Arial"/>
          <w:sz w:val="11"/>
          <w:szCs w:val="11"/>
          <w:color w:val="auto"/>
        </w:rPr>
        <w:t>November 12, 2021 – Larimar Therapeutics, Inc. (“Larimar”) (Nasdaq: LRMR), a clinical-stage biotechnology company focused on</w:t>
      </w:r>
      <w:r>
        <w:rPr>
          <w:rFonts w:ascii="Arial" w:cs="Arial" w:eastAsia="Arial" w:hAnsi="Arial"/>
          <w:sz w:val="11"/>
          <w:szCs w:val="11"/>
          <w:b w:val="1"/>
          <w:bCs w:val="1"/>
          <w:color w:val="auto"/>
        </w:rPr>
        <w:t xml:space="preserve"> </w:t>
      </w:r>
      <w:r>
        <w:rPr>
          <w:rFonts w:ascii="Arial" w:cs="Arial" w:eastAsia="Arial" w:hAnsi="Arial"/>
          <w:sz w:val="11"/>
          <w:szCs w:val="11"/>
          <w:color w:val="auto"/>
        </w:rPr>
        <w:t>developing treatments for complex rare diseases, today reported its third quarter and year to date September 30, 2021 operating and financial results.</w:t>
      </w:r>
    </w:p>
    <w:p>
      <w:pPr>
        <w:spacing w:after="0" w:line="80" w:lineRule="exact"/>
        <w:rPr>
          <w:sz w:val="20"/>
          <w:szCs w:val="20"/>
          <w:color w:val="auto"/>
        </w:rPr>
      </w:pPr>
    </w:p>
    <w:p>
      <w:pPr>
        <w:ind w:left="640" w:right="659"/>
        <w:spacing w:after="0" w:line="271" w:lineRule="auto"/>
        <w:rPr>
          <w:sz w:val="20"/>
          <w:szCs w:val="20"/>
          <w:color w:val="auto"/>
        </w:rPr>
      </w:pPr>
      <w:r>
        <w:rPr>
          <w:rFonts w:ascii="Arial" w:cs="Arial" w:eastAsia="Arial" w:hAnsi="Arial"/>
          <w:sz w:val="12"/>
          <w:szCs w:val="12"/>
          <w:color w:val="auto"/>
        </w:rPr>
        <w:t>“We are advancing towards 2022 with a strong balance sheet, the backing of high-quality institutional investors, and compelling Phase 1 data that demonstrate proof-of-concept for CTI-1601,” said Carole Ben-Maimon</w:t>
      </w:r>
      <w:r>
        <w:rPr>
          <w:rFonts w:ascii="Arial" w:cs="Arial" w:eastAsia="Arial" w:hAnsi="Arial"/>
          <w:sz w:val="12"/>
          <w:szCs w:val="12"/>
          <w:b w:val="1"/>
          <w:bCs w:val="1"/>
          <w:color w:val="auto"/>
        </w:rPr>
        <w:t>,</w:t>
      </w:r>
      <w:r>
        <w:rPr>
          <w:rFonts w:ascii="Arial" w:cs="Arial" w:eastAsia="Arial" w:hAnsi="Arial"/>
          <w:sz w:val="12"/>
          <w:szCs w:val="12"/>
          <w:color w:val="auto"/>
        </w:rPr>
        <w:t xml:space="preserve"> MD, President and Chief Executive Officer of Larimar. “We continue to collect and analyze data from our 180-day non-human primate toxicology study so that we can continue moving towards the resolution of CTI-1601’s clinical hold and an expected return to the clinic in the first half of next year. We are working expeditiously towards this goal, as patients with Friedreich’s ataxia (FA) urgently need disease-modifying therapies. With a differentiated mechanism of action targeting the root cause of FA, we believe CTI-1601 is uniquely positioned to potentially address this need and look forward to its continued clinical development.”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Third Quarter 2021 Highlights</w:t>
      </w:r>
    </w:p>
    <w:p>
      <w:pPr>
        <w:spacing w:after="0" w:line="91" w:lineRule="exact"/>
        <w:rPr>
          <w:sz w:val="20"/>
          <w:szCs w:val="20"/>
          <w:color w:val="auto"/>
        </w:rPr>
      </w:pPr>
    </w:p>
    <w:p>
      <w:pPr>
        <w:ind w:left="1320" w:right="699" w:hanging="303"/>
        <w:spacing w:after="0" w:line="271" w:lineRule="auto"/>
        <w:tabs>
          <w:tab w:leader="none" w:pos="1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Prior to the third quarter, the United States Food and Drug Administration (FDA) placed a clinical hold on the CTI-1601 clinical program after Larimar notified the agency of mortalities that occurred at the highest dose levels of a 180-day non-human primate (NHP) toxicology study designed to support extended dosing of patients with CTI-1601. In the clinical hold letter, the FDA stated that it needs a full study report from the NHP study and that Larimar may not initiate additional clinical trials until the Company has submitted the report and received notification from the agency that additional clinical trials may commence. At the time of the notice, the Company had no interventional clinical trials with patients enrolled or enrolling.</w:t>
      </w:r>
    </w:p>
    <w:p>
      <w:pPr>
        <w:spacing w:after="0" w:line="50" w:lineRule="exact"/>
        <w:rPr>
          <w:rFonts w:ascii="Arial" w:cs="Arial" w:eastAsia="Arial" w:hAnsi="Arial"/>
          <w:sz w:val="12"/>
          <w:szCs w:val="12"/>
          <w:color w:val="auto"/>
        </w:rPr>
      </w:pPr>
    </w:p>
    <w:p>
      <w:pPr>
        <w:ind w:left="1340" w:right="699"/>
        <w:spacing w:after="0" w:line="276" w:lineRule="auto"/>
        <w:rPr>
          <w:rFonts w:ascii="Arial" w:cs="Arial" w:eastAsia="Arial" w:hAnsi="Arial"/>
          <w:sz w:val="12"/>
          <w:szCs w:val="12"/>
          <w:color w:val="auto"/>
        </w:rPr>
      </w:pPr>
      <w:r>
        <w:rPr>
          <w:rFonts w:ascii="Arial" w:cs="Arial" w:eastAsia="Arial" w:hAnsi="Arial"/>
          <w:sz w:val="12"/>
          <w:szCs w:val="12"/>
          <w:color w:val="auto"/>
        </w:rPr>
        <w:t>In July 2021, Larimar completed dosing in the 180-day NHP toxicology study, and it continues to collect and analyze data. While there is no way to predict the FDA’s response (which the Company anticipates will not be received prior to the first quarter of 2022) or whether they will require additional data or testing before lifting the clinical hold on CTI-1601 in full or in part, the Company expects to initiate its Jive open-label extension and pediatric multiple ascending dose trials in the first half of next year.</w:t>
      </w:r>
    </w:p>
    <w:p>
      <w:pPr>
        <w:spacing w:after="0" w:line="57" w:lineRule="exact"/>
        <w:rPr>
          <w:rFonts w:ascii="Arial" w:cs="Arial" w:eastAsia="Arial" w:hAnsi="Arial"/>
          <w:sz w:val="12"/>
          <w:szCs w:val="12"/>
          <w:color w:val="auto"/>
        </w:rPr>
      </w:pPr>
    </w:p>
    <w:p>
      <w:pPr>
        <w:ind w:left="1320" w:right="779" w:hanging="303"/>
        <w:spacing w:after="0" w:line="249"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Under an Equity Distribution Agreement with an investment bank, the Company may sell up to an aggregate of $50 million of shares of common stock from time to time in connection with an “at the market” program. In July 2021, the Company sold 2,342,720 shares under the agreement for net proceeds of $19.9 million. As of September 30, 2021 and the date of this announcement, $29.2 million of common stock remains available for sale under this program.</w:t>
      </w:r>
    </w:p>
    <w:p>
      <w:pPr>
        <w:spacing w:after="0" w:line="71" w:lineRule="exact"/>
        <w:rPr>
          <w:rFonts w:ascii="Arial" w:cs="Arial" w:eastAsia="Arial" w:hAnsi="Arial"/>
          <w:sz w:val="13"/>
          <w:szCs w:val="13"/>
          <w:color w:val="auto"/>
        </w:rPr>
      </w:pPr>
    </w:p>
    <w:p>
      <w:pPr>
        <w:ind w:left="1320" w:right="79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August 2021, Larimar initiated a non-interventional healthy volunteer study designed to generate data for comparison to patients with FA.</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Third Quarter 2021 Financial Results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As of September 30, 2021, the Company had cash, cash equivalents and marketable debt securities totaling $78.0 million.</w:t>
      </w:r>
    </w:p>
    <w:p>
      <w:pPr>
        <w:spacing w:after="0" w:line="154" w:lineRule="exact"/>
        <w:rPr>
          <w:sz w:val="20"/>
          <w:szCs w:val="20"/>
          <w:color w:val="auto"/>
        </w:rPr>
      </w:pPr>
    </w:p>
    <w:p>
      <w:pPr>
        <w:ind w:left="640" w:right="719"/>
        <w:spacing w:after="0" w:line="261" w:lineRule="auto"/>
        <w:rPr>
          <w:sz w:val="20"/>
          <w:szCs w:val="20"/>
          <w:color w:val="auto"/>
        </w:rPr>
      </w:pPr>
      <w:r>
        <w:rPr>
          <w:rFonts w:ascii="Arial" w:cs="Arial" w:eastAsia="Arial" w:hAnsi="Arial"/>
          <w:sz w:val="13"/>
          <w:szCs w:val="13"/>
          <w:color w:val="auto"/>
        </w:rPr>
        <w:t>The Company reported a net loss for the third quarter of 2021 of $16.8 million, or $0.92 per share, compared to a net loss of $10.3 million, or $0.64 per share, for the third quarter of 2020.</w:t>
      </w:r>
    </w:p>
    <w:p>
      <w:pPr>
        <w:sectPr>
          <w:pgSz w:w="11900" w:h="16838" w:orient="portrait"/>
          <w:cols w:equalWidth="0" w:num="1">
            <w:col w:w="9019"/>
          </w:cols>
          <w:pgMar w:left="1440" w:top="127" w:right="1440" w:bottom="1440" w:gutter="0" w:footer="0" w:header="0"/>
        </w:sectPr>
      </w:pPr>
    </w:p>
    <w:bookmarkStart w:id="4" w:name="page5"/>
    <w:bookmarkEnd w:id="4"/>
    <w:p>
      <w:pPr>
        <w:ind w:left="640" w:right="719"/>
        <w:spacing w:after="0" w:line="3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Research and development expenses for the third quarter of 2021 were $14.0 million compared to $6.9 million for the third quarter of 2020. The increase in research and development expenses compared to the prior year period was primarily driven by higher clinical supply manufacturing costs of $6.4 million, higher non-clinical and internal laboratory costs of $1.3 million, an increase of $0.3 million in personnel related costs due to headcount additions in our research and development functions, and an increase of $0.3 million in stock-based compensation expense associated with stock option grants made in the second half of 2020 and thus far in 2021, partially offset by a decrease of $1.4 million in clinical trial costs.</w:t>
      </w:r>
    </w:p>
    <w:p>
      <w:pPr>
        <w:spacing w:after="0" w:line="111"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General and administrative expenses for the third quarter of 2021 were $2.7 million compared to $3.4 million for the third quarter of 2020. The decrease in general and administrative expenses as compared to the prior year period was primarily driven by a decrease of $1.1 million in professional fees primarily associated with accounting, legal and consulting fees partially offset by an increase of $0.8 million in stock-based compensation expense associated with stock option grants made in the second half of 2020 and thus far in 2021. General and administrative expenses for the third quarter of 2020 included costs associated with the Company’s May 2020 reverse merger with Zafgen, Inc. (the Merger).</w:t>
      </w:r>
    </w:p>
    <w:p>
      <w:pPr>
        <w:spacing w:after="0" w:line="125" w:lineRule="exact"/>
        <w:rPr>
          <w:sz w:val="20"/>
          <w:szCs w:val="20"/>
          <w:color w:val="auto"/>
        </w:rPr>
      </w:pPr>
    </w:p>
    <w:p>
      <w:pPr>
        <w:ind w:left="640" w:right="1139"/>
        <w:spacing w:after="0" w:line="261" w:lineRule="auto"/>
        <w:rPr>
          <w:sz w:val="20"/>
          <w:szCs w:val="20"/>
          <w:color w:val="auto"/>
        </w:rPr>
      </w:pPr>
      <w:r>
        <w:rPr>
          <w:rFonts w:ascii="Arial" w:cs="Arial" w:eastAsia="Arial" w:hAnsi="Arial"/>
          <w:sz w:val="13"/>
          <w:szCs w:val="13"/>
          <w:color w:val="auto"/>
        </w:rPr>
        <w:t>For the nine-months ended September 30, 2021, the Company reported a net loss of $41.5 million, or $2.48 per share, compared to a net loss of $28.3 million, or $2.69 per share for the same period in 2020.</w:t>
      </w:r>
    </w:p>
    <w:p>
      <w:pPr>
        <w:spacing w:after="0" w:line="130" w:lineRule="exact"/>
        <w:rPr>
          <w:sz w:val="20"/>
          <w:szCs w:val="20"/>
          <w:color w:val="auto"/>
        </w:rPr>
      </w:pPr>
    </w:p>
    <w:p>
      <w:pPr>
        <w:ind w:left="640" w:right="659"/>
        <w:spacing w:after="0" w:line="303" w:lineRule="auto"/>
        <w:rPr>
          <w:sz w:val="20"/>
          <w:szCs w:val="20"/>
          <w:color w:val="auto"/>
        </w:rPr>
      </w:pPr>
      <w:r>
        <w:rPr>
          <w:rFonts w:ascii="Arial" w:cs="Arial" w:eastAsia="Arial" w:hAnsi="Arial"/>
          <w:sz w:val="11"/>
          <w:szCs w:val="11"/>
          <w:color w:val="auto"/>
        </w:rPr>
        <w:t>Research and development expenses for the nine-months ended September 30, 2021 were $32.1 million compared to $20.8 million for the same period in 2020. The increase in research and development expenses compared to the prior year period was primarily driven by higher clinical supply manufacturing costs of $4.5 million, higher non-clinical and internal laboratory costs of $2.9 million, an increase of $1.7 million in personnel related costs due to increased headcount in our research and development functions, an increase of $1.1 million in stock-based compensation expense associated with stock option grants made in the second half of 2020 and thus far in 2021, and an increase of $0.9 million in clinical trial costs.</w:t>
      </w:r>
    </w:p>
    <w:p>
      <w:pPr>
        <w:spacing w:after="0" w:line="111" w:lineRule="exact"/>
        <w:rPr>
          <w:sz w:val="20"/>
          <w:szCs w:val="20"/>
          <w:color w:val="auto"/>
        </w:rPr>
      </w:pPr>
    </w:p>
    <w:p>
      <w:pPr>
        <w:ind w:left="640" w:right="739"/>
        <w:spacing w:after="0" w:line="293" w:lineRule="auto"/>
        <w:rPr>
          <w:sz w:val="20"/>
          <w:szCs w:val="20"/>
          <w:color w:val="auto"/>
        </w:rPr>
      </w:pPr>
      <w:r>
        <w:rPr>
          <w:rFonts w:ascii="Arial" w:cs="Arial" w:eastAsia="Arial" w:hAnsi="Arial"/>
          <w:sz w:val="11"/>
          <w:szCs w:val="11"/>
          <w:color w:val="auto"/>
        </w:rPr>
        <w:t>General and administrative expenses for the nine-months ended September 30, 2021 were $9.3 million compared to $7.6 million for the same period in 2020. The increase in general and administrative expenses as compared to the prior year period was primarily driven by an increase of $1.8 million in stock-based compensation expense associated with stock option grants made in the second half of 2020 and thus far in 2021, and an increase of</w:t>
      </w:r>
    </w:p>
    <w:p>
      <w:pPr>
        <w:spacing w:after="0" w:line="1" w:lineRule="exact"/>
        <w:rPr>
          <w:sz w:val="20"/>
          <w:szCs w:val="20"/>
          <w:color w:val="auto"/>
        </w:rPr>
      </w:pPr>
    </w:p>
    <w:p>
      <w:pPr>
        <w:ind w:left="640" w:right="659"/>
        <w:spacing w:after="0" w:line="244" w:lineRule="auto"/>
        <w:rPr>
          <w:sz w:val="20"/>
          <w:szCs w:val="20"/>
          <w:color w:val="auto"/>
        </w:rPr>
      </w:pPr>
      <w:r>
        <w:rPr>
          <w:rFonts w:ascii="Arial" w:cs="Arial" w:eastAsia="Arial" w:hAnsi="Arial"/>
          <w:sz w:val="13"/>
          <w:szCs w:val="13"/>
          <w:color w:val="auto"/>
        </w:rPr>
        <w:t>$1.2 million in costs required to function as a public company ( nine months as a publicly-held company in 2021 compared to four months as a publicly-held company in 2020), an increase of $0.5 million in personnel related costs due to increased headcount, partially offset by a decrease of $1.4 million in professional fees primarily associated with accounting, legal and consulting fees. General and administrative expenses for the nine months ended September 30,2020 included costs associated with the Merger.</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Larimar Therapeutics</w:t>
      </w:r>
    </w:p>
    <w:p>
      <w:pPr>
        <w:spacing w:after="0" w:line="82" w:lineRule="exact"/>
        <w:rPr>
          <w:sz w:val="20"/>
          <w:szCs w:val="20"/>
          <w:color w:val="auto"/>
        </w:rPr>
      </w:pPr>
    </w:p>
    <w:p>
      <w:pPr>
        <w:ind w:left="640" w:right="879"/>
        <w:spacing w:after="0" w:line="276" w:lineRule="auto"/>
        <w:rPr>
          <w:sz w:val="20"/>
          <w:szCs w:val="20"/>
          <w:color w:val="auto"/>
        </w:rPr>
      </w:pPr>
      <w:r>
        <w:rPr>
          <w:rFonts w:ascii="Arial" w:cs="Arial" w:eastAsia="Arial" w:hAnsi="Arial"/>
          <w:sz w:val="12"/>
          <w:szCs w:val="12"/>
          <w:color w:val="auto"/>
        </w:rPr>
        <w:t>Larimar Therapeutics, Inc. (Nasdaq: LRMR) is a clinical-stage biotechnology company focused on developing treatments for complex rare diseases. Larimar’s lead compound, CTI-1601, is currently being evaluated in a Phase 1 clinical program in the U.S.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699"/>
        <w:spacing w:after="0" w:line="270" w:lineRule="auto"/>
        <w:rPr>
          <w:sz w:val="20"/>
          <w:szCs w:val="20"/>
          <w:color w:val="auto"/>
        </w:rPr>
      </w:pPr>
      <w:r>
        <w:rPr>
          <w:rFonts w:ascii="Arial" w:cs="Arial" w:eastAsia="Arial" w:hAnsi="Arial"/>
          <w:sz w:val="12"/>
          <w:szCs w:val="12"/>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expectations regarding its ability to resolve the clinical hold imposed by the FDA related to CTI-1601, Larimar’s ability to develop and commercialize CTI-1601 and other planned product candidates, Larimar’s planned research and development efforts, including Larimar’s expectation that it will be able to initiate its Jive open-label extension and pediatric multiple ascending dose trials in the first half of 2022, and other matters regarding Larimar’s business strategies, use of capital, results of operations and financial position, and plans and objectives for future operations.</w:t>
      </w:r>
    </w:p>
    <w:p>
      <w:pPr>
        <w:sectPr>
          <w:pgSz w:w="11900" w:h="16838" w:orient="portrait"/>
          <w:cols w:equalWidth="0" w:num="1">
            <w:col w:w="9019"/>
          </w:cols>
          <w:pgMar w:left="1440" w:top="235" w:right="1440" w:bottom="1440" w:gutter="0" w:footer="0" w:header="0"/>
        </w:sectPr>
      </w:pPr>
    </w:p>
    <w:bookmarkStart w:id="5" w:name="page6"/>
    <w:bookmarkEnd w:id="5"/>
    <w:p>
      <w:pPr>
        <w:ind w:left="640" w:right="699"/>
        <w:spacing w:after="0" w:line="28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the timing and outcome of Larimar’s planned interactions with the FDA concerning the clinical hold on CTI-1601,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ability to raise additional capital and general economic conditions; Larimar’s ability and the ability of third-party manufacturers Larimar engages,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w:t>
      </w:r>
    </w:p>
    <w:p>
      <w:pPr>
        <w:spacing w:after="0" w:line="7" w:lineRule="exact"/>
        <w:rPr>
          <w:sz w:val="20"/>
          <w:szCs w:val="20"/>
          <w:color w:val="auto"/>
        </w:rPr>
      </w:pPr>
    </w:p>
    <w:p>
      <w:pPr>
        <w:ind w:left="640" w:right="699"/>
        <w:spacing w:after="0" w:line="244" w:lineRule="auto"/>
        <w:rPr>
          <w:sz w:val="20"/>
          <w:szCs w:val="20"/>
          <w:color w:val="auto"/>
        </w:rPr>
      </w:pPr>
      <w:r>
        <w:rPr>
          <w:rFonts w:ascii="Arial" w:cs="Arial" w:eastAsia="Arial" w:hAnsi="Arial"/>
          <w:sz w:val="13"/>
          <w:szCs w:val="13"/>
          <w:color w:val="auto"/>
        </w:rPr>
        <w:t>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Investor Contact:</w:t>
            </w:r>
          </w:p>
        </w:tc>
        <w:tc>
          <w:tcPr>
            <w:tcW w:w="1260" w:type="dxa"/>
            <w:vAlign w:val="bottom"/>
          </w:tcPr>
          <w:p>
            <w:pPr>
              <w:spacing w:after="0"/>
              <w:rPr>
                <w:sz w:val="20"/>
                <w:szCs w:val="20"/>
                <w:color w:val="auto"/>
              </w:rPr>
            </w:pPr>
            <w:r>
              <w:rPr>
                <w:rFonts w:ascii="Arial" w:cs="Arial" w:eastAsia="Arial" w:hAnsi="Arial"/>
                <w:sz w:val="13"/>
                <w:szCs w:val="13"/>
                <w:b w:val="1"/>
                <w:bCs w:val="1"/>
                <w:color w:val="auto"/>
              </w:rPr>
              <w:t>Company Contact:</w:t>
            </w: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Joyce Allaire</w:t>
            </w:r>
          </w:p>
        </w:tc>
        <w:tc>
          <w:tcPr>
            <w:tcW w:w="1260" w:type="dxa"/>
            <w:vAlign w:val="bottom"/>
          </w:tcPr>
          <w:p>
            <w:pPr>
              <w:spacing w:after="0"/>
              <w:rPr>
                <w:sz w:val="20"/>
                <w:szCs w:val="20"/>
                <w:color w:val="auto"/>
              </w:rPr>
            </w:pPr>
            <w:r>
              <w:rPr>
                <w:rFonts w:ascii="Arial" w:cs="Arial" w:eastAsia="Arial" w:hAnsi="Arial"/>
                <w:sz w:val="13"/>
                <w:szCs w:val="13"/>
                <w:color w:val="auto"/>
              </w:rPr>
              <w:t>Michael Celano</w:t>
            </w: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LifeSci Advisors</w:t>
            </w:r>
          </w:p>
        </w:tc>
        <w:tc>
          <w:tcPr>
            <w:tcW w:w="1260" w:type="dxa"/>
            <w:vAlign w:val="bottom"/>
          </w:tcPr>
          <w:p>
            <w:pPr>
              <w:spacing w:after="0"/>
              <w:rPr>
                <w:sz w:val="20"/>
                <w:szCs w:val="20"/>
                <w:color w:val="auto"/>
              </w:rPr>
            </w:pPr>
            <w:r>
              <w:rPr>
                <w:rFonts w:ascii="Arial" w:cs="Arial" w:eastAsia="Arial" w:hAnsi="Arial"/>
                <w:sz w:val="13"/>
                <w:szCs w:val="13"/>
                <w:color w:val="auto"/>
                <w:w w:val="96"/>
              </w:rPr>
              <w:t>Chief Financial Officer</w:t>
            </w:r>
          </w:p>
        </w:tc>
      </w:tr>
      <w:tr>
        <w:trPr>
          <w:trHeight w:val="132"/>
        </w:trPr>
        <w:tc>
          <w:tcPr>
            <w:tcW w:w="4020" w:type="dxa"/>
            <w:vAlign w:val="bottom"/>
            <w:gridSpan w:val="2"/>
          </w:tcPr>
          <w:p>
            <w:pPr>
              <w:spacing w:after="0" w:line="132" w:lineRule="exact"/>
              <w:rPr>
                <w:sz w:val="20"/>
                <w:szCs w:val="20"/>
                <w:color w:val="auto"/>
              </w:rPr>
            </w:pPr>
            <w:r>
              <w:rPr>
                <w:rFonts w:ascii="Arial" w:cs="Arial" w:eastAsia="Arial" w:hAnsi="Arial"/>
                <w:sz w:val="13"/>
                <w:szCs w:val="13"/>
                <w:color w:val="auto"/>
              </w:rPr>
              <w:t>jallaire@lifesciadvisors.com</w:t>
            </w:r>
          </w:p>
        </w:tc>
        <w:tc>
          <w:tcPr>
            <w:tcW w:w="1260" w:type="dxa"/>
            <w:vAlign w:val="bottom"/>
          </w:tcPr>
          <w:p>
            <w:pPr>
              <w:spacing w:after="0" w:line="132" w:lineRule="exact"/>
              <w:rPr>
                <w:sz w:val="20"/>
                <w:szCs w:val="20"/>
                <w:color w:val="auto"/>
              </w:rPr>
            </w:pPr>
            <w:r>
              <w:rPr>
                <w:rFonts w:ascii="Arial" w:cs="Arial" w:eastAsia="Arial" w:hAnsi="Arial"/>
                <w:sz w:val="13"/>
                <w:szCs w:val="13"/>
                <w:color w:val="auto"/>
                <w:w w:val="88"/>
              </w:rPr>
              <w:t>mcelano@larimartx.com</w:t>
            </w:r>
          </w:p>
        </w:tc>
      </w:tr>
      <w:tr>
        <w:trPr>
          <w:trHeight w:val="160"/>
        </w:trPr>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(212) 915-2569</w:t>
            </w:r>
          </w:p>
        </w:tc>
        <w:tc>
          <w:tcPr>
            <w:tcW w:w="2580" w:type="dxa"/>
            <w:vAlign w:val="bottom"/>
          </w:tcPr>
          <w:p>
            <w:pPr>
              <w:spacing w:after="0"/>
              <w:rPr>
                <w:sz w:val="13"/>
                <w:szCs w:val="13"/>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(484) 414-2715</w:t>
            </w:r>
          </w:p>
        </w:tc>
      </w:tr>
    </w:tbl>
    <w:p>
      <w:pPr>
        <w:sectPr>
          <w:pgSz w:w="11900" w:h="16838" w:orient="portrait"/>
          <w:cols w:equalWidth="0" w:num="1">
            <w:col w:w="9019"/>
          </w:cols>
          <w:pgMar w:left="1440" w:top="235"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Larimar Therapeutics,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(unaudited)</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r>
      <w:tr>
        <w:trPr>
          <w:trHeight w:val="119"/>
        </w:trPr>
        <w:tc>
          <w:tcPr>
            <w:tcW w:w="6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r>
      <w:tr>
        <w:trPr>
          <w:trHeight w:val="132"/>
        </w:trPr>
        <w:tc>
          <w:tcPr>
            <w:tcW w:w="616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160" w:type="dxa"/>
            <w:vAlign w:val="bottom"/>
          </w:tcPr>
          <w:p>
            <w:pPr>
              <w:spacing w:after="0"/>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71,525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68,148</w:t>
            </w:r>
          </w:p>
        </w:tc>
      </w:tr>
      <w:tr>
        <w:trPr>
          <w:trHeight w:val="152"/>
        </w:trPr>
        <w:tc>
          <w:tcPr>
            <w:tcW w:w="6160" w:type="dxa"/>
            <w:vAlign w:val="bottom"/>
          </w:tcPr>
          <w:p>
            <w:pPr>
              <w:ind w:left="500"/>
              <w:spacing w:after="0"/>
              <w:rPr>
                <w:sz w:val="20"/>
                <w:szCs w:val="20"/>
                <w:color w:val="auto"/>
              </w:rPr>
            </w:pPr>
            <w:r>
              <w:rPr>
                <w:rFonts w:ascii="Arial" w:cs="Arial" w:eastAsia="Arial" w:hAnsi="Arial"/>
                <w:sz w:val="13"/>
                <w:szCs w:val="13"/>
                <w:color w:val="auto"/>
              </w:rPr>
              <w:t>Marketable debt securities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6,499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24,490</w:t>
            </w:r>
          </w:p>
        </w:tc>
      </w:tr>
      <w:tr>
        <w:trPr>
          <w:trHeight w:val="152"/>
        </w:trPr>
        <w:tc>
          <w:tcPr>
            <w:tcW w:w="61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3,229</w:t>
            </w:r>
          </w:p>
        </w:tc>
        <w:tc>
          <w:tcPr>
            <w:tcW w:w="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5,314</w:t>
            </w:r>
          </w:p>
        </w:tc>
        <w:tc>
          <w:tcPr>
            <w:tcW w:w="80" w:type="dxa"/>
            <w:vAlign w:val="bottom"/>
            <w:shd w:val="clear" w:color="auto" w:fill="CCEEFF"/>
          </w:tcPr>
          <w:p>
            <w:pPr>
              <w:spacing w:after="0"/>
              <w:rPr>
                <w:sz w:val="13"/>
                <w:szCs w:val="13"/>
                <w:color w:val="auto"/>
              </w:rPr>
            </w:pPr>
          </w:p>
        </w:tc>
      </w:tr>
      <w:tr>
        <w:trPr>
          <w:trHeight w:val="151"/>
        </w:trPr>
        <w:tc>
          <w:tcPr>
            <w:tcW w:w="6160" w:type="dxa"/>
            <w:vAlign w:val="bottom"/>
          </w:tcPr>
          <w:p>
            <w:pPr>
              <w:ind w:left="760"/>
              <w:spacing w:after="0"/>
              <w:rPr>
                <w:sz w:val="20"/>
                <w:szCs w:val="20"/>
                <w:color w:val="auto"/>
              </w:rPr>
            </w:pPr>
            <w:r>
              <w:rPr>
                <w:rFonts w:ascii="Arial" w:cs="Arial" w:eastAsia="Arial" w:hAnsi="Arial"/>
                <w:sz w:val="13"/>
                <w:szCs w:val="13"/>
                <w:color w:val="auto"/>
              </w:rPr>
              <w:t>Total current assets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81,253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97,952</w:t>
            </w:r>
          </w:p>
        </w:tc>
      </w:tr>
      <w:tr>
        <w:trPr>
          <w:trHeight w:val="152"/>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1,040</w:t>
            </w:r>
          </w:p>
        </w:tc>
      </w:tr>
      <w:tr>
        <w:trPr>
          <w:trHeight w:val="152"/>
        </w:trPr>
        <w:tc>
          <w:tcPr>
            <w:tcW w:w="616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3,540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3,936</w:t>
            </w:r>
          </w:p>
        </w:tc>
      </w:tr>
      <w:tr>
        <w:trPr>
          <w:trHeight w:val="152"/>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1,339</w:t>
            </w:r>
          </w:p>
        </w:tc>
      </w:tr>
      <w:tr>
        <w:trPr>
          <w:trHeight w:val="152"/>
        </w:trPr>
        <w:tc>
          <w:tcPr>
            <w:tcW w:w="616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80" w:type="dxa"/>
            <w:vAlign w:val="bottom"/>
          </w:tcPr>
          <w:p>
            <w:pPr>
              <w:spacing w:after="0"/>
              <w:rPr>
                <w:sz w:val="13"/>
                <w:szCs w:val="13"/>
                <w:color w:val="auto"/>
              </w:rPr>
            </w:pPr>
          </w:p>
        </w:tc>
      </w:tr>
      <w:tr>
        <w:trPr>
          <w:trHeight w:val="159"/>
        </w:trPr>
        <w:tc>
          <w:tcPr>
            <w:tcW w:w="61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87,938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104,686</w:t>
            </w:r>
          </w:p>
        </w:tc>
      </w:tr>
      <w:tr>
        <w:trPr>
          <w:trHeight w:val="161"/>
        </w:trPr>
        <w:tc>
          <w:tcPr>
            <w:tcW w:w="616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6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1,766</w:t>
            </w:r>
          </w:p>
        </w:tc>
        <w:tc>
          <w:tcPr>
            <w:tcW w:w="2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2,634</w:t>
            </w:r>
          </w:p>
        </w:tc>
      </w:tr>
      <w:tr>
        <w:trPr>
          <w:trHeight w:val="152"/>
        </w:trPr>
        <w:tc>
          <w:tcPr>
            <w:tcW w:w="61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Accrued expenses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5,843</w:t>
            </w:r>
          </w:p>
        </w:tc>
      </w:tr>
      <w:tr>
        <w:trPr>
          <w:trHeight w:val="152"/>
        </w:trPr>
        <w:tc>
          <w:tcPr>
            <w:tcW w:w="6160" w:type="dxa"/>
            <w:vAlign w:val="bottom"/>
          </w:tcPr>
          <w:p>
            <w:pPr>
              <w:ind w:left="500"/>
              <w:spacing w:after="0"/>
              <w:rPr>
                <w:sz w:val="20"/>
                <w:szCs w:val="20"/>
                <w:color w:val="auto"/>
              </w:rPr>
            </w:pPr>
            <w:r>
              <w:rPr>
                <w:rFonts w:ascii="Arial" w:cs="Arial" w:eastAsia="Arial" w:hAnsi="Arial"/>
                <w:sz w:val="13"/>
                <w:szCs w:val="13"/>
                <w:color w:val="auto"/>
              </w:rPr>
              <w:t>Operating lease liabilities, current</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80" w:type="dxa"/>
            <w:vAlign w:val="bottom"/>
          </w:tcPr>
          <w:p>
            <w:pPr>
              <w:spacing w:after="0"/>
              <w:rPr>
                <w:sz w:val="13"/>
                <w:szCs w:val="13"/>
                <w:color w:val="auto"/>
              </w:rPr>
            </w:pPr>
          </w:p>
        </w:tc>
      </w:tr>
      <w:tr>
        <w:trPr>
          <w:trHeight w:val="151"/>
        </w:trPr>
        <w:tc>
          <w:tcPr>
            <w:tcW w:w="6160" w:type="dxa"/>
            <w:vAlign w:val="bottom"/>
            <w:shd w:val="clear" w:color="auto" w:fill="CCEEFF"/>
          </w:tcPr>
          <w:p>
            <w:pPr>
              <w:ind w:left="760"/>
              <w:spacing w:after="0"/>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8,992</w:t>
            </w:r>
          </w:p>
        </w:tc>
      </w:tr>
      <w:tr>
        <w:trPr>
          <w:trHeight w:val="152"/>
        </w:trPr>
        <w:tc>
          <w:tcPr>
            <w:tcW w:w="6160" w:type="dxa"/>
            <w:vAlign w:val="bottom"/>
          </w:tcPr>
          <w:p>
            <w:pPr>
              <w:ind w:left="500"/>
              <w:spacing w:after="0"/>
              <w:rPr>
                <w:sz w:val="20"/>
                <w:szCs w:val="20"/>
                <w:color w:val="auto"/>
              </w:rPr>
            </w:pPr>
            <w:r>
              <w:rPr>
                <w:rFonts w:ascii="Arial" w:cs="Arial" w:eastAsia="Arial" w:hAnsi="Arial"/>
                <w:sz w:val="13"/>
                <w:szCs w:val="13"/>
                <w:color w:val="auto"/>
              </w:rPr>
              <w:t>Operating lease liabilities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5,565</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6,002</w:t>
            </w:r>
          </w:p>
        </w:tc>
        <w:tc>
          <w:tcPr>
            <w:tcW w:w="80" w:type="dxa"/>
            <w:vAlign w:val="bottom"/>
          </w:tcPr>
          <w:p>
            <w:pPr>
              <w:spacing w:after="0"/>
              <w:rPr>
                <w:sz w:val="13"/>
                <w:szCs w:val="13"/>
                <w:color w:val="auto"/>
              </w:rPr>
            </w:pPr>
          </w:p>
        </w:tc>
      </w:tr>
      <w:tr>
        <w:trPr>
          <w:trHeight w:val="151"/>
        </w:trPr>
        <w:tc>
          <w:tcPr>
            <w:tcW w:w="6160" w:type="dxa"/>
            <w:vAlign w:val="bottom"/>
            <w:shd w:val="clear" w:color="auto" w:fill="CCEEFF"/>
          </w:tcPr>
          <w:p>
            <w:pPr>
              <w:ind w:left="76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14,994</w:t>
            </w:r>
          </w:p>
        </w:tc>
      </w:tr>
      <w:tr>
        <w:trPr>
          <w:trHeight w:val="151"/>
        </w:trPr>
        <w:tc>
          <w:tcPr>
            <w:tcW w:w="6160" w:type="dxa"/>
            <w:vAlign w:val="bottom"/>
          </w:tcPr>
          <w:p>
            <w:pPr>
              <w:spacing w:after="0"/>
              <w:rPr>
                <w:sz w:val="20"/>
                <w:szCs w:val="20"/>
                <w:color w:val="auto"/>
              </w:rPr>
            </w:pPr>
            <w:r>
              <w:rPr>
                <w:rFonts w:ascii="Arial" w:cs="Arial" w:eastAsia="Arial" w:hAnsi="Arial"/>
                <w:sz w:val="13"/>
                <w:szCs w:val="13"/>
                <w:color w:val="auto"/>
              </w:rPr>
              <w:t>Commitments and contingencies (See Note 9)</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6160" w:type="dxa"/>
            <w:vAlign w:val="bottom"/>
          </w:tcPr>
          <w:p>
            <w:pPr>
              <w:ind w:left="760"/>
              <w:spacing w:after="0" w:line="143" w:lineRule="exact"/>
              <w:rPr>
                <w:sz w:val="20"/>
                <w:szCs w:val="20"/>
                <w:color w:val="auto"/>
              </w:rPr>
            </w:pPr>
            <w:r>
              <w:rPr>
                <w:rFonts w:ascii="Arial" w:cs="Arial" w:eastAsia="Arial" w:hAnsi="Arial"/>
                <w:sz w:val="13"/>
                <w:szCs w:val="13"/>
                <w:color w:val="auto"/>
                <w:w w:val="93"/>
              </w:rPr>
              <w:t>Preferred stock; $0.001 par value per share; 5,000,000 shares authorized as of September 30, 2021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6160" w:type="dxa"/>
            <w:vAlign w:val="bottom"/>
          </w:tcPr>
          <w:p>
            <w:pPr>
              <w:ind w:left="880"/>
              <w:spacing w:after="0"/>
              <w:rPr>
                <w:sz w:val="20"/>
                <w:szCs w:val="20"/>
                <w:color w:val="auto"/>
              </w:rPr>
            </w:pPr>
            <w:r>
              <w:rPr>
                <w:rFonts w:ascii="Arial" w:cs="Arial" w:eastAsia="Arial" w:hAnsi="Arial"/>
                <w:sz w:val="13"/>
                <w:szCs w:val="13"/>
                <w:color w:val="auto"/>
              </w:rPr>
              <w:t>and December 31, 2020; no shares issued and outstanding as of September 30, 2021 and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6160" w:type="dxa"/>
            <w:vAlign w:val="bottom"/>
          </w:tcPr>
          <w:p>
            <w:pPr>
              <w:ind w:left="880"/>
              <w:spacing w:after="0"/>
              <w:rPr>
                <w:sz w:val="20"/>
                <w:szCs w:val="20"/>
                <w:color w:val="auto"/>
              </w:rPr>
            </w:pPr>
            <w:r>
              <w:rPr>
                <w:rFonts w:ascii="Arial" w:cs="Arial" w:eastAsia="Arial" w:hAnsi="Arial"/>
                <w:sz w:val="13"/>
                <w:szCs w:val="13"/>
                <w:color w:val="auto"/>
              </w:rPr>
              <w:t>December 31, 2020</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3"/>
        </w:trPr>
        <w:tc>
          <w:tcPr>
            <w:tcW w:w="6160" w:type="dxa"/>
            <w:vAlign w:val="bottom"/>
            <w:shd w:val="clear" w:color="auto" w:fill="CCEEFF"/>
          </w:tcPr>
          <w:p>
            <w:pPr>
              <w:ind w:left="760"/>
              <w:spacing w:after="0" w:line="143" w:lineRule="exact"/>
              <w:rPr>
                <w:sz w:val="20"/>
                <w:szCs w:val="20"/>
                <w:color w:val="auto"/>
              </w:rPr>
            </w:pPr>
            <w:r>
              <w:rPr>
                <w:rFonts w:ascii="Arial" w:cs="Arial" w:eastAsia="Arial" w:hAnsi="Arial"/>
                <w:sz w:val="13"/>
                <w:szCs w:val="13"/>
                <w:color w:val="auto"/>
                <w:w w:val="91"/>
              </w:rPr>
              <w:t>Common stock, $0.001 par value per share; 115,000,000 shares authorized as of September 30, 2021</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1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and December 31, 2020; 17,710,450 and 15,367,730 shares issued and outstanding as of</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6160" w:type="dxa"/>
            <w:vAlign w:val="bottom"/>
            <w:shd w:val="clear" w:color="auto" w:fill="CCEEFF"/>
          </w:tcPr>
          <w:p>
            <w:pPr>
              <w:ind w:left="880"/>
              <w:spacing w:after="0"/>
              <w:rPr>
                <w:sz w:val="20"/>
                <w:szCs w:val="20"/>
                <w:color w:val="auto"/>
              </w:rPr>
            </w:pPr>
            <w:r>
              <w:rPr>
                <w:rFonts w:ascii="Arial" w:cs="Arial" w:eastAsia="Arial" w:hAnsi="Arial"/>
                <w:sz w:val="13"/>
                <w:szCs w:val="13"/>
                <w:color w:val="auto"/>
              </w:rPr>
              <w:t>September 30, 2021 and December 31, 2020, respectively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r>
      <w:tr>
        <w:trPr>
          <w:trHeight w:val="152"/>
        </w:trPr>
        <w:tc>
          <w:tcPr>
            <w:tcW w:w="61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179,165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155,290</w:t>
            </w:r>
          </w:p>
        </w:tc>
      </w:tr>
      <w:tr>
        <w:trPr>
          <w:trHeight w:val="152"/>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(107,116)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(65,614)</w:t>
            </w:r>
          </w:p>
        </w:tc>
      </w:tr>
      <w:tr>
        <w:trPr>
          <w:trHeight w:val="152"/>
        </w:trPr>
        <w:tc>
          <w:tcPr>
            <w:tcW w:w="616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r>
      <w:tr>
        <w:trPr>
          <w:trHeight w:val="151"/>
        </w:trPr>
        <w:tc>
          <w:tcPr>
            <w:tcW w:w="6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stockholders’ equity</w:t>
            </w: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72,067</w:t>
            </w:r>
          </w:p>
        </w:tc>
        <w:tc>
          <w:tcPr>
            <w:tcW w:w="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89,692</w:t>
            </w:r>
          </w:p>
        </w:tc>
        <w:tc>
          <w:tcPr>
            <w:tcW w:w="80" w:type="dxa"/>
            <w:vAlign w:val="bottom"/>
            <w:shd w:val="clear" w:color="auto" w:fill="CCEEFF"/>
          </w:tcPr>
          <w:p>
            <w:pPr>
              <w:spacing w:after="0"/>
              <w:rPr>
                <w:sz w:val="13"/>
                <w:szCs w:val="13"/>
                <w:color w:val="auto"/>
              </w:rPr>
            </w:pPr>
          </w:p>
        </w:tc>
      </w:tr>
      <w:tr>
        <w:trPr>
          <w:trHeight w:val="159"/>
        </w:trPr>
        <w:tc>
          <w:tcPr>
            <w:tcW w:w="6160" w:type="dxa"/>
            <w:vAlign w:val="bottom"/>
          </w:tcPr>
          <w:p>
            <w:pPr>
              <w:ind w:left="260"/>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87,938</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104,686</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03225"/>
                    </a:xfrm>
                    <a:prstGeom prst="rect">
                      <a:avLst/>
                    </a:prstGeom>
                    <a:noFill/>
                  </pic:spPr>
                </pic:pic>
              </a:graphicData>
            </a:graphic>
          </wp:anchor>
        </w:drawing>
        <w:t>Larimar Therapeutics,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Statements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thousands, except share and per share data)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(unaudited)</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0"/>
                <w:szCs w:val="10"/>
                <w:b w:val="1"/>
                <w:bCs w:val="1"/>
                <w:color w:val="auto"/>
              </w:rPr>
              <w:t>Nine Months Ended</w:t>
            </w:r>
          </w:p>
        </w:tc>
        <w:tc>
          <w:tcPr>
            <w:tcW w:w="60" w:type="dxa"/>
            <w:vAlign w:val="bottom"/>
          </w:tcPr>
          <w:p>
            <w:pPr>
              <w:spacing w:after="0"/>
              <w:rPr>
                <w:sz w:val="10"/>
                <w:szCs w:val="10"/>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gridSpan w:val="5"/>
          </w:tcPr>
          <w:p>
            <w:pPr>
              <w:jc w:val="right"/>
              <w:ind w:right="840"/>
              <w:spacing w:after="0"/>
              <w:rPr>
                <w:sz w:val="20"/>
                <w:szCs w:val="20"/>
                <w:color w:val="auto"/>
              </w:rPr>
            </w:pPr>
            <w:r>
              <w:rPr>
                <w:rFonts w:ascii="Arial" w:cs="Arial" w:eastAsia="Arial" w:hAnsi="Arial"/>
                <w:sz w:val="10"/>
                <w:szCs w:val="10"/>
                <w:b w:val="1"/>
                <w:bCs w:val="1"/>
                <w:color w:val="auto"/>
              </w:rPr>
              <w:t>September 30,</w:t>
            </w:r>
          </w:p>
        </w:tc>
        <w:tc>
          <w:tcPr>
            <w:tcW w:w="60" w:type="dxa"/>
            <w:vAlign w:val="bottom"/>
          </w:tcPr>
          <w:p>
            <w:pPr>
              <w:spacing w:after="0"/>
              <w:rPr>
                <w:sz w:val="10"/>
                <w:szCs w:val="10"/>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370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60"/>
              <w:spacing w:after="0" w:line="94"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58"/>
              <w:spacing w:after="0" w:line="94"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40"/>
              <w:spacing w:after="0" w:line="94" w:lineRule="exact"/>
              <w:rPr>
                <w:sz w:val="20"/>
                <w:szCs w:val="20"/>
                <w:color w:val="auto"/>
              </w:rPr>
            </w:pPr>
            <w:r>
              <w:rPr>
                <w:rFonts w:ascii="Arial" w:cs="Arial" w:eastAsia="Arial" w:hAnsi="Arial"/>
                <w:sz w:val="10"/>
                <w:szCs w:val="10"/>
                <w:b w:val="1"/>
                <w:bCs w:val="1"/>
                <w:color w:val="auto"/>
              </w:rPr>
              <w:t>2021</w:t>
            </w:r>
          </w:p>
        </w:tc>
        <w:tc>
          <w:tcPr>
            <w:tcW w:w="3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58"/>
              <w:spacing w:after="0" w:line="9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70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4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00" w:type="dxa"/>
            <w:vAlign w:val="bottom"/>
          </w:tcPr>
          <w:p>
            <w:pPr>
              <w:ind w:left="260"/>
              <w:spacing w:after="0"/>
              <w:rPr>
                <w:sz w:val="20"/>
                <w:szCs w:val="20"/>
                <w:color w:val="auto"/>
              </w:rPr>
            </w:pPr>
            <w:r>
              <w:rPr>
                <w:rFonts w:ascii="Arial" w:cs="Arial" w:eastAsia="Arial" w:hAnsi="Arial"/>
                <w:sz w:val="13"/>
                <w:szCs w:val="13"/>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14,028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6,919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32,104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20,833</w:t>
            </w:r>
          </w:p>
        </w:tc>
        <w:tc>
          <w:tcPr>
            <w:tcW w:w="0" w:type="dxa"/>
            <w:vAlign w:val="bottom"/>
          </w:tcPr>
          <w:p>
            <w:pPr>
              <w:spacing w:after="0"/>
              <w:rPr>
                <w:sz w:val="1"/>
                <w:szCs w:val="1"/>
                <w:color w:val="auto"/>
              </w:rPr>
            </w:pPr>
          </w:p>
        </w:tc>
      </w:tr>
      <w:tr>
        <w:trPr>
          <w:trHeight w:val="152"/>
        </w:trPr>
        <w:tc>
          <w:tcPr>
            <w:tcW w:w="37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4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3,416</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9,275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7,575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500"/>
              <w:spacing w:after="0"/>
              <w:rPr>
                <w:sz w:val="20"/>
                <w:szCs w:val="20"/>
                <w:color w:val="auto"/>
              </w:rPr>
            </w:pPr>
            <w:r>
              <w:rPr>
                <w:rFonts w:ascii="Arial" w:cs="Arial" w:eastAsia="Arial" w:hAnsi="Arial"/>
                <w:sz w:val="13"/>
                <w:szCs w:val="13"/>
                <w:color w:val="auto"/>
              </w:rPr>
              <w:t>Total operating expenses</w:t>
            </w:r>
          </w:p>
        </w:tc>
        <w:tc>
          <w:tcPr>
            <w:tcW w:w="4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16,730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10,335</w:t>
            </w:r>
          </w:p>
        </w:tc>
        <w:tc>
          <w:tcPr>
            <w:tcW w:w="6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41,379</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28,408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48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(16,730)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(10,335)</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(41,379)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(28,408)</w:t>
            </w:r>
          </w:p>
        </w:tc>
        <w:tc>
          <w:tcPr>
            <w:tcW w:w="0" w:type="dxa"/>
            <w:vAlign w:val="bottom"/>
          </w:tcPr>
          <w:p>
            <w:pPr>
              <w:spacing w:after="0"/>
              <w:rPr>
                <w:sz w:val="1"/>
                <w:szCs w:val="1"/>
                <w:color w:val="auto"/>
              </w:rPr>
            </w:pPr>
          </w:p>
        </w:tc>
      </w:tr>
      <w:tr>
        <w:trPr>
          <w:trHeight w:val="152"/>
        </w:trPr>
        <w:tc>
          <w:tcPr>
            <w:tcW w:w="3700" w:type="dxa"/>
            <w:vAlign w:val="bottom"/>
          </w:tcPr>
          <w:p>
            <w:pPr>
              <w:ind w:left="260"/>
              <w:spacing w:after="0"/>
              <w:rPr>
                <w:sz w:val="20"/>
                <w:szCs w:val="20"/>
                <w:color w:val="auto"/>
              </w:rPr>
            </w:pPr>
            <w:r>
              <w:rPr>
                <w:rFonts w:ascii="Arial" w:cs="Arial" w:eastAsia="Arial" w:hAnsi="Arial"/>
                <w:sz w:val="13"/>
                <w:szCs w:val="13"/>
                <w:color w:val="auto"/>
              </w:rPr>
              <w:t>Other income (expense), net</w:t>
            </w:r>
          </w:p>
        </w:tc>
        <w:tc>
          <w:tcPr>
            <w:tcW w:w="4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(123)</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(16,805)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(10,274)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(41,502)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(28,278)</w:t>
            </w:r>
          </w:p>
        </w:tc>
        <w:tc>
          <w:tcPr>
            <w:tcW w:w="0" w:type="dxa"/>
            <w:vAlign w:val="bottom"/>
          </w:tcPr>
          <w:p>
            <w:pPr>
              <w:spacing w:after="0"/>
              <w:rPr>
                <w:sz w:val="1"/>
                <w:szCs w:val="1"/>
                <w:color w:val="auto"/>
              </w:rPr>
            </w:pPr>
          </w:p>
        </w:tc>
      </w:tr>
      <w:tr>
        <w:trPr>
          <w:trHeight w:val="28"/>
        </w:trPr>
        <w:tc>
          <w:tcPr>
            <w:tcW w:w="3700" w:type="dxa"/>
            <w:vAlign w:val="bottom"/>
            <w:vMerge w:val="restart"/>
          </w:tcPr>
          <w:p>
            <w:pPr>
              <w:spacing w:after="0"/>
              <w:rPr>
                <w:sz w:val="20"/>
                <w:szCs w:val="20"/>
                <w:color w:val="auto"/>
              </w:rPr>
            </w:pPr>
            <w:r>
              <w:rPr>
                <w:rFonts w:ascii="Arial" w:cs="Arial" w:eastAsia="Arial" w:hAnsi="Arial"/>
                <w:sz w:val="13"/>
                <w:szCs w:val="13"/>
                <w:color w:val="auto"/>
              </w:rPr>
              <w:t>Net loss per share, basic and diluted</w:t>
            </w:r>
          </w:p>
        </w:tc>
        <w:tc>
          <w:tcPr>
            <w:tcW w:w="4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700" w:type="dxa"/>
            <w:vAlign w:val="bottom"/>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(0.92)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(0.64)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(2.48)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28"/>
        </w:trPr>
        <w:tc>
          <w:tcPr>
            <w:tcW w:w="37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w w:val="97"/>
              </w:rPr>
              <w:t>Weighted average common shares outstanding, basic and diluted</w:t>
            </w:r>
          </w:p>
        </w:tc>
        <w:tc>
          <w:tcPr>
            <w:tcW w:w="4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18,287,924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82"/>
              </w:rPr>
              <w:t>15,984,609</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82"/>
              </w:rPr>
              <w:t>16,768,458</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10,505,826</w:t>
            </w:r>
          </w:p>
        </w:tc>
        <w:tc>
          <w:tcPr>
            <w:tcW w:w="0" w:type="dxa"/>
            <w:vAlign w:val="bottom"/>
          </w:tcPr>
          <w:p>
            <w:pPr>
              <w:spacing w:after="0"/>
              <w:rPr>
                <w:sz w:val="1"/>
                <w:szCs w:val="1"/>
                <w:color w:val="auto"/>
              </w:rPr>
            </w:pPr>
          </w:p>
        </w:tc>
      </w:tr>
      <w:tr>
        <w:trPr>
          <w:trHeight w:val="28"/>
        </w:trPr>
        <w:tc>
          <w:tcPr>
            <w:tcW w:w="37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932"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5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5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64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64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2021-11-12T08:59:23Z</dcterms:created>
  <dcterms:modified xsi:type="dcterms:W3CDTF">2021-11-12T08:59:23Z</dcterms:modified>
</cp:coreProperties>
</file>