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4443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437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LEFF JONATHAN 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20"/>
        <w:spacing w:after="0" w:line="328"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05/13/2025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20" w:type="dxa"/>
            <w:vAlign w:val="bottom"/>
            <w:gridSpan w:val="7"/>
          </w:tcPr>
          <w:p>
            <w:pPr>
              <w:jc w:val="center"/>
              <w:ind w:right="84"/>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9"/>
          </w:tcPr>
          <w:p>
            <w:pPr>
              <w:ind w:left="36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BALA</w:t>
            </w:r>
          </w:p>
        </w:tc>
        <w:tc>
          <w:tcPr>
            <w:tcW w:w="64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19004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CYNWYD</w:t>
            </w:r>
          </w:p>
        </w:tc>
        <w:tc>
          <w:tcPr>
            <w:tcW w:w="118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7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4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1.875</w:t>
            </w:r>
          </w:p>
        </w:tc>
        <w:tc>
          <w:tcPr>
            <w:tcW w:w="120" w:type="dxa"/>
            <w:vAlign w:val="bottom"/>
          </w:tcPr>
          <w:p>
            <w:pPr>
              <w:spacing w:after="0"/>
              <w:rPr>
                <w:sz w:val="17"/>
                <w:szCs w:val="17"/>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05/13/2025</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05/13/2035</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0000FF"/>
              </w:rPr>
              <w:t>19,000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partner in Deerfield Management Company, L.P., has no pecuniary interest in the securities reported herein and disclaims beneficial ownership of such securities. The Reporting Person holds the options for the benefit, and at the direction, of Deerfield Management Company, L.P.</w:t>
      </w:r>
    </w:p>
    <w:p>
      <w:pPr>
        <w:spacing w:after="0" w:line="21"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13, 2026 or (b) the date of the Company's next annual meeting of stockholders, in each case subject to the Reporting Person's continued service on the Board of Directors of the Company.</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Jennifer Johansson,</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05/14/2025</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Attorney-in-fact</w:t>
            </w:r>
          </w:p>
        </w:tc>
        <w:tc>
          <w:tcPr>
            <w:tcW w:w="9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6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524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2025-05-14T15:43:48Z</dcterms:created>
  <dcterms:modified xsi:type="dcterms:W3CDTF">2025-05-14T15:43:48Z</dcterms:modified>
</cp:coreProperties>
</file>