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Larimar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517125100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517125100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3,240,946.00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3,265,905.00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3,265,905.00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880"/>
          </w:cols>
          <w:pgMar w:left="360" w:top="111"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Larimar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THREE BALA PLAZA EAST. SUITE 506 BALA CYNWYD PA 19004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517125100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38" w:orient="portrait"/>
          <w:cols w:equalWidth="0" w:num="1">
            <w:col w:w="11000"/>
          </w:cols>
          <w:pgMar w:left="360" w:top="111" w:right="5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3265905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3240946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3265905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Larimar Therapeutics, Inc.. No one person's interest in the common stock of Larimar Therapeutics,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72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720"/>
        <w:spacing w:after="0"/>
        <w:tabs>
          <w:tab w:leader="none" w:pos="3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02/04/2025</w:t>
      </w:r>
    </w:p>
    <w:p>
      <w:pPr>
        <w:sectPr>
          <w:pgSz w:w="11900" w:h="16838" w:orient="portrait"/>
          <w:cols w:equalWidth="0" w:num="1">
            <w:col w:w="10920"/>
          </w:cols>
          <w:pgMar w:left="58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2025-02-04T14:51:41Z</dcterms:created>
  <dcterms:modified xsi:type="dcterms:W3CDTF">2025-02-04T14:51:41Z</dcterms:modified>
</cp:coreProperties>
</file>