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774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77456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Clayton Russell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180"/>
        <w:spacing w:after="0" w:line="372" w:lineRule="auto"/>
        <w:rPr>
          <w:sz w:val="20"/>
          <w:szCs w:val="20"/>
          <w:color w:val="auto"/>
        </w:rPr>
      </w:pPr>
      <w:r>
        <w:rPr>
          <w:rFonts w:ascii="Times New Roman" w:cs="Times New Roman" w:eastAsia="Times New Roman" w:hAnsi="Times New Roman"/>
          <w:sz w:val="16"/>
          <w:szCs w:val="16"/>
          <w:color w:val="0000FF"/>
        </w:rPr>
        <w:t>C/O LARIMAR THERAPEUTICS, INC. THREE BALA PLAZA EAST, SUITE 506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7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Larimar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LRMR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01/22/2025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4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520"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shd w:val="clear" w:color="auto" w:fill="9A9A9A"/>
          </w:tcPr>
          <w:p>
            <w:pPr>
              <w:spacing w:after="0"/>
              <w:rPr>
                <w:sz w:val="4"/>
                <w:szCs w:val="4"/>
                <w:color w:val="auto"/>
              </w:rPr>
            </w:pPr>
          </w:p>
        </w:tc>
        <w:tc>
          <w:tcPr>
            <w:tcW w:w="620" w:type="dxa"/>
            <w:vAlign w:val="bottom"/>
            <w:shd w:val="clear" w:color="auto" w:fill="9A9A9A"/>
          </w:tcPr>
          <w:p>
            <w:pPr>
              <w:spacing w:after="0"/>
              <w:rPr>
                <w:sz w:val="4"/>
                <w:szCs w:val="4"/>
                <w:color w:val="auto"/>
              </w:rPr>
            </w:pPr>
          </w:p>
        </w:tc>
        <w:tc>
          <w:tcPr>
            <w:tcW w:w="140" w:type="dxa"/>
            <w:vAlign w:val="bottom"/>
            <w:shd w:val="clear" w:color="auto" w:fill="9A9A9A"/>
          </w:tcPr>
          <w:p>
            <w:pPr>
              <w:spacing w:after="0"/>
              <w:rPr>
                <w:sz w:val="4"/>
                <w:szCs w:val="4"/>
                <w:color w:val="auto"/>
              </w:rPr>
            </w:pPr>
          </w:p>
        </w:tc>
        <w:tc>
          <w:tcPr>
            <w:tcW w:w="1060" w:type="dxa"/>
            <w:vAlign w:val="bottom"/>
            <w:shd w:val="clear" w:color="auto" w:fill="9A9A9A"/>
          </w:tcPr>
          <w:p>
            <w:pPr>
              <w:spacing w:after="0"/>
              <w:rPr>
                <w:sz w:val="4"/>
                <w:szCs w:val="4"/>
                <w:color w:val="auto"/>
              </w:rPr>
            </w:pPr>
          </w:p>
        </w:tc>
        <w:tc>
          <w:tcPr>
            <w:tcW w:w="1080" w:type="dxa"/>
            <w:vAlign w:val="bottom"/>
            <w:shd w:val="clear" w:color="auto" w:fill="9A9A9A"/>
          </w:tcPr>
          <w:p>
            <w:pPr>
              <w:spacing w:after="0"/>
              <w:rPr>
                <w:sz w:val="4"/>
                <w:szCs w:val="4"/>
                <w:color w:val="auto"/>
              </w:rPr>
            </w:pPr>
          </w:p>
        </w:tc>
        <w:tc>
          <w:tcPr>
            <w:tcW w:w="160" w:type="dxa"/>
            <w:vAlign w:val="bottom"/>
            <w:shd w:val="clear" w:color="auto" w:fill="9A9A9A"/>
          </w:tcPr>
          <w:p>
            <w:pPr>
              <w:spacing w:after="0"/>
              <w:rPr>
                <w:sz w:val="4"/>
                <w:szCs w:val="4"/>
                <w:color w:val="auto"/>
              </w:rPr>
            </w:pPr>
          </w:p>
        </w:tc>
        <w:tc>
          <w:tcPr>
            <w:tcW w:w="364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40" w:type="dxa"/>
            <w:vAlign w:val="bottom"/>
            <w:gridSpan w:val="8"/>
            <w:vMerge w:val="continue"/>
          </w:tcPr>
          <w:p>
            <w:pPr>
              <w:spacing w:after="0"/>
              <w:rPr>
                <w:sz w:val="8"/>
                <w:szCs w:val="8"/>
                <w:color w:val="auto"/>
              </w:rPr>
            </w:pPr>
          </w:p>
        </w:tc>
        <w:tc>
          <w:tcPr>
            <w:tcW w:w="368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BALA</w:t>
            </w:r>
          </w:p>
        </w:tc>
        <w:tc>
          <w:tcPr>
            <w:tcW w:w="620" w:type="dxa"/>
            <w:vAlign w:val="bottom"/>
          </w:tcPr>
          <w:p>
            <w:pPr>
              <w:spacing w:after="0"/>
              <w:rPr>
                <w:sz w:val="17"/>
                <w:szCs w:val="17"/>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PA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19004</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line="191" w:lineRule="exact"/>
              <w:rPr>
                <w:sz w:val="20"/>
                <w:szCs w:val="20"/>
                <w:color w:val="auto"/>
              </w:rPr>
            </w:pPr>
            <w:r>
              <w:rPr>
                <w:rFonts w:ascii="Times New Roman" w:cs="Times New Roman" w:eastAsia="Times New Roman" w:hAnsi="Times New Roman"/>
                <w:sz w:val="17"/>
                <w:szCs w:val="17"/>
                <w:color w:val="0000FF"/>
              </w:rPr>
              <w:t>CYNWYD</w:t>
            </w: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01/22/2025</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w w:val="88"/>
              </w:rPr>
              <w:t>23,306</w:t>
            </w:r>
            <w:r>
              <w:rPr>
                <w:rFonts w:ascii="Times New Roman" w:cs="Times New Roman" w:eastAsia="Times New Roman" w:hAnsi="Times New Roman"/>
                <w:sz w:val="21"/>
                <w:szCs w:val="21"/>
                <w:color w:val="008000"/>
                <w:w w:val="88"/>
                <w:vertAlign w:val="superscript"/>
              </w:rPr>
              <w:t>(1)</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45,806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3.46</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01/22/2025</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139,838</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01/22/2035</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139,838</w:t>
            </w:r>
          </w:p>
        </w:tc>
        <w:tc>
          <w:tcPr>
            <w:tcW w:w="4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139,838</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ind w:left="2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is represented by a restricted stock unit ("RSU"). Each RSU represents a contingent right to receive one share of the Issuer's Common Stock upon settlement.</w:t>
      </w:r>
    </w:p>
    <w:p>
      <w:pPr>
        <w:spacing w:after="0" w:line="41" w:lineRule="exact"/>
        <w:rPr>
          <w:rFonts w:ascii="Times New Roman" w:cs="Times New Roman" w:eastAsia="Times New Roman" w:hAnsi="Times New Roman"/>
          <w:sz w:val="13"/>
          <w:szCs w:val="13"/>
          <w:color w:val="008000"/>
        </w:rPr>
      </w:pPr>
    </w:p>
    <w:p>
      <w:pPr>
        <w:ind w:left="40" w:right="5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25% on January 22, 2026, with the remaining 75% vesting in equal monthly installments on the last day of each of the 36 calendar months immediately following such date, subject to the Reporting Person's continued service with the Issuer through the applicable vesting date.</w:t>
      </w:r>
    </w:p>
    <w:p>
      <w:pPr>
        <w:spacing w:after="0" w:line="2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Jennifer Johansson,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01/24/2025</w:t>
            </w:r>
          </w:p>
        </w:tc>
        <w:tc>
          <w:tcPr>
            <w:tcW w:w="0" w:type="dxa"/>
            <w:vAlign w:val="bottom"/>
          </w:tcPr>
          <w:p>
            <w:pPr>
              <w:spacing w:after="0"/>
              <w:rPr>
                <w:sz w:val="1"/>
                <w:szCs w:val="1"/>
                <w:color w:val="auto"/>
              </w:rPr>
            </w:pPr>
          </w:p>
        </w:tc>
      </w:tr>
      <w:tr>
        <w:trPr>
          <w:trHeight w:val="87"/>
        </w:trPr>
        <w:tc>
          <w:tcPr>
            <w:tcW w:w="148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7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4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30072" TargetMode="External"/><Relationship Id="rId14"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2025-01-24T15:32:29Z</dcterms:created>
  <dcterms:modified xsi:type="dcterms:W3CDTF">2025-01-24T15:32:29Z</dcterms:modified>
</cp:coreProperties>
</file>