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___)</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Zafgen, Inc.</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98885E103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October 2,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5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98885E103</w:t>
      </w:r>
    </w:p>
    <w:p>
      <w:pPr>
        <w:spacing w:after="0" w:line="200" w:lineRule="exact"/>
        <w:rPr>
          <w:sz w:val="20"/>
          <w:szCs w:val="20"/>
          <w:color w:val="auto"/>
        </w:rPr>
      </w:pPr>
    </w:p>
    <w:p>
      <w:pPr>
        <w:spacing w:after="0" w:line="254"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3,141,323</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3,141,323</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3,141,323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98885E103</w:t>
      </w:r>
    </w:p>
    <w:p>
      <w:pPr>
        <w:spacing w:after="0" w:line="200" w:lineRule="exact"/>
        <w:rPr>
          <w:sz w:val="20"/>
          <w:szCs w:val="20"/>
          <w:color w:val="auto"/>
        </w:rPr>
      </w:pPr>
    </w:p>
    <w:p>
      <w:pPr>
        <w:spacing w:after="0" w:line="254"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80" w:type="dxa"/>
            <w:vAlign w:val="bottom"/>
            <w:vMerge w:val="continue"/>
          </w:tcPr>
          <w:p>
            <w:pPr>
              <w:spacing w:after="0"/>
              <w:rPr>
                <w:sz w:val="8"/>
                <w:szCs w:val="8"/>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3,141,323</w:t>
            </w:r>
          </w:p>
        </w:tc>
        <w:tc>
          <w:tcPr>
            <w:tcW w:w="0" w:type="dxa"/>
            <w:vAlign w:val="bottom"/>
          </w:tcPr>
          <w:p>
            <w:pPr>
              <w:spacing w:after="0"/>
              <w:rPr>
                <w:sz w:val="1"/>
                <w:szCs w:val="1"/>
                <w:color w:val="auto"/>
              </w:rPr>
            </w:pPr>
          </w:p>
        </w:tc>
      </w:tr>
      <w:tr>
        <w:trPr>
          <w:trHeight w:val="152"/>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8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80" w:type="dxa"/>
            <w:vAlign w:val="bottom"/>
            <w:vMerge w:val="continue"/>
          </w:tcPr>
          <w:p>
            <w:pPr>
              <w:spacing w:after="0"/>
              <w:rPr>
                <w:sz w:val="7"/>
                <w:szCs w:val="7"/>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3,141,323</w:t>
            </w:r>
          </w:p>
        </w:tc>
        <w:tc>
          <w:tcPr>
            <w:tcW w:w="0" w:type="dxa"/>
            <w:vAlign w:val="bottom"/>
          </w:tcPr>
          <w:p>
            <w:pPr>
              <w:spacing w:after="0"/>
              <w:rPr>
                <w:sz w:val="1"/>
                <w:szCs w:val="1"/>
                <w:color w:val="auto"/>
              </w:rPr>
            </w:pPr>
          </w:p>
        </w:tc>
      </w:tr>
      <w:tr>
        <w:trPr>
          <w:trHeight w:val="165"/>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80" w:type="dxa"/>
            <w:vAlign w:val="bottom"/>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3,141,323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8.4%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98885E103</w:t>
      </w:r>
    </w:p>
    <w:p>
      <w:pPr>
        <w:spacing w:after="0" w:line="200" w:lineRule="exact"/>
        <w:rPr>
          <w:sz w:val="20"/>
          <w:szCs w:val="20"/>
          <w:color w:val="auto"/>
        </w:rPr>
      </w:pPr>
    </w:p>
    <w:p>
      <w:pPr>
        <w:spacing w:after="0" w:line="254"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2,615,500</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2,615,500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2,615,500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7.0%</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98885E103</w:t>
      </w:r>
    </w:p>
    <w:p>
      <w:pPr>
        <w:spacing w:after="0" w:line="200" w:lineRule="exact"/>
        <w:rPr>
          <w:sz w:val="20"/>
          <w:szCs w:val="20"/>
          <w:color w:val="auto"/>
        </w:rPr>
      </w:pP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Zafgen,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 Center Plaza, Suite 610, Boston, Massachusetts 02108</w:t>
      </w:r>
    </w:p>
    <w:tbl>
      <w:tblPr>
        <w:tblLayout w:type="fixed"/>
        <w:tblInd w:w="0" w:type="dxa"/>
        <w:tblCellMar>
          <w:top w:w="0" w:type="dxa"/>
          <w:left w:w="0" w:type="dxa"/>
          <w:bottom w:w="0" w:type="dxa"/>
          <w:right w:w="0" w:type="dxa"/>
        </w:tblCellMar>
      </w:tblPr>
      <w:tr>
        <w:trPr>
          <w:trHeight w:val="229"/>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color w:val="auto"/>
              </w:rPr>
              <w:t>________________________________________________________________________</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0"/>
                <w:szCs w:val="20"/>
                <w:color w:val="auto"/>
              </w:rPr>
            </w:pPr>
            <w:r>
              <w:rPr>
                <w:rFonts w:ascii="Arial" w:cs="Arial" w:eastAsia="Arial" w:hAnsi="Arial"/>
                <w:sz w:val="20"/>
                <w:szCs w:val="20"/>
                <w:b w:val="1"/>
                <w:bCs w:val="1"/>
                <w:color w:val="auto"/>
              </w:rPr>
              <w:t>Item</w:t>
            </w: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2.</w:t>
            </w:r>
          </w:p>
        </w:tc>
        <w:tc>
          <w:tcPr>
            <w:tcW w:w="0" w:type="dxa"/>
            <w:vAlign w:val="bottom"/>
          </w:tcPr>
          <w:p>
            <w:pPr>
              <w:spacing w:after="0"/>
              <w:rPr>
                <w:sz w:val="1"/>
                <w:szCs w:val="1"/>
                <w:color w:val="auto"/>
              </w:rPr>
            </w:pPr>
          </w:p>
        </w:tc>
      </w:tr>
      <w:tr>
        <w:trPr>
          <w:trHeight w:val="446"/>
        </w:trPr>
        <w:tc>
          <w:tcPr>
            <w:tcW w:w="1100" w:type="dxa"/>
            <w:vAlign w:val="bottom"/>
          </w:tcPr>
          <w:p>
            <w:pPr>
              <w:ind w:left="660"/>
              <w:spacing w:after="0"/>
              <w:rPr>
                <w:sz w:val="20"/>
                <w:szCs w:val="20"/>
                <w:color w:val="auto"/>
              </w:rPr>
            </w:pPr>
            <w:r>
              <w:rPr>
                <w:rFonts w:ascii="Arial" w:cs="Arial" w:eastAsia="Arial" w:hAnsi="Arial"/>
                <w:sz w:val="20"/>
                <w:szCs w:val="20"/>
                <w:color w:val="auto"/>
              </w:rPr>
              <w:t>(a)</w:t>
            </w:r>
          </w:p>
        </w:tc>
        <w:tc>
          <w:tcPr>
            <w:tcW w:w="9940" w:type="dxa"/>
            <w:vAlign w:val="bottom"/>
          </w:tcPr>
          <w:p>
            <w:pPr>
              <w:ind w:left="200"/>
              <w:spacing w:after="0"/>
              <w:rPr>
                <w:sz w:val="20"/>
                <w:szCs w:val="20"/>
                <w:color w:val="auto"/>
              </w:rPr>
            </w:pPr>
            <w:r>
              <w:rPr>
                <w:rFonts w:ascii="Arial" w:cs="Arial" w:eastAsia="Arial" w:hAnsi="Arial"/>
                <w:sz w:val="20"/>
                <w:szCs w:val="20"/>
                <w:color w:val="auto"/>
              </w:rPr>
              <w:t>The names of the persons filing this statement are:</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97"/>
              </w:rPr>
              <w:t>EcoR1 Capital Fund Qualified, L.P. (“Qualified Fund”); EcoR1 Capital, LLC (“EcoR1”) and Oleg Nodelman</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(“Nodelman”) (collectively, the “Filers”).</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9"/>
              </w:rPr>
              <w:t>Qualified Fund is filing this statement jointly with the other Filers, but not as a member of a group and it expressly</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90"/>
              </w:rPr>
              <w:t>disclaims membership in a group. In addition, filing this Schedule 13G on behalf of Qualified Fund should not be</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7"/>
              </w:rPr>
              <w:t>construed as an admission that it is, and it disclaims that it is, a beneficial owner, as defined in Rule 13d-3 under the</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Act, of any of the Stock covered by this Schedule 13G.</w:t>
            </w: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w w:val="89"/>
              </w:rPr>
              <w:t>Each Filer also disclaims beneficial ownership of the Stock except to the extent of that person’s pecuniary interest</w:t>
            </w:r>
          </w:p>
        </w:tc>
        <w:tc>
          <w:tcPr>
            <w:tcW w:w="0" w:type="dxa"/>
            <w:vAlign w:val="bottom"/>
          </w:tcPr>
          <w:p>
            <w:pPr>
              <w:spacing w:after="0"/>
              <w:rPr>
                <w:sz w:val="1"/>
                <w:szCs w:val="1"/>
                <w:color w:val="auto"/>
              </w:rPr>
            </w:pPr>
          </w:p>
        </w:tc>
      </w:tr>
      <w:tr>
        <w:trPr>
          <w:trHeight w:val="256"/>
        </w:trPr>
        <w:tc>
          <w:tcPr>
            <w:tcW w:w="1100" w:type="dxa"/>
            <w:vAlign w:val="bottom"/>
          </w:tcPr>
          <w:p>
            <w:pPr>
              <w:spacing w:after="0"/>
              <w:rPr>
                <w:sz w:val="22"/>
                <w:szCs w:val="22"/>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therein.</w:t>
            </w:r>
          </w:p>
        </w:tc>
        <w:tc>
          <w:tcPr>
            <w:tcW w:w="0" w:type="dxa"/>
            <w:vAlign w:val="bottom"/>
          </w:tcPr>
          <w:p>
            <w:pPr>
              <w:spacing w:after="0"/>
              <w:rPr>
                <w:sz w:val="1"/>
                <w:szCs w:val="1"/>
                <w:color w:val="auto"/>
              </w:rPr>
            </w:pPr>
          </w:p>
        </w:tc>
      </w:tr>
      <w:tr>
        <w:trPr>
          <w:trHeight w:val="689"/>
        </w:trPr>
        <w:tc>
          <w:tcPr>
            <w:tcW w:w="1100" w:type="dxa"/>
            <w:vAlign w:val="bottom"/>
          </w:tcPr>
          <w:p>
            <w:pPr>
              <w:ind w:left="660"/>
              <w:spacing w:after="0"/>
              <w:rPr>
                <w:sz w:val="20"/>
                <w:szCs w:val="20"/>
                <w:color w:val="auto"/>
              </w:rPr>
            </w:pPr>
            <w:r>
              <w:rPr>
                <w:rFonts w:ascii="Arial" w:cs="Arial" w:eastAsia="Arial" w:hAnsi="Arial"/>
                <w:sz w:val="20"/>
                <w:szCs w:val="20"/>
                <w:color w:val="auto"/>
              </w:rPr>
              <w:t>(b)</w:t>
            </w:r>
          </w:p>
        </w:tc>
        <w:tc>
          <w:tcPr>
            <w:tcW w:w="9940" w:type="dxa"/>
            <w:vAlign w:val="bottom"/>
          </w:tcPr>
          <w:p>
            <w:pPr>
              <w:ind w:left="200"/>
              <w:spacing w:after="0"/>
              <w:rPr>
                <w:sz w:val="20"/>
                <w:szCs w:val="20"/>
                <w:color w:val="auto"/>
              </w:rPr>
            </w:pPr>
            <w:r>
              <w:rPr>
                <w:rFonts w:ascii="Arial" w:cs="Arial" w:eastAsia="Arial" w:hAnsi="Arial"/>
                <w:sz w:val="20"/>
                <w:szCs w:val="20"/>
                <w:color w:val="auto"/>
              </w:rPr>
              <w:t>The principal business office of the Filers is located at:</w:t>
            </w:r>
          </w:p>
        </w:tc>
        <w:tc>
          <w:tcPr>
            <w:tcW w:w="0" w:type="dxa"/>
            <w:vAlign w:val="bottom"/>
          </w:tcPr>
          <w:p>
            <w:pPr>
              <w:spacing w:after="0"/>
              <w:rPr>
                <w:sz w:val="1"/>
                <w:szCs w:val="1"/>
                <w:color w:val="auto"/>
              </w:rPr>
            </w:pPr>
          </w:p>
        </w:tc>
      </w:tr>
      <w:tr>
        <w:trPr>
          <w:trHeight w:val="459"/>
        </w:trPr>
        <w:tc>
          <w:tcPr>
            <w:tcW w:w="1100" w:type="dxa"/>
            <w:vAlign w:val="bottom"/>
          </w:tcPr>
          <w:p>
            <w:pPr>
              <w:spacing w:after="0"/>
              <w:rPr>
                <w:sz w:val="24"/>
                <w:szCs w:val="24"/>
                <w:color w:val="auto"/>
              </w:rPr>
            </w:pPr>
          </w:p>
        </w:tc>
        <w:tc>
          <w:tcPr>
            <w:tcW w:w="9940" w:type="dxa"/>
            <w:vAlign w:val="bottom"/>
          </w:tcPr>
          <w:p>
            <w:pPr>
              <w:ind w:left="200"/>
              <w:spacing w:after="0"/>
              <w:rPr>
                <w:sz w:val="20"/>
                <w:szCs w:val="20"/>
                <w:color w:val="auto"/>
              </w:rPr>
            </w:pPr>
            <w:r>
              <w:rPr>
                <w:rFonts w:ascii="Arial" w:cs="Arial" w:eastAsia="Arial" w:hAnsi="Arial"/>
                <w:sz w:val="20"/>
                <w:szCs w:val="20"/>
                <w:b w:val="1"/>
                <w:bCs w:val="1"/>
                <w:color w:val="auto"/>
              </w:rPr>
              <w:t>357 Tehama Street #3, San Francisco, CA 94103</w:t>
            </w:r>
          </w:p>
        </w:tc>
        <w:tc>
          <w:tcPr>
            <w:tcW w:w="0" w:type="dxa"/>
            <w:vAlign w:val="bottom"/>
          </w:tcPr>
          <w:p>
            <w:pPr>
              <w:spacing w:after="0"/>
              <w:rPr>
                <w:sz w:val="1"/>
                <w:szCs w:val="1"/>
                <w:color w:val="auto"/>
              </w:rPr>
            </w:pPr>
          </w:p>
        </w:tc>
      </w:tr>
      <w:tr>
        <w:trPr>
          <w:trHeight w:val="459"/>
        </w:trPr>
        <w:tc>
          <w:tcPr>
            <w:tcW w:w="1100" w:type="dxa"/>
            <w:vAlign w:val="bottom"/>
          </w:tcPr>
          <w:p>
            <w:pPr>
              <w:ind w:left="660"/>
              <w:spacing w:after="0"/>
              <w:rPr>
                <w:sz w:val="20"/>
                <w:szCs w:val="20"/>
                <w:color w:val="auto"/>
              </w:rPr>
            </w:pPr>
            <w:r>
              <w:rPr>
                <w:rFonts w:ascii="Arial" w:cs="Arial" w:eastAsia="Arial" w:hAnsi="Arial"/>
                <w:sz w:val="20"/>
                <w:szCs w:val="20"/>
                <w:color w:val="auto"/>
              </w:rPr>
              <w:t>(c)</w:t>
            </w:r>
          </w:p>
        </w:tc>
        <w:tc>
          <w:tcPr>
            <w:tcW w:w="9940" w:type="dxa"/>
            <w:vAlign w:val="bottom"/>
          </w:tcPr>
          <w:p>
            <w:pPr>
              <w:ind w:left="200"/>
              <w:spacing w:after="0"/>
              <w:rPr>
                <w:sz w:val="20"/>
                <w:szCs w:val="20"/>
                <w:color w:val="auto"/>
              </w:rPr>
            </w:pPr>
            <w:r>
              <w:rPr>
                <w:rFonts w:ascii="Arial" w:cs="Arial" w:eastAsia="Arial" w:hAnsi="Arial"/>
                <w:sz w:val="20"/>
                <w:szCs w:val="20"/>
                <w:color w:val="auto"/>
              </w:rPr>
              <w:t>For citizenship of Filers, see Item 4 of the cover sheet for each Filer.</w:t>
            </w:r>
          </w:p>
        </w:tc>
        <w:tc>
          <w:tcPr>
            <w:tcW w:w="0" w:type="dxa"/>
            <w:vAlign w:val="bottom"/>
          </w:tcPr>
          <w:p>
            <w:pPr>
              <w:spacing w:after="0"/>
              <w:rPr>
                <w:sz w:val="1"/>
                <w:szCs w:val="1"/>
                <w:color w:val="auto"/>
              </w:rPr>
            </w:pPr>
          </w:p>
        </w:tc>
      </w:tr>
      <w:tr>
        <w:trPr>
          <w:trHeight w:val="459"/>
        </w:trPr>
        <w:tc>
          <w:tcPr>
            <w:tcW w:w="1100" w:type="dxa"/>
            <w:vAlign w:val="bottom"/>
          </w:tcPr>
          <w:p>
            <w:pPr>
              <w:ind w:left="660"/>
              <w:spacing w:after="0"/>
              <w:rPr>
                <w:sz w:val="20"/>
                <w:szCs w:val="20"/>
                <w:color w:val="auto"/>
              </w:rPr>
            </w:pPr>
            <w:r>
              <w:rPr>
                <w:rFonts w:ascii="Arial" w:cs="Arial" w:eastAsia="Arial" w:hAnsi="Arial"/>
                <w:sz w:val="20"/>
                <w:szCs w:val="20"/>
                <w:color w:val="auto"/>
              </w:rPr>
              <w:t>(d)</w:t>
            </w:r>
          </w:p>
        </w:tc>
        <w:tc>
          <w:tcPr>
            <w:tcW w:w="9940" w:type="dxa"/>
            <w:vAlign w:val="bottom"/>
          </w:tcPr>
          <w:p>
            <w:pPr>
              <w:ind w:left="200"/>
              <w:spacing w:after="0"/>
              <w:rPr>
                <w:sz w:val="20"/>
                <w:szCs w:val="20"/>
                <w:color w:val="auto"/>
              </w:rPr>
            </w:pPr>
            <w:r>
              <w:rPr>
                <w:rFonts w:ascii="Arial" w:cs="Arial" w:eastAsia="Arial" w:hAnsi="Arial"/>
                <w:sz w:val="20"/>
                <w:szCs w:val="20"/>
                <w:color w:val="auto"/>
              </w:rPr>
              <w:t xml:space="preserve">This statement relates to the Issuer’s shares of </w:t>
            </w:r>
            <w:r>
              <w:rPr>
                <w:rFonts w:ascii="Arial" w:cs="Arial" w:eastAsia="Arial" w:hAnsi="Arial"/>
                <w:sz w:val="20"/>
                <w:szCs w:val="20"/>
                <w:b w:val="1"/>
                <w:bCs w:val="1"/>
                <w:color w:val="auto"/>
              </w:rPr>
              <w:t>Common Stock, $0.001 par value per share</w:t>
            </w:r>
            <w:r>
              <w:rPr>
                <w:rFonts w:ascii="Arial" w:cs="Arial" w:eastAsia="Arial" w:hAnsi="Arial"/>
                <w:sz w:val="20"/>
                <w:szCs w:val="20"/>
                <w:color w:val="auto"/>
              </w:rPr>
              <w:t xml:space="preserve"> (the “Stock”).</w:t>
            </w:r>
          </w:p>
        </w:tc>
        <w:tc>
          <w:tcPr>
            <w:tcW w:w="0" w:type="dxa"/>
            <w:vAlign w:val="bottom"/>
          </w:tcPr>
          <w:p>
            <w:pPr>
              <w:spacing w:after="0"/>
              <w:rPr>
                <w:sz w:val="1"/>
                <w:szCs w:val="1"/>
                <w:color w:val="auto"/>
              </w:rPr>
            </w:pPr>
          </w:p>
        </w:tc>
      </w:tr>
      <w:tr>
        <w:trPr>
          <w:trHeight w:val="438"/>
        </w:trPr>
        <w:tc>
          <w:tcPr>
            <w:tcW w:w="1100" w:type="dxa"/>
            <w:vAlign w:val="bottom"/>
          </w:tcPr>
          <w:p>
            <w:pPr>
              <w:ind w:left="660"/>
              <w:spacing w:after="0"/>
              <w:rPr>
                <w:sz w:val="20"/>
                <w:szCs w:val="20"/>
                <w:color w:val="auto"/>
              </w:rPr>
            </w:pPr>
            <w:r>
              <w:rPr>
                <w:rFonts w:ascii="Arial" w:cs="Arial" w:eastAsia="Arial" w:hAnsi="Arial"/>
                <w:sz w:val="20"/>
                <w:szCs w:val="20"/>
                <w:color w:val="auto"/>
              </w:rPr>
              <w:t>(e)</w:t>
            </w:r>
          </w:p>
        </w:tc>
        <w:tc>
          <w:tcPr>
            <w:tcW w:w="9940" w:type="dxa"/>
            <w:vAlign w:val="bottom"/>
          </w:tcPr>
          <w:p>
            <w:pPr>
              <w:ind w:left="200"/>
              <w:spacing w:after="0"/>
              <w:rPr>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98885E103</w:t>
            </w:r>
          </w:p>
        </w:tc>
        <w:tc>
          <w:tcPr>
            <w:tcW w:w="0" w:type="dxa"/>
            <w:vAlign w:val="bottom"/>
          </w:tcPr>
          <w:p>
            <w:pPr>
              <w:spacing w:after="0"/>
              <w:rPr>
                <w:sz w:val="1"/>
                <w:szCs w:val="1"/>
                <w:color w:val="auto"/>
              </w:rPr>
            </w:pPr>
          </w:p>
        </w:tc>
      </w:tr>
      <w:tr>
        <w:trPr>
          <w:trHeight w:val="250"/>
        </w:trPr>
        <w:tc>
          <w:tcPr>
            <w:tcW w:w="1100" w:type="dxa"/>
            <w:vAlign w:val="bottom"/>
          </w:tcPr>
          <w:p>
            <w:pPr>
              <w:ind w:left="660"/>
              <w:spacing w:after="0"/>
              <w:rPr>
                <w:sz w:val="20"/>
                <w:szCs w:val="20"/>
                <w:color w:val="auto"/>
              </w:rPr>
            </w:pPr>
            <w:r>
              <w:rPr>
                <w:rFonts w:ascii="Arial" w:cs="Arial" w:eastAsia="Arial" w:hAnsi="Arial"/>
                <w:sz w:val="20"/>
                <w:szCs w:val="20"/>
                <w:color w:val="auto"/>
              </w:rPr>
              <w:t>.</w:t>
            </w:r>
          </w:p>
        </w:tc>
        <w:tc>
          <w:tcPr>
            <w:tcW w:w="9940" w:type="dxa"/>
            <w:vAlign w:val="bottom"/>
            <w:vMerge w:val="restart"/>
          </w:tcPr>
          <w:p>
            <w:pPr>
              <w:ind w:left="45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18"/>
                <w:szCs w:val="18"/>
                <w:color w:val="auto"/>
              </w:rPr>
            </w:pPr>
          </w:p>
        </w:tc>
        <w:tc>
          <w:tcPr>
            <w:tcW w:w="9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226" w:right="61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98885E103</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22"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50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52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1" w:lineRule="exact"/>
        <w:rPr>
          <w:sz w:val="20"/>
          <w:szCs w:val="20"/>
          <w:color w:val="auto"/>
        </w:rPr>
      </w:pPr>
    </w:p>
    <w:p>
      <w:pPr>
        <w:ind w:left="1300" w:right="26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jc w:val="center"/>
        <w:ind w:right="-3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26" w:right="5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98885E103</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5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jc w:val="both"/>
        <w:ind w:left="660" w:right="5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October 15, 2019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180"/>
          </w:cols>
          <w:pgMar w:left="240" w:top="226" w:right="47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68" w:lineRule="exact"/>
        <w:rPr>
          <w:sz w:val="20"/>
          <w:szCs w:val="20"/>
          <w:color w:val="auto"/>
        </w:rPr>
      </w:pPr>
    </w:p>
    <w:p>
      <w:pPr>
        <w:sectPr>
          <w:pgSz w:w="11900" w:h="16838" w:orient="portrait"/>
          <w:cols w:equalWidth="0" w:num="2">
            <w:col w:w="4860" w:space="720"/>
            <w:col w:w="5600"/>
          </w:cols>
          <w:pgMar w:left="240" w:top="226" w:right="47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180"/>
          </w:cols>
          <w:pgMar w:left="240" w:top="226"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2"/>
          <w:szCs w:val="22"/>
          <w:color w:val="auto"/>
        </w:rPr>
        <w:t>CUSIP No. 98885E103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Dated: October 15, 2019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ectPr>
          <w:pgSz w:w="11900" w:h="16838" w:orient="portrait"/>
          <w:cols w:equalWidth="0" w:num="1">
            <w:col w:w="11420"/>
          </w:cols>
          <w:pgMar w:left="240" w:top="226" w:right="239" w:bottom="1440" w:gutter="0" w:footer="0" w:header="0"/>
        </w:sectPr>
      </w:pP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Oleg Nodelman</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Oleg Nodelman</w:t>
      </w:r>
    </w:p>
    <w:p>
      <w:pPr>
        <w:spacing w:after="0" w:line="468" w:lineRule="exact"/>
        <w:rPr>
          <w:sz w:val="20"/>
          <w:szCs w:val="20"/>
          <w:color w:val="auto"/>
        </w:rPr>
      </w:pPr>
    </w:p>
    <w:p>
      <w:pPr>
        <w:sectPr>
          <w:pgSz w:w="11900" w:h="16838" w:orient="portrait"/>
          <w:cols w:equalWidth="0" w:num="2">
            <w:col w:w="4860" w:space="720"/>
            <w:col w:w="5840"/>
          </w:cols>
          <w:pgMar w:left="240" w:top="226" w:right="239" w:bottom="1440" w:gutter="0" w:footer="0" w:header="0"/>
          <w:type w:val="continuous"/>
        </w:sect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EcoR1 CAPITAL FUND QUALIFIED, L.P.</w:t>
      </w:r>
    </w:p>
    <w:p>
      <w:pPr>
        <w:spacing w:after="0" w:line="2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lvl w:ilvl="1">
      <w:lvlJc w:val="left"/>
      <w:lvlText w:val="(%2)"/>
      <w:numFmt w:val="lowerLetter"/>
      <w:start w:val="1"/>
    </w:lvl>
  </w:abstractNum>
  <w:abstractNum w:abstractNumId="3">
    <w:nsid w:val="7545E146"/>
    <w:multiLevelType w:val="hybridMultilevel"/>
    <w:lvl w:ilvl="0">
      <w:lvlJc w:val="left"/>
      <w:lvlText w:val="%1."/>
      <w:numFmt w:val="decimal"/>
      <w:start w:val="3"/>
    </w:lvl>
    <w:lvl w:ilvl="1">
      <w:lvlJc w:val="left"/>
      <w:lvlText w:val="%2"/>
      <w:numFmt w:val="lowerLetter"/>
      <w:start w:val="1"/>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3"/>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2019-12-04T22:15:54Z</dcterms:created>
  <dcterms:modified xsi:type="dcterms:W3CDTF">2019-12-04T22:15:54Z</dcterms:modified>
</cp:coreProperties>
</file>