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13d-101]</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INFORMATION TO BE INCLUDED IN STATEMENTS FILED PURSUANT TO § 24.13d-1(a) AND AMENDMENTS THERETO FILED PURSUANT TO § 240.13D-2(a)</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Larimar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517125100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David Clark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Elliot Press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Deerfield Management Company, 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345 Park Avenue South, 12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10010</w:t>
      </w:r>
    </w:p>
    <w:p>
      <w:pPr>
        <w:spacing w:after="0" w:line="9" w:lineRule="exact"/>
        <w:rPr>
          <w:sz w:val="24"/>
          <w:szCs w:val="24"/>
          <w:color w:val="auto"/>
        </w:rPr>
      </w:pPr>
    </w:p>
    <w:p>
      <w:pPr>
        <w:jc w:val="right"/>
        <w:ind w:left="5040" w:right="5020" w:firstLine="22"/>
        <w:spacing w:after="0" w:line="551" w:lineRule="auto"/>
        <w:tabs>
          <w:tab w:leader="none" w:pos="5503"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551-1600 With a copy to:</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Jonathan D. Weiner, Esq.</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D. Wood,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Katten Muchin Rosenman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575 Madison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940-8800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ind w:right="20" w:firstLine="635"/>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2" w:lineRule="exact"/>
        <w:rPr>
          <w:sz w:val="24"/>
          <w:szCs w:val="24"/>
          <w:color w:val="auto"/>
        </w:rPr>
      </w:pPr>
    </w:p>
    <w:p>
      <w:pPr>
        <w:ind w:firstLine="635"/>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17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14 Pages)</w:t>
      </w:r>
    </w:p>
    <w:p>
      <w:pPr>
        <w:spacing w:after="0" w:line="211" w:lineRule="exact"/>
        <w:rPr>
          <w:sz w:val="24"/>
          <w:szCs w:val="24"/>
          <w:color w:val="auto"/>
        </w:rPr>
      </w:pPr>
    </w:p>
    <w:p>
      <w:pPr>
        <w:ind w:right="20"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18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Private Design Fund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1,943,406</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1,943,406</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1,943,406</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10.97%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Healthcare Innovations Fund,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1,943,420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1,943,420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1,943,420</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10.97%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Private Design Fund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WC</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1,943,423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1,943,423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1,943,423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10.97%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0"/>
        </w:trPr>
        <w:tc>
          <w:tcPr>
            <w:tcW w:w="1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4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5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III,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1,943,406 (1)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1,943,406 (1)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1,943,406 (1)</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10.97%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(1) 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6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HIF,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1,943,420 (2)</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1,943,420 (2)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1,943,420 (2)</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10.97%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(2) Comprised of shares of common stock held by Deerfield Healthcare Innovations Fund, L.P., of which Deerfield Mgmt HIF,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7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Mgmt, IV,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1,943,423 (3)</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1,943,423 (3)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1,943,423 (3)</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10.97%</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(3) Comprised of shares of common stock held by Deerfield Private Design Fund IV, L.P., of which Deerfield Mgmt IV,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8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Deerfield Management Company, L.P.</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Delaware</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5,836,243 (4)</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5,836,243 (4)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5,836,243 (4)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32.94%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PN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20" w:hanging="332"/>
        <w:spacing w:after="0" w:line="269" w:lineRule="auto"/>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Comprised of (i) an aggregate of 5,830,249 shares of common stock held by Deerfield Private Design Fund III, L.P., Deerfield Private Design Fund IV, L.P. and Deerfield Healthcare Innovations Fund, L.P., of which Deerfield Management Company, L.P. is the investment manager and (ii) 5,994 shares of common stock issuable upon exercise of an option (the “2020 Option”) held by Jonathan Leff, an employee of Deerfield Management Company, L.P., for the benefit, and subject to the direction, of Deerfield Management Company, L.P. The 2020 Option was granted to Mr. Leff on July 16, 2020 and vests in equal monthly installments over a 36-month period, which commenced on July 16, 2020, subject to Mr. Leff’s continued service with the Issuer through each applicable vesting date. The number of shares reported as being beneficially owned by Deerfield Management Company, L.P. does not include (i) shares of common stock issuable upon exercise of the 2020 Option to the extent it is unvested and will not vest within 60 days or (ii) shares of common stock issuable upon exercise of an option granted to Mr. Leff on May 12, 2021 (the “2021 Option”), which is scheduled to vest on the earlier of May 12, 2022 and the date of the Issuer's next annual meeting of stockholders, in each case, subject to Mr. Leff’s continued service with the Issuer through each applicable vesting date. The 2021 Option is held by Mr. Leff for the benefit, and at the direction, of Deerfield Management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98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9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4225" cy="637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6379845"/>
                    </a:xfrm>
                    <a:prstGeom prst="rect">
                      <a:avLst/>
                    </a:prstGeom>
                    <a:noFill/>
                  </pic:spPr>
                </pic:pic>
              </a:graphicData>
            </a:graphic>
          </wp:anchor>
        </w:drawing>
      </w:r>
    </w:p>
    <w:p>
      <w:pPr>
        <w:spacing w:after="0" w:line="258" w:lineRule="exact"/>
        <w:rPr>
          <w:sz w:val="20"/>
          <w:szCs w:val="20"/>
          <w:color w:val="auto"/>
        </w:rPr>
      </w:pPr>
    </w:p>
    <w:p>
      <w:pPr>
        <w:ind w:left="1560" w:hanging="834"/>
        <w:spacing w:after="0"/>
        <w:tabs>
          <w:tab w:leader="none" w:pos="15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w w:val="91"/>
              </w:rPr>
              <w:t>James E. Flynn</w:t>
            </w:r>
          </w:p>
        </w:tc>
        <w:tc>
          <w:tcPr>
            <w:tcW w:w="7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154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742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b w:val="1"/>
                <w:bCs w:val="1"/>
                <w:color w:val="auto"/>
              </w:rPr>
              <w:t>2</w:t>
            </w:r>
          </w:p>
        </w:tc>
        <w:tc>
          <w:tcPr>
            <w:tcW w:w="862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1080" w:type="dxa"/>
            <w:vAlign w:val="bottom"/>
          </w:tcPr>
          <w:p>
            <w:pPr>
              <w:jc w:val="center"/>
              <w:ind w:left="111"/>
              <w:spacing w:after="0" w:line="153" w:lineRule="exact"/>
              <w:rPr>
                <w:sz w:val="20"/>
                <w:szCs w:val="20"/>
                <w:color w:val="auto"/>
              </w:rPr>
            </w:pPr>
            <w:r>
              <w:rPr>
                <w:rFonts w:ascii="Arial" w:cs="Arial" w:eastAsia="Arial" w:hAnsi="Arial"/>
                <w:sz w:val="17"/>
                <w:szCs w:val="17"/>
                <w:color w:val="auto"/>
                <w:w w:val="93"/>
              </w:rPr>
              <w:t xml:space="preserve">(a) </w:t>
            </w:r>
            <w:r>
              <w:rPr>
                <w:rFonts w:ascii="MS PGothic" w:cs="MS PGothic" w:eastAsia="MS PGothic" w:hAnsi="MS PGothic"/>
                <w:sz w:val="17"/>
                <w:szCs w:val="17"/>
                <w:color w:val="auto"/>
                <w:w w:val="93"/>
              </w:rPr>
              <w:t>☐</w:t>
            </w:r>
          </w:p>
        </w:tc>
        <w:tc>
          <w:tcPr>
            <w:tcW w:w="0" w:type="dxa"/>
            <w:vAlign w:val="bottom"/>
          </w:tcPr>
          <w:p>
            <w:pPr>
              <w:spacing w:after="0"/>
              <w:rPr>
                <w:sz w:val="1"/>
                <w:szCs w:val="1"/>
                <w:color w:val="auto"/>
              </w:rPr>
            </w:pPr>
          </w:p>
        </w:tc>
      </w:tr>
      <w:tr>
        <w:trPr>
          <w:trHeight w:val="283"/>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080" w:type="dxa"/>
            <w:vAlign w:val="bottom"/>
          </w:tcPr>
          <w:p>
            <w:pPr>
              <w:jc w:val="center"/>
              <w:ind w:left="13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1540" w:type="dxa"/>
            <w:vAlign w:val="bottom"/>
            <w:tcBorders>
              <w:left w:val="single" w:sz="8" w:color="auto"/>
              <w:bottom w:val="single" w:sz="8" w:color="auto"/>
              <w:right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SEC USE ONLY</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SOURCE OF FUNDS</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AF</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5</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w w:val="99"/>
              </w:rPr>
              <w:t>CHECK IF DISCLOSURE OF LEGAL PROCEEDINGS IS REQUIRED PURSUANT TO ITEMS 2(d) OR 2(e)</w:t>
            </w:r>
          </w:p>
        </w:tc>
        <w:tc>
          <w:tcPr>
            <w:tcW w:w="108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6</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United States of America</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7</w:t>
            </w:r>
          </w:p>
        </w:tc>
        <w:tc>
          <w:tcPr>
            <w:tcW w:w="7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SHARES</w:t>
            </w:r>
          </w:p>
        </w:tc>
        <w:tc>
          <w:tcPr>
            <w:tcW w:w="1200" w:type="dxa"/>
            <w:vAlign w:val="bottom"/>
            <w:tcBorders>
              <w:bottom w:val="single" w:sz="8" w:color="auto"/>
              <w:right w:val="single" w:sz="8" w:color="auto"/>
            </w:tcBorders>
          </w:tcPr>
          <w:p>
            <w:pPr>
              <w:spacing w:after="0"/>
              <w:rPr>
                <w:sz w:val="3"/>
                <w:szCs w:val="3"/>
                <w:color w:val="auto"/>
              </w:rPr>
            </w:pPr>
          </w:p>
        </w:tc>
        <w:tc>
          <w:tcPr>
            <w:tcW w:w="7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540" w:type="dxa"/>
            <w:vAlign w:val="bottom"/>
            <w:tcBorders>
              <w:left w:val="single" w:sz="8" w:color="auto"/>
              <w:right w:val="single" w:sz="8" w:color="auto"/>
            </w:tcBorders>
            <w:vMerge w:val="continue"/>
          </w:tcPr>
          <w:p>
            <w:pPr>
              <w:spacing w:after="0"/>
              <w:rPr>
                <w:sz w:val="13"/>
                <w:szCs w:val="13"/>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8</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BENEFICIALLY</w:t>
            </w:r>
          </w:p>
        </w:tc>
        <w:tc>
          <w:tcPr>
            <w:tcW w:w="1200" w:type="dxa"/>
            <w:vAlign w:val="bottom"/>
            <w:tcBorders>
              <w:right w:val="single" w:sz="8" w:color="auto"/>
            </w:tcBorders>
            <w:vMerge w:val="continue"/>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1540" w:type="dxa"/>
            <w:vAlign w:val="bottom"/>
            <w:tcBorders>
              <w:left w:val="single" w:sz="8" w:color="auto"/>
              <w:right w:val="single" w:sz="8" w:color="auto"/>
            </w:tcBorders>
            <w:vMerge w:val="continue"/>
          </w:tcPr>
          <w:p>
            <w:pPr>
              <w:spacing w:after="0"/>
              <w:rPr>
                <w:sz w:val="11"/>
                <w:szCs w:val="11"/>
                <w:color w:val="auto"/>
              </w:rPr>
            </w:pPr>
          </w:p>
        </w:tc>
        <w:tc>
          <w:tcPr>
            <w:tcW w:w="1200" w:type="dxa"/>
            <w:vAlign w:val="bottom"/>
            <w:tcBorders>
              <w:right w:val="single" w:sz="8" w:color="auto"/>
            </w:tcBorders>
          </w:tcPr>
          <w:p>
            <w:pPr>
              <w:spacing w:after="0"/>
              <w:rPr>
                <w:sz w:val="11"/>
                <w:szCs w:val="11"/>
                <w:color w:val="auto"/>
              </w:rPr>
            </w:pPr>
          </w:p>
        </w:tc>
        <w:tc>
          <w:tcPr>
            <w:tcW w:w="7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OWNED BY</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5,836,243 (5)</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1200" w:type="dxa"/>
            <w:vAlign w:val="bottom"/>
            <w:tcBorders>
              <w:right w:val="single" w:sz="8" w:color="auto"/>
            </w:tcBorders>
          </w:tcPr>
          <w:p>
            <w:pPr>
              <w:spacing w:after="0"/>
              <w:rPr>
                <w:sz w:val="7"/>
                <w:szCs w:val="7"/>
                <w:color w:val="auto"/>
              </w:rPr>
            </w:pPr>
          </w:p>
        </w:tc>
        <w:tc>
          <w:tcPr>
            <w:tcW w:w="74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5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9</w:t>
            </w: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0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1200" w:type="dxa"/>
            <w:vAlign w:val="bottom"/>
            <w:tcBorders>
              <w:right w:val="single" w:sz="8" w:color="auto"/>
            </w:tcBorders>
            <w:vMerge w:val="continue"/>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540" w:type="dxa"/>
            <w:vAlign w:val="bottom"/>
            <w:tcBorders>
              <w:left w:val="single" w:sz="8" w:color="auto"/>
              <w:right w:val="single" w:sz="8" w:color="auto"/>
            </w:tcBorders>
            <w:vMerge w:val="continue"/>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74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PERSON</w:t>
            </w:r>
          </w:p>
        </w:tc>
        <w:tc>
          <w:tcPr>
            <w:tcW w:w="1200" w:type="dxa"/>
            <w:vAlign w:val="bottom"/>
            <w:tcBorders>
              <w:right w:val="single" w:sz="8" w:color="auto"/>
            </w:tcBorders>
          </w:tcPr>
          <w:p>
            <w:pPr>
              <w:spacing w:after="0"/>
              <w:rPr>
                <w:sz w:val="18"/>
                <w:szCs w:val="18"/>
                <w:color w:val="auto"/>
              </w:rPr>
            </w:pPr>
          </w:p>
        </w:tc>
        <w:tc>
          <w:tcPr>
            <w:tcW w:w="742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1540" w:type="dxa"/>
            <w:vAlign w:val="bottom"/>
            <w:tcBorders>
              <w:left w:val="single" w:sz="8" w:color="auto"/>
              <w:right w:val="single" w:sz="8" w:color="auto"/>
            </w:tcBorders>
            <w:vMerge w:val="restart"/>
          </w:tcPr>
          <w:p>
            <w:pPr>
              <w:jc w:val="center"/>
              <w:spacing w:after="0" w:line="160" w:lineRule="exact"/>
              <w:rPr>
                <w:sz w:val="20"/>
                <w:szCs w:val="20"/>
                <w:color w:val="auto"/>
              </w:rPr>
            </w:pPr>
            <w:r>
              <w:rPr>
                <w:rFonts w:ascii="Arial" w:cs="Arial" w:eastAsia="Arial" w:hAnsi="Arial"/>
                <w:sz w:val="18"/>
                <w:szCs w:val="18"/>
                <w:b w:val="1"/>
                <w:bCs w:val="1"/>
                <w:color w:val="auto"/>
              </w:rPr>
              <w:t>WITH</w:t>
            </w:r>
          </w:p>
        </w:tc>
        <w:tc>
          <w:tcPr>
            <w:tcW w:w="1200" w:type="dxa"/>
            <w:vAlign w:val="bottom"/>
            <w:tcBorders>
              <w:right w:val="single" w:sz="8" w:color="auto"/>
            </w:tcBorders>
          </w:tcPr>
          <w:p>
            <w:pPr>
              <w:spacing w:after="0"/>
              <w:rPr>
                <w:sz w:val="13"/>
                <w:szCs w:val="13"/>
                <w:color w:val="auto"/>
              </w:rPr>
            </w:pPr>
          </w:p>
        </w:tc>
        <w:tc>
          <w:tcPr>
            <w:tcW w:w="742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right w:val="single" w:sz="8" w:color="auto"/>
            </w:tcBorders>
            <w:vMerge w:val="continue"/>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spacing w:after="0"/>
              <w:rPr>
                <w:sz w:val="20"/>
                <w:szCs w:val="20"/>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10</w:t>
            </w:r>
          </w:p>
        </w:tc>
        <w:tc>
          <w:tcPr>
            <w:tcW w:w="742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7420" w:type="dxa"/>
            <w:vAlign w:val="bottom"/>
          </w:tcPr>
          <w:p>
            <w:pPr>
              <w:ind w:left="20"/>
              <w:spacing w:after="0"/>
              <w:rPr>
                <w:sz w:val="20"/>
                <w:szCs w:val="20"/>
                <w:color w:val="auto"/>
              </w:rPr>
            </w:pPr>
            <w:r>
              <w:rPr>
                <w:rFonts w:ascii="Arial" w:cs="Arial" w:eastAsia="Arial" w:hAnsi="Arial"/>
                <w:sz w:val="18"/>
                <w:szCs w:val="18"/>
                <w:color w:val="auto"/>
              </w:rPr>
              <w:t>5,836,243 (5)</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11</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5,836,243 (5)</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12</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080" w:type="dxa"/>
            <w:vAlign w:val="bottom"/>
          </w:tcPr>
          <w:p>
            <w:pPr>
              <w:jc w:val="center"/>
              <w:ind w:left="71"/>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419"/>
        </w:trPr>
        <w:tc>
          <w:tcPr>
            <w:tcW w:w="1540" w:type="dxa"/>
            <w:vAlign w:val="bottom"/>
            <w:tcBorders>
              <w:left w:val="single" w:sz="8" w:color="auto"/>
              <w:bottom w:val="single" w:sz="8" w:color="auto"/>
              <w:right w:val="single" w:sz="8" w:color="auto"/>
            </w:tcBorders>
          </w:tcPr>
          <w:p>
            <w:pPr>
              <w:spacing w:after="0"/>
              <w:rPr>
                <w:sz w:val="24"/>
                <w:szCs w:val="24"/>
                <w:color w:val="auto"/>
              </w:rPr>
            </w:pPr>
          </w:p>
        </w:tc>
        <w:tc>
          <w:tcPr>
            <w:tcW w:w="8620" w:type="dxa"/>
            <w:vAlign w:val="bottom"/>
            <w:tcBorders>
              <w:bottom w:val="single" w:sz="8" w:color="auto"/>
            </w:tcBorders>
            <w:gridSpan w:val="2"/>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32.94%</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862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5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14</w:t>
            </w:r>
          </w:p>
        </w:tc>
        <w:tc>
          <w:tcPr>
            <w:tcW w:w="862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40" w:type="dxa"/>
            <w:vAlign w:val="bottom"/>
            <w:tcBorders>
              <w:left w:val="single" w:sz="8" w:color="auto"/>
              <w:right w:val="single" w:sz="8" w:color="auto"/>
            </w:tcBorders>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auto"/>
              </w:rPr>
              <w:t>IN</w:t>
            </w:r>
          </w:p>
        </w:tc>
        <w:tc>
          <w:tcPr>
            <w:tcW w:w="7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4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69"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Comprised of (i) an aggregate of 5,830,249 shares of common stock held by Deerfield Private Design Fund III, L.P., Deerfield Private Design Fund IV, L.P. and Deerfield Healthcare Innovations Fund, L.P. and (ii) 5,994 shares of common stock issuable upon exercise of an option (the “2020 Option”) held by Jonathan Leff, an employee of Deerfield Management Company, L.P., for the benefit, and subject to the direction, of Deerfield Management Company, L.P. The 2020 Option was granted to Mr. Leff on July 16, 2020 and vests in equal monthly installments over a 36-month period, which commenced on July 16, 2020, subject to Mr. Leff’s continued service with the Issuer through each applicable vesting date. The number of shares reported as being beneficially owned by James E. Flynn does not include (i) shares of common stock issuable upon exercise of the 2020 Option to the extent it is unvested and will not vest within 60 days or (ii) shares of common stock issuable upon exercise of an option granted to Mr. Leff on May 12, 2021 (the “2021 Option”), which is scheduled to vest on the earlier of May 12, 2022 and the date of the Issuer's next annual meeting of stockholders, in each case, subject to Mr. Leff’s continued service with the Issuer through each applicable vesting date. The 2021 Option is held by Mr. Leff for the benefit, and at the direction, of Deerfield Management Company, L.P. Flynn is the sole member of the general partner of each of Deerfield Mgmt III, Deerfield Mgmt IV, Deerfield Mgmt HIF and Deerfield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left="20"/>
        <w:spacing w:after="0"/>
        <w:tabs>
          <w:tab w:leader="none" w:pos="97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jc w:val="both"/>
        <w:ind w:firstLine="824"/>
        <w:spacing w:after="0" w:line="271" w:lineRule="auto"/>
        <w:rPr>
          <w:sz w:val="20"/>
          <w:szCs w:val="20"/>
          <w:color w:val="auto"/>
        </w:rPr>
      </w:pPr>
      <w:r>
        <w:rPr>
          <w:rFonts w:ascii="Arial" w:cs="Arial" w:eastAsia="Arial" w:hAnsi="Arial"/>
          <w:sz w:val="17"/>
          <w:szCs w:val="17"/>
          <w:color w:val="auto"/>
        </w:rPr>
        <w:t>This Amendment No. 4 (this “</w:t>
      </w:r>
      <w:r>
        <w:rPr>
          <w:rFonts w:ascii="Arial" w:cs="Arial" w:eastAsia="Arial" w:hAnsi="Arial"/>
          <w:sz w:val="17"/>
          <w:szCs w:val="17"/>
          <w:u w:val="single" w:color="auto"/>
          <w:color w:val="auto"/>
        </w:rPr>
        <w:t>Amendment</w:t>
      </w:r>
      <w:r>
        <w:rPr>
          <w:rFonts w:ascii="Arial" w:cs="Arial" w:eastAsia="Arial" w:hAnsi="Arial"/>
          <w:sz w:val="17"/>
          <w:szCs w:val="17"/>
          <w:color w:val="auto"/>
        </w:rPr>
        <w:t>”) to Schedule 13D is filed by (i) Deerfield Private Design Fund III, L.P. (“</w:t>
      </w:r>
      <w:r>
        <w:rPr>
          <w:rFonts w:ascii="Arial" w:cs="Arial" w:eastAsia="Arial" w:hAnsi="Arial"/>
          <w:sz w:val="17"/>
          <w:szCs w:val="17"/>
          <w:u w:val="single" w:color="auto"/>
          <w:color w:val="auto"/>
        </w:rPr>
        <w:t>Deerfield Private Design</w:t>
      </w:r>
      <w:r>
        <w:rPr>
          <w:rFonts w:ascii="Arial" w:cs="Arial" w:eastAsia="Arial" w:hAnsi="Arial"/>
          <w:sz w:val="17"/>
          <w:szCs w:val="17"/>
          <w:color w:val="auto"/>
        </w:rPr>
        <w:t xml:space="preserve"> </w:t>
      </w:r>
      <w:r>
        <w:rPr>
          <w:rFonts w:ascii="Arial" w:cs="Arial" w:eastAsia="Arial" w:hAnsi="Arial"/>
          <w:sz w:val="17"/>
          <w:szCs w:val="17"/>
          <w:u w:val="single" w:color="auto"/>
          <w:color w:val="auto"/>
        </w:rPr>
        <w:t>Fund III</w:t>
      </w:r>
      <w:r>
        <w:rPr>
          <w:rFonts w:ascii="Arial" w:cs="Arial" w:eastAsia="Arial" w:hAnsi="Arial"/>
          <w:sz w:val="17"/>
          <w:szCs w:val="17"/>
          <w:color w:val="auto"/>
        </w:rPr>
        <w:t>”), (ii) Deerfield Healthcare Innovations Fund, L.P. (“</w:t>
      </w:r>
      <w:r>
        <w:rPr>
          <w:rFonts w:ascii="Arial" w:cs="Arial" w:eastAsia="Arial" w:hAnsi="Arial"/>
          <w:sz w:val="17"/>
          <w:szCs w:val="17"/>
          <w:u w:val="single" w:color="auto"/>
          <w:color w:val="auto"/>
        </w:rPr>
        <w:t>Deerfield Healthcare Innovations Fund</w:t>
      </w:r>
      <w:r>
        <w:rPr>
          <w:rFonts w:ascii="Arial" w:cs="Arial" w:eastAsia="Arial" w:hAnsi="Arial"/>
          <w:sz w:val="17"/>
          <w:szCs w:val="17"/>
          <w:color w:val="auto"/>
        </w:rPr>
        <w:t>”), (iii) Deerfield Private Design Fund IV, L.P. (“</w:t>
      </w:r>
      <w:r>
        <w:rPr>
          <w:rFonts w:ascii="Arial" w:cs="Arial" w:eastAsia="Arial" w:hAnsi="Arial"/>
          <w:sz w:val="17"/>
          <w:szCs w:val="17"/>
          <w:u w:val="single" w:color="auto"/>
          <w:color w:val="auto"/>
        </w:rPr>
        <w:t>Deerfield Private Design Fund IV</w:t>
      </w:r>
      <w:r>
        <w:rPr>
          <w:rFonts w:ascii="Arial" w:cs="Arial" w:eastAsia="Arial" w:hAnsi="Arial"/>
          <w:sz w:val="17"/>
          <w:szCs w:val="17"/>
          <w:color w:val="auto"/>
        </w:rPr>
        <w:t>”), (iv) Deerfield Mgmt III, L.P. (“</w:t>
      </w:r>
      <w:r>
        <w:rPr>
          <w:rFonts w:ascii="Arial" w:cs="Arial" w:eastAsia="Arial" w:hAnsi="Arial"/>
          <w:sz w:val="17"/>
          <w:szCs w:val="17"/>
          <w:u w:val="single" w:color="auto"/>
          <w:color w:val="auto"/>
        </w:rPr>
        <w:t>Deerfield Mgmt III</w:t>
      </w:r>
      <w:r>
        <w:rPr>
          <w:rFonts w:ascii="Arial" w:cs="Arial" w:eastAsia="Arial" w:hAnsi="Arial"/>
          <w:sz w:val="17"/>
          <w:szCs w:val="17"/>
          <w:color w:val="auto"/>
        </w:rPr>
        <w:t>”), (v) Deerfield Mgmt HIF, L.P. (“</w:t>
      </w:r>
      <w:r>
        <w:rPr>
          <w:rFonts w:ascii="Arial" w:cs="Arial" w:eastAsia="Arial" w:hAnsi="Arial"/>
          <w:sz w:val="17"/>
          <w:szCs w:val="17"/>
          <w:u w:val="single" w:color="auto"/>
          <w:color w:val="auto"/>
        </w:rPr>
        <w:t>Deerfield Mgmt HIF</w:t>
      </w:r>
      <w:r>
        <w:rPr>
          <w:rFonts w:ascii="Arial" w:cs="Arial" w:eastAsia="Arial" w:hAnsi="Arial"/>
          <w:sz w:val="17"/>
          <w:szCs w:val="17"/>
          <w:color w:val="auto"/>
        </w:rPr>
        <w:t>”), (vi) Deerfield Mgmt IV, L.P. (“</w:t>
      </w:r>
      <w:r>
        <w:rPr>
          <w:rFonts w:ascii="Arial" w:cs="Arial" w:eastAsia="Arial" w:hAnsi="Arial"/>
          <w:sz w:val="17"/>
          <w:szCs w:val="17"/>
          <w:u w:val="single" w:color="auto"/>
          <w:color w:val="auto"/>
        </w:rPr>
        <w:t>Deerfield Mgmt IV</w:t>
      </w:r>
      <w:r>
        <w:rPr>
          <w:rFonts w:ascii="Arial" w:cs="Arial" w:eastAsia="Arial" w:hAnsi="Arial"/>
          <w:sz w:val="17"/>
          <w:szCs w:val="17"/>
          <w:color w:val="auto"/>
        </w:rPr>
        <w:t>”), (vii) Deerfield Management Company, L.P. (“</w:t>
      </w:r>
      <w:r>
        <w:rPr>
          <w:rFonts w:ascii="Arial" w:cs="Arial" w:eastAsia="Arial" w:hAnsi="Arial"/>
          <w:sz w:val="17"/>
          <w:szCs w:val="17"/>
          <w:u w:val="single" w:color="auto"/>
          <w:color w:val="auto"/>
        </w:rPr>
        <w:t>Deerfield Management</w:t>
      </w:r>
      <w:r>
        <w:rPr>
          <w:rFonts w:ascii="Arial" w:cs="Arial" w:eastAsia="Arial" w:hAnsi="Arial"/>
          <w:sz w:val="17"/>
          <w:szCs w:val="17"/>
          <w:color w:val="auto"/>
        </w:rPr>
        <w:t>”) and (viii) James E. Flynn (“</w:t>
      </w:r>
      <w:r>
        <w:rPr>
          <w:rFonts w:ascii="Arial" w:cs="Arial" w:eastAsia="Arial" w:hAnsi="Arial"/>
          <w:sz w:val="17"/>
          <w:szCs w:val="17"/>
          <w:u w:val="single" w:color="auto"/>
          <w:color w:val="auto"/>
        </w:rPr>
        <w:t>Flynn</w:t>
      </w:r>
      <w:r>
        <w:rPr>
          <w:rFonts w:ascii="Arial" w:cs="Arial" w:eastAsia="Arial" w:hAnsi="Arial"/>
          <w:sz w:val="17"/>
          <w:szCs w:val="17"/>
          <w:color w:val="auto"/>
        </w:rPr>
        <w:t>” and, together with Deerfield Private Design Fund III, Deerfield Healthcare Innovations Fund, Deerfield Private Design Fund IV, Deerfield Mgmt III, Deerfield Mgmt HIF, Deerfield Mgmt IV and Deerfield Management, the “</w:t>
      </w:r>
      <w:r>
        <w:rPr>
          <w:rFonts w:ascii="Arial" w:cs="Arial" w:eastAsia="Arial" w:hAnsi="Arial"/>
          <w:sz w:val="17"/>
          <w:szCs w:val="17"/>
          <w:u w:val="single" w:color="auto"/>
          <w:color w:val="auto"/>
        </w:rPr>
        <w:t>Reporting Persons</w:t>
      </w:r>
      <w:r>
        <w:rPr>
          <w:rFonts w:ascii="Arial" w:cs="Arial" w:eastAsia="Arial" w:hAnsi="Arial"/>
          <w:sz w:val="17"/>
          <w:szCs w:val="17"/>
          <w:color w:val="auto"/>
        </w:rPr>
        <w:t>”), with respect to the securities of Larimar Therapeutics, Inc. (as amended by Amendment No.1, Amendment No. 2, Amendment No. 3 and this Amendment No. 4, the “</w:t>
      </w:r>
      <w:r>
        <w:rPr>
          <w:rFonts w:ascii="Arial" w:cs="Arial" w:eastAsia="Arial" w:hAnsi="Arial"/>
          <w:sz w:val="17"/>
          <w:szCs w:val="17"/>
          <w:u w:val="single" w:color="auto"/>
          <w:color w:val="auto"/>
        </w:rPr>
        <w:t>Schedule 13D</w:t>
      </w:r>
      <w:r>
        <w:rPr>
          <w:rFonts w:ascii="Arial" w:cs="Arial" w:eastAsia="Arial" w:hAnsi="Arial"/>
          <w:sz w:val="17"/>
          <w:szCs w:val="17"/>
          <w:color w:val="auto"/>
        </w:rPr>
        <w:t>”). Deerfield Private Design Fund III, Deerfield Healthcare Innovations Fund and Deerfield Private Design Fund IV are collectively referred to herein as the “</w:t>
      </w:r>
      <w:r>
        <w:rPr>
          <w:rFonts w:ascii="Arial" w:cs="Arial" w:eastAsia="Arial" w:hAnsi="Arial"/>
          <w:sz w:val="17"/>
          <w:szCs w:val="17"/>
          <w:u w:val="single" w:color="auto"/>
          <w:color w:val="auto"/>
        </w:rPr>
        <w:t>Funds</w:t>
      </w:r>
      <w:r>
        <w:rPr>
          <w:rFonts w:ascii="Arial" w:cs="Arial" w:eastAsia="Arial" w:hAnsi="Arial"/>
          <w:sz w:val="17"/>
          <w:szCs w:val="17"/>
          <w:color w:val="auto"/>
        </w:rPr>
        <w:t>”.</w:t>
      </w:r>
    </w:p>
    <w:p>
      <w:pPr>
        <w:spacing w:after="0" w:line="17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Capitalized terms used herein but not otherwise defined herein shall have the meanings ascribed to them in the Schedule 13D.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3 of the Schedule 13D is hereby amended by adding the following:</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June 30, 2021, Deerfield Private Design Fund III, Deerfield Healthcare Innovations Fund and Deerfield Private Design Fund IV purchased 228,569, 228,571 and 228,570 shares of Common Stock (collectively, the “ATM Shares”), respectively, at a price of $8.75 per share, or aggregate purchase prices of $1,999,978.75, $1,999,996.25 and $1,999,987.50, respectively. Each Fund utilized available cash assets to acquire the ATM Shares.</w:t>
      </w:r>
    </w:p>
    <w:p>
      <w:pPr>
        <w:spacing w:after="0" w:line="14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 4 of the Schedule 13D is hereby amended by adding the following: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Fund acquired its ATM Shares for investment purposes in an “at the market” offering conducted by the Company (the “ATM Offering”). The Reporting Persons anticipate that the ATM Shares will be registered for resale, and the Reporting Persons or their representatives intend to continue to engage in communications with representatives of the Company regarding any such registration, including with respect to any modifications to the Registration Rights Agreement in connection with such registration.</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Items 5(a), 5(b) and 5(c) of the Schedule 13D are hereby amended and restated in their entirety to read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1480" w:hanging="905"/>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Deerfield Private Design Fund III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ind w:left="1480"/>
              <w:spacing w:after="0"/>
              <w:rPr>
                <w:sz w:val="20"/>
                <w:szCs w:val="20"/>
                <w:color w:val="auto"/>
              </w:rPr>
            </w:pPr>
            <w:r>
              <w:rPr>
                <w:rFonts w:ascii="Arial" w:cs="Arial" w:eastAsia="Arial" w:hAnsi="Arial"/>
                <w:sz w:val="18"/>
                <w:szCs w:val="18"/>
                <w:color w:val="auto"/>
              </w:rPr>
              <w:t>Number of shares:</w:t>
            </w:r>
          </w:p>
        </w:tc>
        <w:tc>
          <w:tcPr>
            <w:tcW w:w="8000" w:type="dxa"/>
            <w:vAlign w:val="bottom"/>
          </w:tcPr>
          <w:p>
            <w:pPr>
              <w:ind w:left="260"/>
              <w:spacing w:after="0"/>
              <w:rPr>
                <w:sz w:val="20"/>
                <w:szCs w:val="20"/>
                <w:color w:val="auto"/>
              </w:rPr>
            </w:pPr>
            <w:r>
              <w:rPr>
                <w:rFonts w:ascii="Arial" w:cs="Arial" w:eastAsia="Arial" w:hAnsi="Arial"/>
                <w:sz w:val="18"/>
                <w:szCs w:val="18"/>
                <w:color w:val="auto"/>
              </w:rPr>
              <w:t>1,943,406</w:t>
            </w:r>
          </w:p>
        </w:tc>
      </w:tr>
      <w:tr>
        <w:trPr>
          <w:trHeight w:val="230"/>
        </w:trPr>
        <w:tc>
          <w:tcPr>
            <w:tcW w:w="3240" w:type="dxa"/>
            <w:vAlign w:val="bottom"/>
          </w:tcPr>
          <w:p>
            <w:pPr>
              <w:ind w:left="1480"/>
              <w:spacing w:after="0"/>
              <w:rPr>
                <w:sz w:val="20"/>
                <w:szCs w:val="20"/>
                <w:color w:val="auto"/>
              </w:rPr>
            </w:pPr>
            <w:r>
              <w:rPr>
                <w:rFonts w:ascii="Arial" w:cs="Arial" w:eastAsia="Arial" w:hAnsi="Arial"/>
                <w:sz w:val="18"/>
                <w:szCs w:val="18"/>
                <w:color w:val="auto"/>
                <w:w w:val="98"/>
              </w:rPr>
              <w:t>Percentage of shares:</w:t>
            </w:r>
          </w:p>
        </w:tc>
        <w:tc>
          <w:tcPr>
            <w:tcW w:w="8000" w:type="dxa"/>
            <w:vAlign w:val="bottom"/>
          </w:tcPr>
          <w:p>
            <w:pPr>
              <w:ind w:left="260"/>
              <w:spacing w:after="0"/>
              <w:rPr>
                <w:sz w:val="20"/>
                <w:szCs w:val="20"/>
                <w:color w:val="auto"/>
              </w:rPr>
            </w:pPr>
            <w:r>
              <w:rPr>
                <w:rFonts w:ascii="Arial" w:cs="Arial" w:eastAsia="Arial" w:hAnsi="Arial"/>
                <w:sz w:val="18"/>
                <w:szCs w:val="18"/>
                <w:color w:val="auto"/>
              </w:rPr>
              <w:t>10.97%*</w:t>
            </w:r>
          </w:p>
        </w:tc>
      </w:tr>
      <w:tr>
        <w:trPr>
          <w:trHeight w:val="358"/>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10" w:name="page11"/>
    <w:bookmarkEnd w:id="10"/>
    <w:p>
      <w:pPr>
        <w:ind w:left="20"/>
        <w:spacing w:after="0"/>
        <w:tabs>
          <w:tab w:leader="none" w:pos="976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480" w:hanging="905"/>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Deerfield Healthcare Innovations Fund</w:t>
      </w:r>
    </w:p>
    <w:p>
      <w:pPr>
        <w:spacing w:after="0" w:line="225"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Number of shares:</w:t>
            </w:r>
          </w:p>
        </w:tc>
        <w:tc>
          <w:tcPr>
            <w:tcW w:w="980" w:type="dxa"/>
            <w:vAlign w:val="bottom"/>
          </w:tcPr>
          <w:p>
            <w:pPr>
              <w:ind w:left="260"/>
              <w:spacing w:after="0"/>
              <w:rPr>
                <w:sz w:val="20"/>
                <w:szCs w:val="20"/>
                <w:color w:val="auto"/>
              </w:rPr>
            </w:pPr>
            <w:r>
              <w:rPr>
                <w:rFonts w:ascii="Arial" w:cs="Arial" w:eastAsia="Arial" w:hAnsi="Arial"/>
                <w:sz w:val="18"/>
                <w:szCs w:val="18"/>
                <w:color w:val="auto"/>
                <w:w w:val="87"/>
              </w:rPr>
              <w:t>1,943,420</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w w:val="98"/>
              </w:rPr>
              <w:t>Percentage of shares:</w:t>
            </w:r>
          </w:p>
        </w:tc>
        <w:tc>
          <w:tcPr>
            <w:tcW w:w="980" w:type="dxa"/>
            <w:vAlign w:val="bottom"/>
          </w:tcPr>
          <w:p>
            <w:pPr>
              <w:ind w:left="260"/>
              <w:spacing w:after="0"/>
              <w:rPr>
                <w:sz w:val="20"/>
                <w:szCs w:val="20"/>
                <w:color w:val="auto"/>
              </w:rPr>
            </w:pPr>
            <w:r>
              <w:rPr>
                <w:rFonts w:ascii="Arial" w:cs="Arial" w:eastAsia="Arial" w:hAnsi="Arial"/>
                <w:sz w:val="18"/>
                <w:szCs w:val="18"/>
                <w:color w:val="auto"/>
              </w:rPr>
              <w:t>10.97%*</w:t>
            </w:r>
          </w:p>
        </w:tc>
      </w:tr>
    </w:tbl>
    <w:p>
      <w:pPr>
        <w:spacing w:after="0" w:line="202" w:lineRule="exact"/>
        <w:rPr>
          <w:sz w:val="20"/>
          <w:szCs w:val="20"/>
          <w:color w:val="auto"/>
        </w:rPr>
      </w:pPr>
    </w:p>
    <w:p>
      <w:pPr>
        <w:ind w:left="1480" w:hanging="905"/>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Deerfield Private Design Fund IV</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5620" w:type="dxa"/>
            <w:vAlign w:val="bottom"/>
          </w:tcPr>
          <w:p>
            <w:pPr>
              <w:ind w:left="260"/>
              <w:spacing w:after="0"/>
              <w:rPr>
                <w:sz w:val="20"/>
                <w:szCs w:val="20"/>
                <w:color w:val="auto"/>
              </w:rPr>
            </w:pPr>
            <w:r>
              <w:rPr>
                <w:rFonts w:ascii="Arial" w:cs="Arial" w:eastAsia="Arial" w:hAnsi="Arial"/>
                <w:sz w:val="18"/>
                <w:szCs w:val="18"/>
                <w:color w:val="auto"/>
              </w:rPr>
              <w:t>1,943,423</w:t>
            </w:r>
          </w:p>
        </w:tc>
      </w:tr>
      <w:tr>
        <w:trPr>
          <w:trHeight w:val="230"/>
        </w:trPr>
        <w:tc>
          <w:tcPr>
            <w:tcW w:w="90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8"/>
              </w:rPr>
              <w:t>Percentage of shares:</w:t>
            </w:r>
          </w:p>
        </w:tc>
        <w:tc>
          <w:tcPr>
            <w:tcW w:w="5620" w:type="dxa"/>
            <w:vAlign w:val="bottom"/>
          </w:tcPr>
          <w:p>
            <w:pPr>
              <w:ind w:left="260"/>
              <w:spacing w:after="0"/>
              <w:rPr>
                <w:sz w:val="20"/>
                <w:szCs w:val="20"/>
                <w:color w:val="auto"/>
              </w:rPr>
            </w:pPr>
            <w:r>
              <w:rPr>
                <w:rFonts w:ascii="Arial" w:cs="Arial" w:eastAsia="Arial" w:hAnsi="Arial"/>
                <w:sz w:val="18"/>
                <w:szCs w:val="18"/>
                <w:color w:val="auto"/>
              </w:rPr>
              <w:t>10.97%*</w:t>
            </w:r>
          </w:p>
        </w:tc>
      </w:tr>
      <w:tr>
        <w:trPr>
          <w:trHeight w:val="392"/>
        </w:trPr>
        <w:tc>
          <w:tcPr>
            <w:tcW w:w="900" w:type="dxa"/>
            <w:vAlign w:val="bottom"/>
          </w:tcPr>
          <w:p>
            <w:pPr>
              <w:jc w:val="right"/>
              <w:ind w:right="610"/>
              <w:spacing w:after="0"/>
              <w:rPr>
                <w:sz w:val="20"/>
                <w:szCs w:val="20"/>
                <w:color w:val="auto"/>
              </w:rPr>
            </w:pPr>
            <w:r>
              <w:rPr>
                <w:rFonts w:ascii="Arial" w:cs="Arial" w:eastAsia="Arial" w:hAnsi="Arial"/>
                <w:sz w:val="18"/>
                <w:szCs w:val="18"/>
                <w:color w:val="auto"/>
                <w:w w:val="81"/>
              </w:rPr>
              <w:t>(4)</w:t>
            </w:r>
          </w:p>
        </w:tc>
        <w:tc>
          <w:tcPr>
            <w:tcW w:w="1760" w:type="dxa"/>
            <w:vAlign w:val="bottom"/>
            <w:gridSpan w:val="2"/>
          </w:tcPr>
          <w:p>
            <w:pPr>
              <w:spacing w:after="0"/>
              <w:rPr>
                <w:sz w:val="20"/>
                <w:szCs w:val="20"/>
                <w:color w:val="auto"/>
              </w:rPr>
            </w:pPr>
            <w:r>
              <w:rPr>
                <w:rFonts w:ascii="Arial" w:cs="Arial" w:eastAsia="Arial" w:hAnsi="Arial"/>
                <w:sz w:val="18"/>
                <w:szCs w:val="18"/>
                <w:color w:val="auto"/>
              </w:rPr>
              <w:t>Deerfield Mgmt III</w:t>
            </w:r>
          </w:p>
        </w:tc>
        <w:tc>
          <w:tcPr>
            <w:tcW w:w="5620" w:type="dxa"/>
            <w:vAlign w:val="bottom"/>
          </w:tcPr>
          <w:p>
            <w:pPr>
              <w:spacing w:after="0"/>
              <w:rPr>
                <w:sz w:val="24"/>
                <w:szCs w:val="24"/>
                <w:color w:val="auto"/>
              </w:rPr>
            </w:pPr>
          </w:p>
        </w:tc>
      </w:tr>
      <w:tr>
        <w:trPr>
          <w:trHeight w:val="438"/>
        </w:trPr>
        <w:tc>
          <w:tcPr>
            <w:tcW w:w="900" w:type="dxa"/>
            <w:vAlign w:val="bottom"/>
          </w:tcPr>
          <w:p>
            <w:pPr>
              <w:spacing w:after="0"/>
              <w:rPr>
                <w:sz w:val="24"/>
                <w:szCs w:val="24"/>
                <w:color w:val="auto"/>
              </w:rPr>
            </w:pPr>
          </w:p>
        </w:tc>
        <w:tc>
          <w:tcPr>
            <w:tcW w:w="13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Number of shares:</w:t>
            </w:r>
          </w:p>
        </w:tc>
        <w:tc>
          <w:tcPr>
            <w:tcW w:w="380" w:type="dxa"/>
            <w:vAlign w:val="bottom"/>
          </w:tcPr>
          <w:p>
            <w:pPr>
              <w:spacing w:after="0"/>
              <w:rPr>
                <w:sz w:val="24"/>
                <w:szCs w:val="24"/>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w w:val="90"/>
              </w:rPr>
              <w:t>1,943,406 (comprised of shares held by Deerfield Private Design Fund III)</w:t>
            </w:r>
          </w:p>
        </w:tc>
      </w:tr>
      <w:tr>
        <w:trPr>
          <w:trHeight w:val="230"/>
        </w:trPr>
        <w:tc>
          <w:tcPr>
            <w:tcW w:w="90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8"/>
              </w:rPr>
              <w:t>Percentage of shares:</w:t>
            </w:r>
          </w:p>
        </w:tc>
        <w:tc>
          <w:tcPr>
            <w:tcW w:w="5620" w:type="dxa"/>
            <w:vAlign w:val="bottom"/>
          </w:tcPr>
          <w:p>
            <w:pPr>
              <w:ind w:left="260"/>
              <w:spacing w:after="0"/>
              <w:rPr>
                <w:sz w:val="20"/>
                <w:szCs w:val="20"/>
                <w:color w:val="auto"/>
              </w:rPr>
            </w:pPr>
            <w:r>
              <w:rPr>
                <w:rFonts w:ascii="Arial" w:cs="Arial" w:eastAsia="Arial" w:hAnsi="Arial"/>
                <w:sz w:val="18"/>
                <w:szCs w:val="18"/>
                <w:color w:val="auto"/>
              </w:rPr>
              <w:t>10.97%*</w:t>
            </w:r>
          </w:p>
        </w:tc>
      </w:tr>
    </w:tbl>
    <w:p>
      <w:pPr>
        <w:spacing w:after="0" w:line="202" w:lineRule="exact"/>
        <w:rPr>
          <w:sz w:val="20"/>
          <w:szCs w:val="20"/>
          <w:color w:val="auto"/>
        </w:rPr>
      </w:pPr>
    </w:p>
    <w:p>
      <w:pPr>
        <w:ind w:left="1480" w:hanging="905"/>
        <w:spacing w:after="0"/>
        <w:tabs>
          <w:tab w:leader="none" w:pos="148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Deerfield Mgmt HIF</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1000" w:type="dxa"/>
            <w:vAlign w:val="bottom"/>
          </w:tcPr>
          <w:p>
            <w:pPr>
              <w:ind w:left="260"/>
              <w:spacing w:after="0"/>
              <w:rPr>
                <w:sz w:val="20"/>
                <w:szCs w:val="20"/>
                <w:color w:val="auto"/>
              </w:rPr>
            </w:pPr>
            <w:r>
              <w:rPr>
                <w:rFonts w:ascii="Arial" w:cs="Arial" w:eastAsia="Arial" w:hAnsi="Arial"/>
                <w:sz w:val="18"/>
                <w:szCs w:val="18"/>
                <w:color w:val="auto"/>
                <w:w w:val="89"/>
              </w:rPr>
              <w:t>1,943,420</w:t>
            </w:r>
          </w:p>
        </w:tc>
        <w:tc>
          <w:tcPr>
            <w:tcW w:w="5020" w:type="dxa"/>
            <w:vAlign w:val="bottom"/>
          </w:tcPr>
          <w:p>
            <w:pPr>
              <w:ind w:left="20"/>
              <w:spacing w:after="0"/>
              <w:rPr>
                <w:sz w:val="20"/>
                <w:szCs w:val="20"/>
                <w:color w:val="auto"/>
              </w:rPr>
            </w:pPr>
            <w:r>
              <w:rPr>
                <w:rFonts w:ascii="Arial" w:cs="Arial" w:eastAsia="Arial" w:hAnsi="Arial"/>
                <w:sz w:val="18"/>
                <w:szCs w:val="18"/>
                <w:color w:val="auto"/>
                <w:w w:val="90"/>
              </w:rPr>
              <w:t>(comprised of shares held by Deerfield Healthcare Innovations Fund)</w:t>
            </w:r>
          </w:p>
        </w:tc>
      </w:tr>
      <w:tr>
        <w:trPr>
          <w:trHeight w:val="230"/>
        </w:trPr>
        <w:tc>
          <w:tcPr>
            <w:tcW w:w="90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8"/>
              </w:rPr>
              <w:t>Percentage of shares:</w:t>
            </w:r>
          </w:p>
        </w:tc>
        <w:tc>
          <w:tcPr>
            <w:tcW w:w="1000" w:type="dxa"/>
            <w:vAlign w:val="bottom"/>
          </w:tcPr>
          <w:p>
            <w:pPr>
              <w:ind w:left="260"/>
              <w:spacing w:after="0"/>
              <w:rPr>
                <w:sz w:val="20"/>
                <w:szCs w:val="20"/>
                <w:color w:val="auto"/>
              </w:rPr>
            </w:pPr>
            <w:r>
              <w:rPr>
                <w:rFonts w:ascii="Arial" w:cs="Arial" w:eastAsia="Arial" w:hAnsi="Arial"/>
                <w:sz w:val="18"/>
                <w:szCs w:val="18"/>
                <w:color w:val="auto"/>
              </w:rPr>
              <w:t>10.97%*</w:t>
            </w:r>
          </w:p>
        </w:tc>
        <w:tc>
          <w:tcPr>
            <w:tcW w:w="5020" w:type="dxa"/>
            <w:vAlign w:val="bottom"/>
          </w:tcPr>
          <w:p>
            <w:pPr>
              <w:spacing w:after="0"/>
              <w:rPr>
                <w:sz w:val="20"/>
                <w:szCs w:val="20"/>
                <w:color w:val="auto"/>
              </w:rPr>
            </w:pPr>
          </w:p>
        </w:tc>
      </w:tr>
      <w:tr>
        <w:trPr>
          <w:trHeight w:val="391"/>
        </w:trPr>
        <w:tc>
          <w:tcPr>
            <w:tcW w:w="900" w:type="dxa"/>
            <w:vAlign w:val="bottom"/>
          </w:tcPr>
          <w:p>
            <w:pPr>
              <w:jc w:val="right"/>
              <w:ind w:right="610"/>
              <w:spacing w:after="0"/>
              <w:rPr>
                <w:sz w:val="20"/>
                <w:szCs w:val="20"/>
                <w:color w:val="auto"/>
              </w:rPr>
            </w:pPr>
            <w:r>
              <w:rPr>
                <w:rFonts w:ascii="Arial" w:cs="Arial" w:eastAsia="Arial" w:hAnsi="Arial"/>
                <w:sz w:val="18"/>
                <w:szCs w:val="18"/>
                <w:color w:val="auto"/>
                <w:w w:val="81"/>
              </w:rPr>
              <w:t>(6)</w:t>
            </w: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Deerfield Mgmt IV</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438"/>
        </w:trPr>
        <w:tc>
          <w:tcPr>
            <w:tcW w:w="9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1000" w:type="dxa"/>
            <w:vAlign w:val="bottom"/>
          </w:tcPr>
          <w:p>
            <w:pPr>
              <w:ind w:left="260"/>
              <w:spacing w:after="0"/>
              <w:rPr>
                <w:sz w:val="20"/>
                <w:szCs w:val="20"/>
                <w:color w:val="auto"/>
              </w:rPr>
            </w:pPr>
            <w:r>
              <w:rPr>
                <w:rFonts w:ascii="Arial" w:cs="Arial" w:eastAsia="Arial" w:hAnsi="Arial"/>
                <w:sz w:val="18"/>
                <w:szCs w:val="18"/>
                <w:color w:val="auto"/>
                <w:w w:val="89"/>
              </w:rPr>
              <w:t>1,943,423</w:t>
            </w:r>
          </w:p>
        </w:tc>
        <w:tc>
          <w:tcPr>
            <w:tcW w:w="5020" w:type="dxa"/>
            <w:vAlign w:val="bottom"/>
          </w:tcPr>
          <w:p>
            <w:pPr>
              <w:ind w:left="20"/>
              <w:spacing w:after="0"/>
              <w:rPr>
                <w:sz w:val="20"/>
                <w:szCs w:val="20"/>
                <w:color w:val="auto"/>
              </w:rPr>
            </w:pPr>
            <w:r>
              <w:rPr>
                <w:rFonts w:ascii="Arial" w:cs="Arial" w:eastAsia="Arial" w:hAnsi="Arial"/>
                <w:sz w:val="18"/>
                <w:szCs w:val="18"/>
                <w:color w:val="auto"/>
              </w:rPr>
              <w:t>(comprised of shares held by Deerfield Private Design Fund)</w:t>
            </w:r>
          </w:p>
        </w:tc>
      </w:tr>
      <w:tr>
        <w:trPr>
          <w:trHeight w:val="230"/>
        </w:trPr>
        <w:tc>
          <w:tcPr>
            <w:tcW w:w="90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8"/>
              </w:rPr>
              <w:t>Percentage of shares:</w:t>
            </w:r>
          </w:p>
        </w:tc>
        <w:tc>
          <w:tcPr>
            <w:tcW w:w="1000" w:type="dxa"/>
            <w:vAlign w:val="bottom"/>
          </w:tcPr>
          <w:p>
            <w:pPr>
              <w:ind w:left="260"/>
              <w:spacing w:after="0"/>
              <w:rPr>
                <w:sz w:val="20"/>
                <w:szCs w:val="20"/>
                <w:color w:val="auto"/>
              </w:rPr>
            </w:pPr>
            <w:r>
              <w:rPr>
                <w:rFonts w:ascii="Arial" w:cs="Arial" w:eastAsia="Arial" w:hAnsi="Arial"/>
                <w:sz w:val="18"/>
                <w:szCs w:val="18"/>
                <w:color w:val="auto"/>
              </w:rPr>
              <w:t>10.97%*</w:t>
            </w:r>
          </w:p>
        </w:tc>
        <w:tc>
          <w:tcPr>
            <w:tcW w:w="5020" w:type="dxa"/>
            <w:vAlign w:val="bottom"/>
          </w:tcPr>
          <w:p>
            <w:pPr>
              <w:spacing w:after="0"/>
              <w:rPr>
                <w:sz w:val="20"/>
                <w:szCs w:val="20"/>
                <w:color w:val="auto"/>
              </w:rPr>
            </w:pPr>
          </w:p>
        </w:tc>
      </w:tr>
    </w:tbl>
    <w:p>
      <w:pPr>
        <w:spacing w:after="0" w:line="202" w:lineRule="exact"/>
        <w:rPr>
          <w:sz w:val="20"/>
          <w:szCs w:val="20"/>
          <w:color w:val="auto"/>
        </w:rPr>
      </w:pPr>
    </w:p>
    <w:p>
      <w:pPr>
        <w:ind w:left="1480" w:hanging="905"/>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Deerfield Management</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7860" w:type="dxa"/>
            <w:vAlign w:val="bottom"/>
          </w:tcPr>
          <w:p>
            <w:pPr>
              <w:ind w:left="260"/>
              <w:spacing w:after="0"/>
              <w:rPr>
                <w:sz w:val="20"/>
                <w:szCs w:val="20"/>
                <w:color w:val="auto"/>
              </w:rPr>
            </w:pPr>
            <w:r>
              <w:rPr>
                <w:rFonts w:ascii="Arial" w:cs="Arial" w:eastAsia="Arial" w:hAnsi="Arial"/>
                <w:sz w:val="18"/>
                <w:szCs w:val="18"/>
                <w:color w:val="auto"/>
                <w:w w:val="91"/>
              </w:rPr>
              <w:t>5,836,243 (comprised of shares held by Deerfield Private Design Fund III, Deerfield Private Design Fund</w:t>
            </w:r>
          </w:p>
        </w:tc>
      </w:tr>
      <w:tr>
        <w:trPr>
          <w:trHeight w:val="216"/>
        </w:trPr>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60" w:type="dxa"/>
            <w:vAlign w:val="bottom"/>
          </w:tcPr>
          <w:p>
            <w:pPr>
              <w:ind w:left="260"/>
              <w:spacing w:after="0"/>
              <w:rPr>
                <w:sz w:val="20"/>
                <w:szCs w:val="20"/>
                <w:color w:val="auto"/>
              </w:rPr>
            </w:pPr>
            <w:r>
              <w:rPr>
                <w:rFonts w:ascii="Arial" w:cs="Arial" w:eastAsia="Arial" w:hAnsi="Arial"/>
                <w:sz w:val="18"/>
                <w:szCs w:val="18"/>
                <w:color w:val="auto"/>
                <w:w w:val="90"/>
              </w:rPr>
              <w:t>IV and Deerfield Healthcare Innovations Fund and shares underlying options held by Jonathan Leff at the</w:t>
            </w:r>
          </w:p>
        </w:tc>
      </w:tr>
      <w:tr>
        <w:trPr>
          <w:trHeight w:val="216"/>
        </w:trPr>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60" w:type="dxa"/>
            <w:vAlign w:val="bottom"/>
          </w:tcPr>
          <w:p>
            <w:pPr>
              <w:ind w:left="260"/>
              <w:spacing w:after="0"/>
              <w:rPr>
                <w:sz w:val="20"/>
                <w:szCs w:val="20"/>
                <w:color w:val="auto"/>
              </w:rPr>
            </w:pPr>
            <w:r>
              <w:rPr>
                <w:rFonts w:ascii="Arial" w:cs="Arial" w:eastAsia="Arial" w:hAnsi="Arial"/>
                <w:sz w:val="18"/>
                <w:szCs w:val="18"/>
                <w:color w:val="auto"/>
              </w:rPr>
              <w:t>direction and for the benefit of Deerfield Management)</w:t>
            </w:r>
          </w:p>
        </w:tc>
      </w:tr>
      <w:tr>
        <w:trPr>
          <w:trHeight w:val="230"/>
        </w:trPr>
        <w:tc>
          <w:tcPr>
            <w:tcW w:w="90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8"/>
              </w:rPr>
              <w:t>Percentage of shares:</w:t>
            </w:r>
          </w:p>
        </w:tc>
        <w:tc>
          <w:tcPr>
            <w:tcW w:w="7860" w:type="dxa"/>
            <w:vAlign w:val="bottom"/>
          </w:tcPr>
          <w:p>
            <w:pPr>
              <w:ind w:left="260"/>
              <w:spacing w:after="0"/>
              <w:rPr>
                <w:sz w:val="20"/>
                <w:szCs w:val="20"/>
                <w:color w:val="auto"/>
              </w:rPr>
            </w:pPr>
            <w:r>
              <w:rPr>
                <w:rFonts w:ascii="Arial" w:cs="Arial" w:eastAsia="Arial" w:hAnsi="Arial"/>
                <w:sz w:val="18"/>
                <w:szCs w:val="18"/>
                <w:color w:val="auto"/>
              </w:rPr>
              <w:t>32.94%*</w:t>
            </w:r>
          </w:p>
        </w:tc>
      </w:tr>
      <w:tr>
        <w:trPr>
          <w:trHeight w:val="391"/>
        </w:trPr>
        <w:tc>
          <w:tcPr>
            <w:tcW w:w="900" w:type="dxa"/>
            <w:vAlign w:val="bottom"/>
          </w:tcPr>
          <w:p>
            <w:pPr>
              <w:jc w:val="right"/>
              <w:ind w:right="610"/>
              <w:spacing w:after="0"/>
              <w:rPr>
                <w:sz w:val="20"/>
                <w:szCs w:val="20"/>
                <w:color w:val="auto"/>
              </w:rPr>
            </w:pPr>
            <w:r>
              <w:rPr>
                <w:rFonts w:ascii="Arial" w:cs="Arial" w:eastAsia="Arial" w:hAnsi="Arial"/>
                <w:sz w:val="18"/>
                <w:szCs w:val="18"/>
                <w:color w:val="auto"/>
                <w:w w:val="81"/>
              </w:rPr>
              <w:t>(8)</w:t>
            </w:r>
          </w:p>
        </w:tc>
        <w:tc>
          <w:tcPr>
            <w:tcW w:w="1760" w:type="dxa"/>
            <w:vAlign w:val="bottom"/>
            <w:gridSpan w:val="2"/>
          </w:tcPr>
          <w:p>
            <w:pPr>
              <w:spacing w:after="0"/>
              <w:rPr>
                <w:sz w:val="20"/>
                <w:szCs w:val="20"/>
                <w:color w:val="auto"/>
              </w:rPr>
            </w:pPr>
            <w:r>
              <w:rPr>
                <w:rFonts w:ascii="Arial" w:cs="Arial" w:eastAsia="Arial" w:hAnsi="Arial"/>
                <w:sz w:val="18"/>
                <w:szCs w:val="18"/>
                <w:color w:val="auto"/>
              </w:rPr>
              <w:t>James E. Flynn</w:t>
            </w:r>
          </w:p>
        </w:tc>
        <w:tc>
          <w:tcPr>
            <w:tcW w:w="7860" w:type="dxa"/>
            <w:vAlign w:val="bottom"/>
          </w:tcPr>
          <w:p>
            <w:pPr>
              <w:spacing w:after="0"/>
              <w:rPr>
                <w:sz w:val="24"/>
                <w:szCs w:val="24"/>
                <w:color w:val="auto"/>
              </w:rPr>
            </w:pPr>
          </w:p>
        </w:tc>
      </w:tr>
      <w:tr>
        <w:trPr>
          <w:trHeight w:val="20"/>
        </w:trPr>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438"/>
        </w:trPr>
        <w:tc>
          <w:tcPr>
            <w:tcW w:w="900" w:type="dxa"/>
            <w:vAlign w:val="bottom"/>
          </w:tcPr>
          <w:p>
            <w:pPr>
              <w:spacing w:after="0"/>
              <w:rPr>
                <w:sz w:val="24"/>
                <w:szCs w:val="24"/>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7860" w:type="dxa"/>
            <w:vAlign w:val="bottom"/>
          </w:tcPr>
          <w:p>
            <w:pPr>
              <w:ind w:left="260"/>
              <w:spacing w:after="0"/>
              <w:rPr>
                <w:sz w:val="20"/>
                <w:szCs w:val="20"/>
                <w:color w:val="auto"/>
              </w:rPr>
            </w:pPr>
            <w:r>
              <w:rPr>
                <w:rFonts w:ascii="Arial" w:cs="Arial" w:eastAsia="Arial" w:hAnsi="Arial"/>
                <w:sz w:val="18"/>
                <w:szCs w:val="18"/>
                <w:color w:val="auto"/>
                <w:w w:val="91"/>
              </w:rPr>
              <w:t>5,836,243 (comprised of shares held by Deerfield Private Design Fund III, Deerfield Private Design Fund</w:t>
            </w:r>
          </w:p>
        </w:tc>
      </w:tr>
      <w:tr>
        <w:trPr>
          <w:trHeight w:val="216"/>
        </w:trPr>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60" w:type="dxa"/>
            <w:vAlign w:val="bottom"/>
          </w:tcPr>
          <w:p>
            <w:pPr>
              <w:ind w:left="260"/>
              <w:spacing w:after="0"/>
              <w:rPr>
                <w:sz w:val="20"/>
                <w:szCs w:val="20"/>
                <w:color w:val="auto"/>
              </w:rPr>
            </w:pPr>
            <w:r>
              <w:rPr>
                <w:rFonts w:ascii="Arial" w:cs="Arial" w:eastAsia="Arial" w:hAnsi="Arial"/>
                <w:sz w:val="18"/>
                <w:szCs w:val="18"/>
                <w:color w:val="auto"/>
                <w:w w:val="90"/>
              </w:rPr>
              <w:t>IV and Deerfield Healthcare Innovations Fund and shares underlying options held by Jonathan Leff at the</w:t>
            </w:r>
          </w:p>
        </w:tc>
      </w:tr>
      <w:tr>
        <w:trPr>
          <w:trHeight w:val="216"/>
        </w:trPr>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60" w:type="dxa"/>
            <w:vAlign w:val="bottom"/>
          </w:tcPr>
          <w:p>
            <w:pPr>
              <w:ind w:left="260"/>
              <w:spacing w:after="0"/>
              <w:rPr>
                <w:sz w:val="20"/>
                <w:szCs w:val="20"/>
                <w:color w:val="auto"/>
              </w:rPr>
            </w:pPr>
            <w:r>
              <w:rPr>
                <w:rFonts w:ascii="Arial" w:cs="Arial" w:eastAsia="Arial" w:hAnsi="Arial"/>
                <w:sz w:val="18"/>
                <w:szCs w:val="18"/>
                <w:color w:val="auto"/>
              </w:rPr>
              <w:t>direction and for the benefit of Deerfield Management)</w:t>
            </w:r>
          </w:p>
        </w:tc>
      </w:tr>
      <w:tr>
        <w:trPr>
          <w:trHeight w:val="230"/>
        </w:trPr>
        <w:tc>
          <w:tcPr>
            <w:tcW w:w="90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8"/>
              </w:rPr>
              <w:t>Percentage of shares:</w:t>
            </w:r>
          </w:p>
        </w:tc>
        <w:tc>
          <w:tcPr>
            <w:tcW w:w="7860" w:type="dxa"/>
            <w:vAlign w:val="bottom"/>
          </w:tcPr>
          <w:p>
            <w:pPr>
              <w:ind w:left="260"/>
              <w:spacing w:after="0"/>
              <w:rPr>
                <w:sz w:val="20"/>
                <w:szCs w:val="20"/>
                <w:color w:val="auto"/>
              </w:rPr>
            </w:pPr>
            <w:r>
              <w:rPr>
                <w:rFonts w:ascii="Arial" w:cs="Arial" w:eastAsia="Arial" w:hAnsi="Arial"/>
                <w:sz w:val="18"/>
                <w:szCs w:val="18"/>
                <w:color w:val="auto"/>
              </w:rPr>
              <w:t>32.94%*</w:t>
            </w: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*Throughout this report, the percentage of outstanding Common Stock beneficially owned by the Reporting Persons reflects 17,710,450 shares of Common Stock outstanding as of July 2, 2021, including shares issued in the ATM Offering, based on information provided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1" w:name="page12"/>
    <w:bookmarkEnd w:id="11"/>
    <w:p>
      <w:pPr>
        <w:ind w:left="20"/>
        <w:spacing w:after="0"/>
        <w:tabs>
          <w:tab w:leader="none" w:pos="97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480" w:hanging="905"/>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Deerfield Private Design Fund III</w:t>
      </w:r>
    </w:p>
    <w:p>
      <w:pPr>
        <w:spacing w:after="0" w:line="225"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1,943,406</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1,943,406</w:t>
      </w:r>
    </w:p>
    <w:p>
      <w:pPr>
        <w:spacing w:after="0" w:line="210" w:lineRule="exact"/>
        <w:rPr>
          <w:rFonts w:ascii="Arial" w:cs="Arial" w:eastAsia="Arial" w:hAnsi="Arial"/>
          <w:sz w:val="18"/>
          <w:szCs w:val="18"/>
          <w:color w:val="auto"/>
        </w:rPr>
      </w:pPr>
    </w:p>
    <w:p>
      <w:pPr>
        <w:ind w:left="1480" w:hanging="905"/>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Deerfield Healthcare Innovations Fund</w:t>
      </w:r>
    </w:p>
    <w:p>
      <w:pPr>
        <w:spacing w:after="0" w:line="225"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1,943,420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1,943,420</w:t>
      </w:r>
    </w:p>
    <w:p>
      <w:pPr>
        <w:spacing w:after="0" w:line="210" w:lineRule="exact"/>
        <w:rPr>
          <w:rFonts w:ascii="Arial" w:cs="Arial" w:eastAsia="Arial" w:hAnsi="Arial"/>
          <w:sz w:val="18"/>
          <w:szCs w:val="18"/>
          <w:color w:val="auto"/>
        </w:rPr>
      </w:pPr>
    </w:p>
    <w:p>
      <w:pPr>
        <w:ind w:left="1480" w:hanging="905"/>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Deerfield Private Design Fund IV</w:t>
      </w:r>
    </w:p>
    <w:p>
      <w:pPr>
        <w:spacing w:after="0" w:line="225"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1,943,423</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1,943,423</w:t>
      </w:r>
    </w:p>
    <w:p>
      <w:pPr>
        <w:spacing w:after="0" w:line="210" w:lineRule="exact"/>
        <w:rPr>
          <w:rFonts w:ascii="Arial" w:cs="Arial" w:eastAsia="Arial" w:hAnsi="Arial"/>
          <w:sz w:val="18"/>
          <w:szCs w:val="18"/>
          <w:color w:val="auto"/>
        </w:rPr>
      </w:pPr>
    </w:p>
    <w:p>
      <w:pPr>
        <w:ind w:left="1480" w:hanging="905"/>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Deerfield Mgmt III</w:t>
      </w:r>
    </w:p>
    <w:p>
      <w:pPr>
        <w:spacing w:after="0" w:line="225"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1,943,406</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1,943,406</w:t>
      </w:r>
    </w:p>
    <w:p>
      <w:pPr>
        <w:spacing w:after="0" w:line="210" w:lineRule="exact"/>
        <w:rPr>
          <w:rFonts w:ascii="Arial" w:cs="Arial" w:eastAsia="Arial" w:hAnsi="Arial"/>
          <w:sz w:val="18"/>
          <w:szCs w:val="18"/>
          <w:color w:val="auto"/>
        </w:rPr>
      </w:pPr>
    </w:p>
    <w:p>
      <w:pPr>
        <w:ind w:left="1480" w:hanging="905"/>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Deerfield Mgmt HIF</w:t>
      </w:r>
    </w:p>
    <w:p>
      <w:pPr>
        <w:spacing w:after="0" w:line="225"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1,943,420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1,943,420</w:t>
      </w:r>
    </w:p>
    <w:p>
      <w:pPr>
        <w:spacing w:after="0" w:line="210" w:lineRule="exact"/>
        <w:rPr>
          <w:rFonts w:ascii="Arial" w:cs="Arial" w:eastAsia="Arial" w:hAnsi="Arial"/>
          <w:sz w:val="18"/>
          <w:szCs w:val="18"/>
          <w:color w:val="auto"/>
        </w:rPr>
      </w:pPr>
    </w:p>
    <w:p>
      <w:pPr>
        <w:ind w:left="1480" w:hanging="905"/>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Deerfield Mgmt IV</w:t>
      </w:r>
    </w:p>
    <w:p>
      <w:pPr>
        <w:spacing w:after="0" w:line="225"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1,943,423</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1,943,423</w:t>
      </w:r>
    </w:p>
    <w:p>
      <w:pPr>
        <w:spacing w:after="0" w:line="210" w:lineRule="exact"/>
        <w:rPr>
          <w:rFonts w:ascii="Arial" w:cs="Arial" w:eastAsia="Arial" w:hAnsi="Arial"/>
          <w:sz w:val="18"/>
          <w:szCs w:val="18"/>
          <w:color w:val="auto"/>
        </w:rPr>
      </w:pPr>
    </w:p>
    <w:p>
      <w:pPr>
        <w:ind w:left="1480" w:hanging="905"/>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Deerfield Management</w:t>
      </w:r>
    </w:p>
    <w:p>
      <w:pPr>
        <w:spacing w:after="0" w:line="225"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3"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vote or direct the vote: 5,836,243</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Sole power to dispose or to direct the disposition: 0</w:t>
      </w:r>
    </w:p>
    <w:p>
      <w:pPr>
        <w:spacing w:after="0" w:line="9" w:lineRule="exact"/>
        <w:rPr>
          <w:rFonts w:ascii="Arial" w:cs="Arial" w:eastAsia="Arial" w:hAnsi="Arial"/>
          <w:sz w:val="18"/>
          <w:szCs w:val="18"/>
          <w:color w:val="auto"/>
        </w:rPr>
      </w:pPr>
    </w:p>
    <w:p>
      <w:pPr>
        <w:ind w:left="1480"/>
        <w:spacing w:after="0"/>
        <w:rPr>
          <w:rFonts w:ascii="Arial" w:cs="Arial" w:eastAsia="Arial" w:hAnsi="Arial"/>
          <w:sz w:val="18"/>
          <w:szCs w:val="18"/>
          <w:color w:val="auto"/>
        </w:rPr>
      </w:pPr>
      <w:r>
        <w:rPr>
          <w:rFonts w:ascii="Arial" w:cs="Arial" w:eastAsia="Arial" w:hAnsi="Arial"/>
          <w:sz w:val="18"/>
          <w:szCs w:val="18"/>
          <w:color w:val="auto"/>
        </w:rPr>
        <w:t>Shared power to dispose or direct the disposition: 5,836,243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2" w:name="page13"/>
    <w:bookmarkEnd w:id="12"/>
    <w:p>
      <w:pPr>
        <w:ind w:left="20"/>
        <w:spacing w:after="0"/>
        <w:tabs>
          <w:tab w:leader="none" w:pos="97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480" w:hanging="905"/>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James E. Flynn</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Sole power to vote or direct the vote: 0</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Shared power to vote or direct the vote: 5,836,243</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Sole power to dispose or to direct the disposition: 0</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Shared power to dispose or direct the disposition: 5,836,243</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James E. Flynn is the managing member of the general partner of each of Deerfield Mgmt III, Deerfield Mgmt IV, Deerfield Mgmt HIF and Deerfield Management. Deerfield Mgmt III is the general partner of Deerfield Private Design Fund III. Deerfield Mgmt HIF is the general partner of Deerfield Healthcare Innovations Fund. Deerfield Mgmt IV is the general partner of Deerfield Private Design Fund IV. Deerfield Management is the investment manager of each of Deerfield Private Design Fund III, Deerfield Healthcare Innovations Fund and Deerfield Private Design Fund IV.</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 Except as set forth in Item 3 of this Schedule 13D, no Reporting Person has effected any transactions in the Common Stock during the past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3" w:name="page14"/>
    <w:bookmarkEnd w:id="13"/>
    <w:p>
      <w:pPr>
        <w:ind w:left="20"/>
        <w:spacing w:after="0"/>
        <w:tabs>
          <w:tab w:leader="none" w:pos="9740" w:val="left"/>
        </w:tabs>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517125100</w:t>
      </w:r>
      <w:r>
        <w:rPr>
          <w:sz w:val="20"/>
          <w:szCs w:val="20"/>
          <w:color w:val="auto"/>
        </w:rPr>
        <w:tab/>
      </w:r>
      <w:r>
        <w:rPr>
          <w:rFonts w:ascii="Arial" w:cs="Arial" w:eastAsia="Arial" w:hAnsi="Arial"/>
          <w:sz w:val="15"/>
          <w:szCs w:val="15"/>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After reasonable inquiry and to the best of their knowledge and belief, the undersigned certify that the information set forth in this statement is true, complete and correct.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July 2,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DEERFIELD PRIVATE DESIGN FUND III, L.P.</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Deerfield Mgmt III, L.P., General Partner</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J.E. Flynn Capital III, LLC, General Partner</w:t>
            </w:r>
          </w:p>
        </w:tc>
      </w:tr>
      <w:tr>
        <w:trPr>
          <w:trHeight w:val="432"/>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DEERFIELD HEALTHCARE INNOVATIONS FUND, L.P.</w:t>
            </w:r>
          </w:p>
        </w:tc>
      </w:tr>
      <w:tr>
        <w:trPr>
          <w:trHeight w:val="216"/>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Deerfield Mgmt HIF, L.P., General Partner</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J.E. Flynn Capital HIF, LLC, General Partner</w:t>
            </w:r>
          </w:p>
        </w:tc>
      </w:tr>
      <w:tr>
        <w:trPr>
          <w:trHeight w:val="432"/>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224"/>
        </w:trPr>
        <w:tc>
          <w:tcPr>
            <w:tcW w:w="6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Jonathan Isler, Attorney-In-Fact</w:t>
            </w:r>
          </w:p>
        </w:tc>
      </w:tr>
      <w:tr>
        <w:trPr>
          <w:trHeight w:val="619"/>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DEERFIELD PRIVATE DESIGN FUND IV, L.P.</w:t>
            </w:r>
          </w:p>
        </w:tc>
      </w:tr>
      <w:tr>
        <w:trPr>
          <w:trHeight w:val="216"/>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Deerfield Mgmt IV, L.P., General Partner</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J.E. Flynn Capital IV, LLC, General Partner</w:t>
            </w:r>
          </w:p>
        </w:tc>
      </w:tr>
      <w:tr>
        <w:trPr>
          <w:trHeight w:val="432"/>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34"/>
        </w:trPr>
        <w:tc>
          <w:tcPr>
            <w:tcW w:w="11240" w:type="dxa"/>
            <w:vAlign w:val="bottom"/>
            <w:gridSpan w:val="2"/>
          </w:tcPr>
          <w:p>
            <w:pPr>
              <w:ind w:left="5640"/>
              <w:spacing w:after="0"/>
              <w:rPr>
                <w:sz w:val="20"/>
                <w:szCs w:val="20"/>
                <w:color w:val="auto"/>
              </w:rPr>
            </w:pPr>
            <w:r>
              <w:rPr>
                <w:rFonts w:ascii="Arial" w:cs="Arial" w:eastAsia="Arial" w:hAnsi="Arial"/>
                <w:sz w:val="18"/>
                <w:szCs w:val="18"/>
                <w:color w:val="auto"/>
              </w:rPr>
              <w:t>DEERFIELD MGMT III, L.P.</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J.E. Flynn Capital III, LLC, General Partner</w:t>
            </w:r>
          </w:p>
        </w:tc>
      </w:tr>
      <w:tr>
        <w:trPr>
          <w:trHeight w:val="432"/>
        </w:trPr>
        <w:tc>
          <w:tcPr>
            <w:tcW w:w="6300" w:type="dxa"/>
            <w:vAlign w:val="bottom"/>
          </w:tcPr>
          <w:p>
            <w:pPr>
              <w:ind w:left="56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300" w:type="dxa"/>
            <w:vAlign w:val="bottom"/>
          </w:tcPr>
          <w:p>
            <w:pPr>
              <w:ind w:left="56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300" w:type="dxa"/>
            <w:vAlign w:val="bottom"/>
          </w:tcPr>
          <w:p>
            <w:pPr>
              <w:ind w:left="56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358"/>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14" w:name="page15"/>
    <w:bookmarkEnd w:id="14"/>
    <w:p>
      <w:pPr>
        <w:ind w:left="4520"/>
        <w:spacing w:after="0"/>
        <w:rPr>
          <w:sz w:val="20"/>
          <w:szCs w:val="20"/>
          <w:color w:val="auto"/>
        </w:rPr>
      </w:pPr>
      <w:r>
        <w:rPr>
          <w:rFonts w:ascii="Arial" w:cs="Arial" w:eastAsia="Arial" w:hAnsi="Arial"/>
          <w:sz w:val="18"/>
          <w:szCs w:val="18"/>
          <w:color w:val="auto"/>
        </w:rPr>
        <w:t>DEERFIELD MGMT HIF, L.P.</w:t>
      </w:r>
    </w:p>
    <w:p>
      <w:pPr>
        <w:spacing w:after="0" w:line="23"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J.E. Flynn Capital HIF, LLC, General Partner</w:t>
            </w:r>
          </w:p>
        </w:tc>
      </w:tr>
      <w:tr>
        <w:trPr>
          <w:trHeight w:val="418"/>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224"/>
        </w:trPr>
        <w:tc>
          <w:tcPr>
            <w:tcW w:w="66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Jonathan Isler, Attorney-in-Fact</w:t>
            </w:r>
          </w:p>
        </w:tc>
      </w:tr>
      <w:tr>
        <w:trPr>
          <w:trHeight w:val="619"/>
        </w:trPr>
        <w:tc>
          <w:tcPr>
            <w:tcW w:w="5600" w:type="dxa"/>
            <w:vAlign w:val="bottom"/>
            <w:gridSpan w:val="2"/>
          </w:tcPr>
          <w:p>
            <w:pPr>
              <w:spacing w:after="0"/>
              <w:rPr>
                <w:sz w:val="20"/>
                <w:szCs w:val="20"/>
                <w:color w:val="auto"/>
              </w:rPr>
            </w:pPr>
            <w:r>
              <w:rPr>
                <w:rFonts w:ascii="Arial" w:cs="Arial" w:eastAsia="Arial" w:hAnsi="Arial"/>
                <w:sz w:val="18"/>
                <w:szCs w:val="18"/>
                <w:color w:val="auto"/>
              </w:rPr>
              <w:t>DEERFIELD MGMT IV, L.P.</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J.E. Flynn Capital IV, LLC, General Partner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Attorney-in-Fact</w:t>
            </w:r>
          </w:p>
        </w:tc>
      </w:tr>
      <w:tr>
        <w:trPr>
          <w:trHeight w:val="688"/>
        </w:trPr>
        <w:tc>
          <w:tcPr>
            <w:tcW w:w="5600" w:type="dxa"/>
            <w:vAlign w:val="bottom"/>
            <w:gridSpan w:val="2"/>
          </w:tcPr>
          <w:p>
            <w:pPr>
              <w:spacing w:after="0"/>
              <w:rPr>
                <w:sz w:val="20"/>
                <w:szCs w:val="20"/>
                <w:color w:val="auto"/>
              </w:rPr>
            </w:pPr>
            <w:r>
              <w:rPr>
                <w:rFonts w:ascii="Arial" w:cs="Arial" w:eastAsia="Arial" w:hAnsi="Arial"/>
                <w:sz w:val="18"/>
                <w:szCs w:val="18"/>
                <w:color w:val="auto"/>
              </w:rPr>
              <w:t>DEERFIELD MANAGEMENT COMPANY, L.P.</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Flynn Management LLC, General Partner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Isler</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Jonathan Isler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Attorney-in-Fact</w:t>
            </w:r>
          </w:p>
        </w:tc>
      </w:tr>
    </w:tbl>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Jonathan Isler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14605</wp:posOffset>
            </wp:positionV>
            <wp:extent cx="3557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Jonathan Isler, Attorney-in-Fact</w:t>
      </w:r>
    </w:p>
    <w:sectPr>
      <w:pgSz w:w="11900" w:h="16838" w:orient="portrait"/>
      <w:cols w:equalWidth="0" w:num="1">
        <w:col w:w="10120"/>
      </w:cols>
      <w:pgMar w:left="1440" w:top="5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12"/>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1"/>
      <w:numFmt w:val="bullet"/>
      <w:start w:val="1"/>
    </w:lvl>
  </w:abstractNum>
  <w:abstractNum w:abstractNumId="4">
    <w:nsid w:val="66EF438D"/>
    <w:multiLevelType w:val="hybridMultilevel"/>
    <w:lvl w:ilvl="0">
      <w:lvlJc w:val="left"/>
      <w:lvlText w:val="1"/>
      <w:numFmt w:val="bullet"/>
      <w:start w:val="1"/>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1"/>
      <w:numFmt w:val="bullet"/>
      <w:start w:val="1"/>
    </w:lvl>
  </w:abstractNum>
  <w:abstractNum w:abstractNumId="7">
    <w:nsid w:val="109CF92E"/>
    <w:multiLevelType w:val="hybridMultilevel"/>
    <w:lvl w:ilvl="0">
      <w:lvlJc w:val="left"/>
      <w:lvlText w:val="1"/>
      <w:numFmt w:val="bullet"/>
      <w:start w:val="1"/>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1)"/>
      <w:numFmt w:val="decimal"/>
      <w:start w:val="4"/>
    </w:lvl>
  </w:abstractNum>
  <w:abstractNum w:abstractNumId="10">
    <w:nsid w:val="1BEFD79F"/>
    <w:multiLevelType w:val="hybridMultilevel"/>
    <w:lvl w:ilvl="0">
      <w:lvlJc w:val="left"/>
      <w:lvlText w:val="1"/>
      <w:numFmt w:val="bullet"/>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decimal"/>
      <w:start w:val="7"/>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2021-07-02T16:19:29Z</dcterms:created>
  <dcterms:modified xsi:type="dcterms:W3CDTF">2021-07-02T16:19:29Z</dcterms:modified>
</cp:coreProperties>
</file>