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rmr-20250513.htm"/>
      <w:bookmarkStart w:id="1" w:name="kslrmr2025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Larimar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511-9056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sz w:val="20"/>
        </w:rPr>
      </w:pPr>
      <w:r>
        <w:rPr>
          <w:rFonts w:ascii="Times New Roman" w:hAnsi="Times New Roman"/>
          <w:color w:val="000000"/>
          <w:sz w:val="20"/>
        </w:rPr>
        <w:t>On May 13, 2025, Larimar Therapeutics, Inc. (the “</w:t>
      </w:r>
      <w:r>
        <w:rPr>
          <w:rFonts w:ascii="Times New Roman" w:hAnsi="Times New Roman"/>
          <w:b/>
          <w:i/>
          <w:color w:val="000000"/>
          <w:sz w:val="20"/>
        </w:rPr>
        <w:t>Company</w:t>
      </w:r>
      <w:r>
        <w:rPr>
          <w:rFonts w:ascii="Times New Roman" w:hAnsi="Times New Roman"/>
          <w:color w:val="000000"/>
          <w:sz w:val="20"/>
        </w:rPr>
        <w:t>”) held its 2025 Annual Meeting of Stockholders (the “</w:t>
      </w:r>
      <w:r>
        <w:rPr>
          <w:rFonts w:ascii="Times New Roman" w:hAnsi="Times New Roman"/>
          <w:b/>
          <w:i/>
          <w:color w:val="000000"/>
          <w:sz w:val="20"/>
        </w:rPr>
        <w:t>Annual Meeting</w:t>
      </w:r>
      <w:r>
        <w:rPr>
          <w:rFonts w:ascii="Times New Roman" w:hAnsi="Times New Roman"/>
          <w:color w:val="000000"/>
          <w:sz w:val="20"/>
        </w:rPr>
        <w:t xml:space="preserve">”) virtually. As of March 27, 2025, the record date for the Annual Meeting, there were 64,027,892 outstanding shares of the Company’s common stock, par value $0.001 per share,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11, 2025. </w:t>
      </w:r>
    </w:p>
    <w:p>
      <w:pPr>
        <w:pStyle w:val="TextBody"/>
        <w:bidi w:val="0"/>
        <w:jc w:val="left"/>
        <w:rPr>
          <w:rFonts w:ascii="Times New Roman" w:hAnsi="Times New Roman"/>
          <w:sz w:val="20"/>
        </w:rPr>
      </w:pPr>
      <w:r>
        <w:rPr>
          <w:rFonts w:ascii="Times New Roman" w:hAnsi="Times New Roman"/>
          <w:i/>
          <w:color w:val="000000"/>
          <w:sz w:val="20"/>
        </w:rPr>
        <w:t xml:space="preserve">Proposal 1 - Election of Class II Director. </w:t>
      </w:r>
      <w:r>
        <w:rPr>
          <w:rFonts w:ascii="Times New Roman" w:hAnsi="Times New Roman"/>
          <w:color w:val="000000"/>
          <w:sz w:val="20"/>
        </w:rPr>
        <w:t xml:space="preserve">Thomas E. Hamilton was elected to the Board of Directors of the Company as a Class II director to serve until the Company’s 2028 Annual Meeting of Stockholders and until his successor, if any, is duly elected and qualified or appointed, or his earlier death, resignation, or removal, as follows: </w:t>
      </w:r>
    </w:p>
    <w:tbl>
      <w:tblPr>
        <w:tblW w:w="5509" w:type="dxa"/>
        <w:jc w:val="left"/>
        <w:tblInd w:w="0" w:type="dxa"/>
        <w:tblLayout w:type="fixed"/>
        <w:tblCellMar>
          <w:top w:w="28" w:type="dxa"/>
          <w:left w:w="28" w:type="dxa"/>
          <w:bottom w:w="28" w:type="dxa"/>
          <w:right w:w="28" w:type="dxa"/>
        </w:tblCellMar>
      </w:tblPr>
      <w:tblGrid>
        <w:gridCol w:w="1786"/>
        <w:gridCol w:w="1036"/>
        <w:gridCol w:w="1216"/>
        <w:gridCol w:w="1471"/>
      </w:tblGrid>
      <w:tr>
        <w:trPr/>
        <w:tc>
          <w:tcPr>
            <w:tcW w:w="17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2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Withheld</w:t>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7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E. Hamilton</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46,479,322</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4,326,129</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6,865,481</w:t>
            </w:r>
          </w:p>
        </w:tc>
      </w:tr>
    </w:tbl>
    <w:p>
      <w:pPr>
        <w:pStyle w:val="TextBody"/>
        <w:bidi w:val="0"/>
        <w:jc w:val="left"/>
        <w:rPr>
          <w:rFonts w:ascii="Times New Roman" w:hAnsi="Times New Roman"/>
          <w:sz w:val="20"/>
        </w:rPr>
      </w:pPr>
      <w:r>
        <w:rPr>
          <w:rFonts w:ascii="Times New Roman" w:hAnsi="Times New Roman"/>
          <w:i/>
          <w:color w:val="000000"/>
          <w:sz w:val="20"/>
        </w:rPr>
        <w:t xml:space="preserve">Proposal 2 - Approval, on an advisory basis, of the compensation of the Company’s named executive officers in 2024. </w:t>
      </w:r>
      <w:r>
        <w:rPr>
          <w:rFonts w:ascii="Times New Roman" w:hAnsi="Times New Roman"/>
          <w:color w:val="000000"/>
          <w:sz w:val="20"/>
        </w:rPr>
        <w:t>The stockholders approved, on an advisory basis, the compensation of the Company’s named executive officers in 2024, as follows:</w:t>
      </w:r>
    </w:p>
    <w:tbl>
      <w:tblPr>
        <w:tblW w:w="4579" w:type="dxa"/>
        <w:jc w:val="left"/>
        <w:tblInd w:w="0" w:type="dxa"/>
        <w:tblLayout w:type="fixed"/>
        <w:tblCellMar>
          <w:top w:w="28" w:type="dxa"/>
          <w:left w:w="28" w:type="dxa"/>
          <w:bottom w:w="28" w:type="dxa"/>
          <w:right w:w="28" w:type="dxa"/>
        </w:tblCellMar>
      </w:tblPr>
      <w:tblGrid>
        <w:gridCol w:w="1051"/>
        <w:gridCol w:w="1111"/>
        <w:gridCol w:w="946"/>
        <w:gridCol w:w="1471"/>
      </w:tblGrid>
      <w:tr>
        <w:trPr/>
        <w:tc>
          <w:tcPr>
            <w:tcW w:w="105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1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Votes</w:t>
            </w:r>
            <w:r>
              <w:rPr>
                <w:rFonts w:ascii="Times New Roman" w:hAnsi="Times New Roman"/>
                <w:color w:val="000000"/>
                <w:sz w:val="16"/>
              </w:rPr>
              <w:t xml:space="preserve"> </w:t>
            </w:r>
            <w:r>
              <w:rPr>
                <w:rFonts w:ascii="Times New Roman" w:hAnsi="Times New Roman"/>
                <w:b/>
                <w:color w:val="000000"/>
                <w:sz w:val="16"/>
              </w:rPr>
              <w:t>Against</w:t>
            </w:r>
          </w:p>
        </w:tc>
        <w:tc>
          <w:tcPr>
            <w:tcW w:w="9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Broker</w:t>
            </w:r>
            <w:r>
              <w:rPr>
                <w:rFonts w:ascii="Times New Roman" w:hAnsi="Times New Roman"/>
                <w:color w:val="000000"/>
                <w:sz w:val="16"/>
              </w:rPr>
              <w:t xml:space="preserve"> </w:t>
            </w:r>
            <w:r>
              <w:rPr>
                <w:rFonts w:ascii="Times New Roman" w:hAnsi="Times New Roman"/>
                <w:b/>
                <w:color w:val="000000"/>
                <w:sz w:val="16"/>
              </w:rPr>
              <w:t>Non-Votes</w:t>
            </w:r>
          </w:p>
        </w:tc>
      </w:tr>
      <w:tr>
        <w:trPr/>
        <w:tc>
          <w:tcPr>
            <w:tcW w:w="105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49,187,132</w:t>
            </w:r>
          </w:p>
        </w:tc>
        <w:tc>
          <w:tcPr>
            <w:tcW w:w="111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1,445,631</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172,688</w:t>
            </w:r>
          </w:p>
        </w:tc>
        <w:tc>
          <w:tcPr>
            <w:tcW w:w="147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6,865,481</w:t>
            </w:r>
          </w:p>
        </w:tc>
      </w:tr>
    </w:tbl>
    <w:p>
      <w:pPr>
        <w:pStyle w:val="TextBody"/>
        <w:bidi w:val="0"/>
        <w:jc w:val="left"/>
        <w:rPr>
          <w:rFonts w:ascii="Times New Roman" w:hAnsi="Times New Roman"/>
          <w:sz w:val="20"/>
        </w:rPr>
      </w:pPr>
      <w:r>
        <w:rPr>
          <w:rFonts w:ascii="Times New Roman" w:hAnsi="Times New Roman"/>
          <w:i/>
          <w:color w:val="000000"/>
          <w:sz w:val="20"/>
        </w:rPr>
        <w:t>Proposal 3 - Ratification of Independent Registered Public Accountant.</w:t>
      </w:r>
      <w:r>
        <w:rPr>
          <w:rFonts w:ascii="Times New Roman" w:hAnsi="Times New Roman"/>
          <w:color w:val="000000"/>
          <w:sz w:val="20"/>
        </w:rPr>
        <w:t xml:space="preserve"> The appointment of PricewaterhouseCoopers LLP as the Company’s independent registered public accounting firm for the 2025 fiscal year was ratified, as follows:</w:t>
      </w:r>
    </w:p>
    <w:tbl>
      <w:tblPr>
        <w:tblW w:w="4579" w:type="dxa"/>
        <w:jc w:val="left"/>
        <w:tblInd w:w="0" w:type="dxa"/>
        <w:tblLayout w:type="fixed"/>
        <w:tblCellMar>
          <w:top w:w="28" w:type="dxa"/>
          <w:left w:w="28" w:type="dxa"/>
          <w:bottom w:w="28" w:type="dxa"/>
          <w:right w:w="28" w:type="dxa"/>
        </w:tblCellMar>
      </w:tblPr>
      <w:tblGrid>
        <w:gridCol w:w="1051"/>
        <w:gridCol w:w="1111"/>
        <w:gridCol w:w="946"/>
        <w:gridCol w:w="1471"/>
      </w:tblGrid>
      <w:tr>
        <w:trPr/>
        <w:tc>
          <w:tcPr>
            <w:tcW w:w="105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1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Votes</w:t>
            </w:r>
            <w:r>
              <w:rPr>
                <w:rFonts w:ascii="Times New Roman" w:hAnsi="Times New Roman"/>
                <w:color w:val="000000"/>
                <w:sz w:val="16"/>
              </w:rPr>
              <w:t xml:space="preserve"> </w:t>
            </w:r>
            <w:r>
              <w:rPr>
                <w:rFonts w:ascii="Times New Roman" w:hAnsi="Times New Roman"/>
                <w:b/>
                <w:color w:val="000000"/>
                <w:sz w:val="16"/>
              </w:rPr>
              <w:t>Against</w:t>
            </w:r>
          </w:p>
        </w:tc>
        <w:tc>
          <w:tcPr>
            <w:tcW w:w="9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Broker</w:t>
            </w:r>
            <w:r>
              <w:rPr>
                <w:rFonts w:ascii="Times New Roman" w:hAnsi="Times New Roman"/>
                <w:color w:val="000000"/>
                <w:sz w:val="16"/>
              </w:rPr>
              <w:t xml:space="preserve"> </w:t>
            </w:r>
            <w:r>
              <w:rPr>
                <w:rFonts w:ascii="Times New Roman" w:hAnsi="Times New Roman"/>
                <w:b/>
                <w:color w:val="000000"/>
                <w:sz w:val="16"/>
              </w:rPr>
              <w:t>Non-Votes</w:t>
            </w:r>
          </w:p>
        </w:tc>
      </w:tr>
      <w:tr>
        <w:trPr/>
        <w:tc>
          <w:tcPr>
            <w:tcW w:w="105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57,657,322</w:t>
            </w:r>
          </w:p>
        </w:tc>
        <w:tc>
          <w:tcPr>
            <w:tcW w:w="111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10,851</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2,759</w:t>
            </w:r>
          </w:p>
        </w:tc>
        <w:tc>
          <w:tcPr>
            <w:tcW w:w="147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rFonts w:ascii="Times New Roman" w:hAnsi="Times New Roman"/>
          <w:color w:val="000000"/>
          <w:sz w:val="2"/>
        </w:rPr>
      </w:pPr>
      <w:r>
        <w:rPr>
          <w:rFonts w:ascii="Times New Roman" w:hAnsi="Times New Roman"/>
          <w:color w:val="000000"/>
          <w:sz w:val="2"/>
        </w:rPr>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74" w:type="dxa"/>
        <w:jc w:val="left"/>
        <w:tblInd w:w="0" w:type="dxa"/>
        <w:tblLayout w:type="fixed"/>
        <w:tblCellMar>
          <w:top w:w="28" w:type="dxa"/>
          <w:left w:w="28" w:type="dxa"/>
          <w:bottom w:w="28" w:type="dxa"/>
          <w:right w:w="28" w:type="dxa"/>
        </w:tblCellMar>
      </w:tblPr>
      <w:tblGrid>
        <w:gridCol w:w="556"/>
        <w:gridCol w:w="1246"/>
        <w:gridCol w:w="451"/>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13,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i/>
                <w:color w:val="000000"/>
                <w:sz w:val="20"/>
              </w:rPr>
              <w:t>Name: Carole S. Ben-Maimon, M.D.</w:t>
              <w:br/>
              <w:t>Title: President and Chief Executive Officer</w:t>
              <w:br/>
            </w:r>
            <w:r>
              <w:rPr>
                <w:rFonts w:ascii="Times New Roman" w:hAnsi="Times New Roman"/>
                <w:color w:val="000000"/>
                <w:sz w:val="20"/>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3499</Characters>
  <CharactersWithSpaces>4105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