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13d-101]</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24.13d-1(a) AND AMENDMENTS THERETO FILED PURSUANT TO § 240.13D-2(a)</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7)*</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Clark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Elliot Press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Deerfield Management Company,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345 Park Avenue South, 12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9" w:lineRule="exact"/>
        <w:rPr>
          <w:sz w:val="24"/>
          <w:szCs w:val="24"/>
          <w:color w:val="auto"/>
        </w:rPr>
      </w:pPr>
    </w:p>
    <w:p>
      <w:pPr>
        <w:jc w:val="right"/>
        <w:ind w:left="5040" w:right="5020" w:firstLine="22"/>
        <w:spacing w:after="0" w:line="516" w:lineRule="auto"/>
        <w:tabs>
          <w:tab w:leader="none" w:pos="5503"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551-1600 With a copy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Jonathan D. Weiner,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D. Wood,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Katten Muchin Rosenman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575 Madison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20" w:firstLine="635"/>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4"/>
          <w:szCs w:val="24"/>
          <w:color w:val="auto"/>
        </w:rPr>
      </w:pPr>
    </w:p>
    <w:p>
      <w:pPr>
        <w:ind w:firstLine="635"/>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17 Pages)</w:t>
      </w:r>
    </w:p>
    <w:p>
      <w:pPr>
        <w:spacing w:after="0" w:line="207" w:lineRule="exact"/>
        <w:rPr>
          <w:sz w:val="24"/>
          <w:szCs w:val="24"/>
          <w:color w:val="auto"/>
        </w:rPr>
      </w:pPr>
    </w:p>
    <w:p>
      <w:pPr>
        <w:ind w:right="2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4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6"/>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5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Partners,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6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7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HIF,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Comprised of shares of common stock held by Deerfield Healthcare Innovations Fund, L.P., of which Deerfield Mgmt HIF,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8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Private Design Fund IV, L.P., of which Deerfield Mgmt IV,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9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7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10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Management Company,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16,973,635 (5)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16,973,635 (5)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16,973,635 (5)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39.20%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80" w:hanging="272"/>
        <w:spacing w:after="0" w:line="254"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an aggregate of 16,941,357 shares of common stock held by Deerfield Private Design Fund III, L.P., Deerfield Private Design Fund IV, L.P., Deerfield Healthcare Innovations Fund, L.P. and Deerfield Partners, L.P., of which Deerfield Management Company, L.P. is the investment manager and (ii) an aggregate of 33,200 shares of common stock issuable upon exercise of options (the “Leff Options”) held by Jonathan Leff, an employee of Deerfield Management Company, L.P., for the benefit, and subject to the direction, of Deerfield Management Company, L.P. The Leff Options consist of an option that was granted to Mr. Leff on July 16, 2020, an option that was granted to Mr. Leff on May 12, 2021, and an option that was granted to Mr. Leff on May 10, 2022, each of which is fully vested. The number of shares reported as being beneficially owned by Deerfield Management Company, L.P. does not include the shares of common stock issuable upon exercise of an option granted to Mr. Leff on May 9, 2023, which is unvested and will not vest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7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11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Flynn</w:t>
            </w:r>
          </w:p>
        </w:tc>
        <w:tc>
          <w:tcPr>
            <w:tcW w:w="7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16,973,635 (6)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16,973,635 (6)</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16,973,635 (6)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39.20%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80" w:hanging="272"/>
        <w:spacing w:after="0" w:line="254" w:lineRule="auto"/>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an aggregate of 16,973,635 shares of common stock held by Deerfield Private Design Fund III, L.P., Deerfield Private Design Fund IV, L.P., Deerfield Healthcare Innovations Fund, L.P. and Deerfield Partners, L.P., of which Deerfield Management Company, L.P. is the investment manager and (ii) an aggregate of 33,200 shares of common stock issuable upon exercise of options (the “Leff Options”) held by Jonathan Leff, an employee of Deerfield Management Company, L.P., for the benefit, and subject to the direction, of Deerfield Management Company, L.P. The Leff Options consist of an option that was granted to Mr. Leff on July 16, 2020, an option that was granted to Mr. Leff on May 12, 2021, and an option that was granted to Mr. Leff on May 10, 2022, each of which is fully vested. The number of shares reported as being beneficially owned by Mr. Flynn does not include the shares of common stock issuable upon exercise of an option granted to Mr. Leff on May 9, 2023, which is unvested and will not vest within 60 days. Mr. Flynn is the sole member of the general partner of each of Deerfield Mgmt III, L.P., Deerfield Mgmt IV, L.P., Deerfield Mgmt HIF, L.P., Deerfield Mgmt, L.P. and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824"/>
        <w:spacing w:after="0" w:line="270" w:lineRule="auto"/>
        <w:rPr>
          <w:sz w:val="20"/>
          <w:szCs w:val="20"/>
          <w:color w:val="auto"/>
        </w:rPr>
      </w:pPr>
      <w:r>
        <w:rPr>
          <w:rFonts w:ascii="Times New Roman" w:cs="Times New Roman" w:eastAsia="Times New Roman" w:hAnsi="Times New Roman"/>
          <w:sz w:val="17"/>
          <w:szCs w:val="17"/>
          <w:color w:val="auto"/>
        </w:rPr>
        <w:t>This Amendment No. 7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Schedule 13D is filed by (i) Deerfield Private Design Fund III, L.P. (“</w:t>
      </w:r>
      <w:r>
        <w:rPr>
          <w:rFonts w:ascii="Times New Roman" w:cs="Times New Roman" w:eastAsia="Times New Roman" w:hAnsi="Times New Roman"/>
          <w:sz w:val="17"/>
          <w:szCs w:val="17"/>
          <w:u w:val="single" w:color="auto"/>
          <w:color w:val="auto"/>
        </w:rPr>
        <w:t>Deerfield Private Design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Fund III</w:t>
      </w:r>
      <w:r>
        <w:rPr>
          <w:rFonts w:ascii="Times New Roman" w:cs="Times New Roman" w:eastAsia="Times New Roman" w:hAnsi="Times New Roman"/>
          <w:sz w:val="17"/>
          <w:szCs w:val="17"/>
          <w:color w:val="auto"/>
        </w:rPr>
        <w:t>”), (ii) Deerfield Healthcare Innovations Fund, L.P. (“</w:t>
      </w:r>
      <w:r>
        <w:rPr>
          <w:rFonts w:ascii="Times New Roman" w:cs="Times New Roman" w:eastAsia="Times New Roman" w:hAnsi="Times New Roman"/>
          <w:sz w:val="17"/>
          <w:szCs w:val="17"/>
          <w:u w:val="single" w:color="auto"/>
          <w:color w:val="auto"/>
        </w:rPr>
        <w:t>Deerfield Healthcare Innovations Fund</w:t>
      </w:r>
      <w:r>
        <w:rPr>
          <w:rFonts w:ascii="Times New Roman" w:cs="Times New Roman" w:eastAsia="Times New Roman" w:hAnsi="Times New Roman"/>
          <w:sz w:val="17"/>
          <w:szCs w:val="17"/>
          <w:color w:val="auto"/>
        </w:rPr>
        <w:t>”), (iii) Deerfield Private Design Fund IV, L.P. (“</w:t>
      </w:r>
      <w:r>
        <w:rPr>
          <w:rFonts w:ascii="Times New Roman" w:cs="Times New Roman" w:eastAsia="Times New Roman" w:hAnsi="Times New Roman"/>
          <w:sz w:val="17"/>
          <w:szCs w:val="17"/>
          <w:u w:val="single" w:color="auto"/>
          <w:color w:val="auto"/>
        </w:rPr>
        <w:t>Deerfield Private Design Fund IV</w:t>
      </w:r>
      <w:r>
        <w:rPr>
          <w:rFonts w:ascii="Times New Roman" w:cs="Times New Roman" w:eastAsia="Times New Roman" w:hAnsi="Times New Roman"/>
          <w:sz w:val="17"/>
          <w:szCs w:val="17"/>
          <w:color w:val="auto"/>
        </w:rPr>
        <w:t>”), (iv) Deerfield Partners, L.P. (“</w:t>
      </w:r>
      <w:r>
        <w:rPr>
          <w:rFonts w:ascii="Times New Roman" w:cs="Times New Roman" w:eastAsia="Times New Roman" w:hAnsi="Times New Roman"/>
          <w:sz w:val="17"/>
          <w:szCs w:val="17"/>
          <w:u w:val="single" w:color="auto"/>
          <w:color w:val="auto"/>
        </w:rPr>
        <w:t>Deerfield Partners</w:t>
      </w:r>
      <w:r>
        <w:rPr>
          <w:rFonts w:ascii="Times New Roman" w:cs="Times New Roman" w:eastAsia="Times New Roman" w:hAnsi="Times New Roman"/>
          <w:sz w:val="17"/>
          <w:szCs w:val="17"/>
          <w:color w:val="auto"/>
        </w:rPr>
        <w:t>”), (v) Deerfield Mgmt III, L.P. (“</w:t>
      </w:r>
      <w:r>
        <w:rPr>
          <w:rFonts w:ascii="Times New Roman" w:cs="Times New Roman" w:eastAsia="Times New Roman" w:hAnsi="Times New Roman"/>
          <w:sz w:val="17"/>
          <w:szCs w:val="17"/>
          <w:u w:val="single" w:color="auto"/>
          <w:color w:val="auto"/>
        </w:rPr>
        <w:t>Deerfield Mgmt III</w:t>
      </w:r>
      <w:r>
        <w:rPr>
          <w:rFonts w:ascii="Times New Roman" w:cs="Times New Roman" w:eastAsia="Times New Roman" w:hAnsi="Times New Roman"/>
          <w:sz w:val="17"/>
          <w:szCs w:val="17"/>
          <w:color w:val="auto"/>
        </w:rPr>
        <w:t>”), (vi) Deerfield Mgmt HIF, L.P. (“</w:t>
      </w:r>
      <w:r>
        <w:rPr>
          <w:rFonts w:ascii="Times New Roman" w:cs="Times New Roman" w:eastAsia="Times New Roman" w:hAnsi="Times New Roman"/>
          <w:sz w:val="17"/>
          <w:szCs w:val="17"/>
          <w:u w:val="single" w:color="auto"/>
          <w:color w:val="auto"/>
        </w:rPr>
        <w:t>Deerfield Mgmt HIF</w:t>
      </w:r>
      <w:r>
        <w:rPr>
          <w:rFonts w:ascii="Times New Roman" w:cs="Times New Roman" w:eastAsia="Times New Roman" w:hAnsi="Times New Roman"/>
          <w:sz w:val="17"/>
          <w:szCs w:val="17"/>
          <w:color w:val="auto"/>
        </w:rPr>
        <w:t>”), (vii) Deerfield Mgmt IV, L.P. (“</w:t>
      </w:r>
      <w:r>
        <w:rPr>
          <w:rFonts w:ascii="Times New Roman" w:cs="Times New Roman" w:eastAsia="Times New Roman" w:hAnsi="Times New Roman"/>
          <w:sz w:val="17"/>
          <w:szCs w:val="17"/>
          <w:u w:val="single" w:color="auto"/>
          <w:color w:val="auto"/>
        </w:rPr>
        <w:t>Deerfield Mgmt IV</w:t>
      </w:r>
      <w:r>
        <w:rPr>
          <w:rFonts w:ascii="Times New Roman" w:cs="Times New Roman" w:eastAsia="Times New Roman" w:hAnsi="Times New Roman"/>
          <w:sz w:val="17"/>
          <w:szCs w:val="17"/>
          <w:color w:val="auto"/>
        </w:rPr>
        <w:t>”), (viii) Deerfield Mgmt, L.P. (“</w:t>
      </w:r>
      <w:r>
        <w:rPr>
          <w:rFonts w:ascii="Times New Roman" w:cs="Times New Roman" w:eastAsia="Times New Roman" w:hAnsi="Times New Roman"/>
          <w:sz w:val="17"/>
          <w:szCs w:val="17"/>
          <w:u w:val="single" w:color="auto"/>
          <w:color w:val="auto"/>
        </w:rPr>
        <w:t>Deerfield Mgmt</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jc w:val="both"/>
        <w:ind w:firstLine="8"/>
        <w:spacing w:after="0" w:line="252" w:lineRule="auto"/>
        <w:tabs>
          <w:tab w:leader="none" w:pos="3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w:t>
      </w:r>
      <w:r>
        <w:rPr>
          <w:rFonts w:ascii="Times New Roman" w:cs="Times New Roman" w:eastAsia="Times New Roman" w:hAnsi="Times New Roman"/>
          <w:sz w:val="18"/>
          <w:szCs w:val="18"/>
          <w:u w:val="single" w:color="auto"/>
          <w:color w:val="auto"/>
        </w:rPr>
        <w:t>Deerfield Management</w:t>
      </w:r>
      <w:r>
        <w:rPr>
          <w:rFonts w:ascii="Times New Roman" w:cs="Times New Roman" w:eastAsia="Times New Roman" w:hAnsi="Times New Roman"/>
          <w:sz w:val="18"/>
          <w:szCs w:val="18"/>
          <w:color w:val="auto"/>
        </w:rPr>
        <w:t>”) and (x) James E. Flynn (“</w:t>
      </w:r>
      <w:r>
        <w:rPr>
          <w:rFonts w:ascii="Times New Roman" w:cs="Times New Roman" w:eastAsia="Times New Roman" w:hAnsi="Times New Roman"/>
          <w:sz w:val="18"/>
          <w:szCs w:val="18"/>
          <w:u w:val="single" w:color="auto"/>
          <w:color w:val="auto"/>
        </w:rPr>
        <w:t>Flynn</w:t>
      </w:r>
      <w:r>
        <w:rPr>
          <w:rFonts w:ascii="Times New Roman" w:cs="Times New Roman" w:eastAsia="Times New Roman" w:hAnsi="Times New Roman"/>
          <w:sz w:val="18"/>
          <w:szCs w:val="18"/>
          <w:color w:val="auto"/>
        </w:rPr>
        <w:t>” and, together with Deerfield Private Design Fund III, Deerfield Healthcare Innovations Fund, Deerfield Private Design Fund IV, Deerfield Partners, Deerfield Mgmt III, Deerfield Mgmt HIF, Deerfield Mgmt IV, Deerfield Mgmt and Deerfield Management,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with respect to the securities of Larimar Therapeutics, Inc. (as amended by Amendment No.1, Amendment No. 2, Amendment No. 3, Amendment No. 4, Amendment No. 5, Amendment No. 6 and this Amendment No. 7,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Deerfield Private Design Fund III, Deerfield Healthcare Innovations Fund, Deerfield Private Design Fund IV and Deerfield Partners are collectively referred to herein as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herein shall have the meanings ascribed to them in the Schedule 13D.</w:t>
      </w:r>
    </w:p>
    <w:p>
      <w:pPr>
        <w:spacing w:after="0" w:line="225" w:lineRule="exact"/>
        <w:rPr>
          <w:sz w:val="20"/>
          <w:szCs w:val="20"/>
          <w:color w:val="auto"/>
        </w:rPr>
      </w:pPr>
    </w:p>
    <w:p>
      <w:pPr>
        <w:jc w:val="both"/>
        <w:ind w:firstLine="824"/>
        <w:spacing w:after="0" w:line="261" w:lineRule="auto"/>
        <w:rPr>
          <w:sz w:val="20"/>
          <w:szCs w:val="20"/>
          <w:color w:val="auto"/>
        </w:rPr>
      </w:pPr>
      <w:r>
        <w:rPr>
          <w:rFonts w:ascii="Times New Roman" w:cs="Times New Roman" w:eastAsia="Times New Roman" w:hAnsi="Times New Roman"/>
          <w:sz w:val="18"/>
          <w:szCs w:val="18"/>
          <w:color w:val="auto"/>
        </w:rPr>
        <w:t>This Amendment No. 7 is being filed to report the Funds’ entry into the 2024 Lockup Agreement (as defined below) in connection with the February 2024 Offering (as defined below). The issuance of shares in the February 2024 Offering is subject to the terms and conditions set forth in the underwriting agreement entered into among the Issuer and the underwriters in the February 2024 Offering and, accordingly, the number of shares reported herein does not give effect to any such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5(a) and 5(b) of the Schedule 13D are hereby amended and restated in their entirety to read as follows: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1800" w:hanging="901"/>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III</w:t>
      </w:r>
    </w:p>
    <w:p>
      <w:pPr>
        <w:spacing w:after="0" w:line="225"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4,721,183</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10.75%*</w:t>
            </w:r>
          </w:p>
        </w:tc>
      </w:tr>
    </w:tbl>
    <w:p>
      <w:pPr>
        <w:spacing w:after="0" w:line="198" w:lineRule="exact"/>
        <w:rPr>
          <w:sz w:val="20"/>
          <w:szCs w:val="20"/>
          <w:color w:val="auto"/>
        </w:rPr>
      </w:pPr>
    </w:p>
    <w:p>
      <w:pPr>
        <w:ind w:left="1800" w:hanging="901"/>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Healthcare Innovations Fund</w:t>
      </w:r>
    </w:p>
    <w:p>
      <w:pPr>
        <w:spacing w:after="0" w:line="225"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4,721,197</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10.75%*</w:t>
            </w:r>
          </w:p>
        </w:tc>
      </w:tr>
    </w:tbl>
    <w:p>
      <w:pPr>
        <w:spacing w:after="0" w:line="198" w:lineRule="exact"/>
        <w:rPr>
          <w:sz w:val="20"/>
          <w:szCs w:val="20"/>
          <w:color w:val="auto"/>
        </w:rPr>
      </w:pPr>
    </w:p>
    <w:p>
      <w:pPr>
        <w:ind w:left="1800" w:hanging="901"/>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4,721,200</w:t>
            </w:r>
          </w:p>
        </w:tc>
      </w:tr>
      <w:tr>
        <w:trPr>
          <w:trHeight w:val="234"/>
        </w:trPr>
        <w:tc>
          <w:tcPr>
            <w:tcW w:w="178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10.75%*</w:t>
            </w:r>
          </w:p>
        </w:tc>
      </w:tr>
      <w:tr>
        <w:trPr>
          <w:trHeight w:val="391"/>
        </w:trPr>
        <w:tc>
          <w:tcPr>
            <w:tcW w:w="1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Partners</w:t>
            </w:r>
          </w:p>
        </w:tc>
        <w:tc>
          <w:tcPr>
            <w:tcW w:w="7560" w:type="dxa"/>
            <w:vAlign w:val="bottom"/>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34"/>
        </w:trPr>
        <w:tc>
          <w:tcPr>
            <w:tcW w:w="1780" w:type="dxa"/>
            <w:vAlign w:val="bottom"/>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2,777,777</w:t>
            </w:r>
          </w:p>
        </w:tc>
      </w:tr>
      <w:tr>
        <w:trPr>
          <w:trHeight w:val="234"/>
        </w:trPr>
        <w:tc>
          <w:tcPr>
            <w:tcW w:w="178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6.33%*</w:t>
            </w:r>
          </w:p>
        </w:tc>
      </w:tr>
      <w:tr>
        <w:trPr>
          <w:trHeight w:val="594"/>
        </w:trPr>
        <w:tc>
          <w:tcPr>
            <w:tcW w:w="17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2" w:name="page13"/>
    <w:bookmarkEnd w:id="12"/>
    <w:p>
      <w:pPr>
        <w:ind w:left="1800" w:hanging="901"/>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III</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4,721,183</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Private Design Fund III)</w:t>
            </w:r>
          </w:p>
        </w:tc>
      </w:tr>
      <w:tr>
        <w:trPr>
          <w:trHeight w:val="234"/>
        </w:trPr>
        <w:tc>
          <w:tcPr>
            <w:tcW w:w="8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10.75%*</w:t>
            </w:r>
          </w:p>
        </w:tc>
        <w:tc>
          <w:tcPr>
            <w:tcW w:w="5020" w:type="dxa"/>
            <w:vAlign w:val="bottom"/>
          </w:tcPr>
          <w:p>
            <w:pPr>
              <w:spacing w:after="0"/>
              <w:rPr>
                <w:sz w:val="20"/>
                <w:szCs w:val="20"/>
                <w:color w:val="auto"/>
              </w:rPr>
            </w:pPr>
          </w:p>
        </w:tc>
      </w:tr>
      <w:tr>
        <w:trPr>
          <w:trHeight w:val="391"/>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(6)</w:t>
            </w: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Deerfield Mgmt HIF</w:t>
            </w:r>
          </w:p>
        </w:tc>
        <w:tc>
          <w:tcPr>
            <w:tcW w:w="11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5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400" w:type="dxa"/>
            <w:vAlign w:val="bottom"/>
          </w:tcPr>
          <w:p>
            <w:pPr>
              <w:spacing w:after="0"/>
              <w:rPr>
                <w:sz w:val="24"/>
                <w:szCs w:val="24"/>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4,721,197</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(comprised of shares held by Deerfield Healthcare Innovations Fund)</w:t>
            </w:r>
          </w:p>
        </w:tc>
      </w:tr>
      <w:tr>
        <w:trPr>
          <w:trHeight w:val="234"/>
        </w:trPr>
        <w:tc>
          <w:tcPr>
            <w:tcW w:w="8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10.75%*</w:t>
            </w:r>
          </w:p>
        </w:tc>
        <w:tc>
          <w:tcPr>
            <w:tcW w:w="5020" w:type="dxa"/>
            <w:vAlign w:val="bottom"/>
          </w:tcPr>
          <w:p>
            <w:pPr>
              <w:spacing w:after="0"/>
              <w:rPr>
                <w:sz w:val="20"/>
                <w:szCs w:val="20"/>
                <w:color w:val="auto"/>
              </w:rPr>
            </w:pPr>
          </w:p>
        </w:tc>
      </w:tr>
      <w:tr>
        <w:trPr>
          <w:trHeight w:val="391"/>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(7)</w:t>
            </w: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Deerfield Mgmt IV</w:t>
            </w:r>
          </w:p>
        </w:tc>
        <w:tc>
          <w:tcPr>
            <w:tcW w:w="11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500" w:type="dxa"/>
            <w:vAlign w:val="bottom"/>
            <w:gridSpan w:val="2"/>
          </w:tcPr>
          <w:p>
            <w:pPr>
              <w:spacing w:after="0"/>
              <w:rPr>
                <w:sz w:val="24"/>
                <w:szCs w:val="24"/>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4,721,200</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Private Design Fund)</w:t>
            </w:r>
          </w:p>
        </w:tc>
      </w:tr>
      <w:tr>
        <w:trPr>
          <w:trHeight w:val="234"/>
        </w:trPr>
        <w:tc>
          <w:tcPr>
            <w:tcW w:w="8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10.75%*</w:t>
            </w:r>
          </w:p>
        </w:tc>
        <w:tc>
          <w:tcPr>
            <w:tcW w:w="5020" w:type="dxa"/>
            <w:vAlign w:val="bottom"/>
          </w:tcPr>
          <w:p>
            <w:pPr>
              <w:spacing w:after="0"/>
              <w:rPr>
                <w:sz w:val="20"/>
                <w:szCs w:val="20"/>
                <w:color w:val="auto"/>
              </w:rPr>
            </w:pPr>
          </w:p>
        </w:tc>
      </w:tr>
      <w:tr>
        <w:trPr>
          <w:trHeight w:val="607"/>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(8)</w:t>
            </w: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Deerfield Mgmt</w:t>
            </w:r>
          </w:p>
        </w:tc>
        <w:tc>
          <w:tcPr>
            <w:tcW w:w="72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2,777,777</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Partners)</w:t>
            </w:r>
          </w:p>
        </w:tc>
      </w:tr>
      <w:tr>
        <w:trPr>
          <w:trHeight w:val="234"/>
        </w:trPr>
        <w:tc>
          <w:tcPr>
            <w:tcW w:w="8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6.33%*</w:t>
            </w:r>
          </w:p>
        </w:tc>
        <w:tc>
          <w:tcPr>
            <w:tcW w:w="50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1800" w:hanging="901"/>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Management</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16,973,635 (comprised of shares held by Deerfield Private Design Fund III, Deerfield Private</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Design Fund IV, Deerfield Healthcare Innovations Fund, Deerfield Partners and shares underlying</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held by Jonathan Leff at the direction and for the benefit of Deerfield Management)</w:t>
            </w:r>
          </w:p>
        </w:tc>
      </w:tr>
      <w:tr>
        <w:trPr>
          <w:trHeight w:val="234"/>
        </w:trPr>
        <w:tc>
          <w:tcPr>
            <w:tcW w:w="88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39.20%*</w:t>
            </w:r>
          </w:p>
        </w:tc>
      </w:tr>
      <w:tr>
        <w:trPr>
          <w:trHeight w:val="391"/>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w:t>
            </w: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James E. Flynn</w:t>
            </w:r>
          </w:p>
        </w:tc>
        <w:tc>
          <w:tcPr>
            <w:tcW w:w="78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16,973,635 (comprised of shares held by Deerfield Private Design Fund III, Deerfield Private</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Design Fund IV, Deerfield Healthcare Innovations Fund, Deerfield Partners and shares underlying</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held by Jonathan Leff at the direction and for the benefit of Deerfield Management)</w:t>
            </w:r>
          </w:p>
        </w:tc>
      </w:tr>
      <w:tr>
        <w:trPr>
          <w:trHeight w:val="234"/>
        </w:trPr>
        <w:tc>
          <w:tcPr>
            <w:tcW w:w="88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39.20%*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report, the percentage of outstanding Common Stock beneficially owned by the Reporting Persons reflects 43,905,903 shares of Common Stock outstanding as of November 12, 2023, as set forth in the Quarterly Report on Form 10-Q, filed by the Company with the Securities and Exchange Commission on 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III</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4,721,183</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4,721,183</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Healthcare Innovations Fund</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4,721,197</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4,721,197</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IV</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4,721,200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4,721,200</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Partners</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2,777,777</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2,777,777</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III</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4,721,183</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4,721,183</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HIF</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4,721,197</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4,721,197</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IV</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4,721,200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4" w:name="page15"/>
    <w:bookmarkEnd w:id="14"/>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2,777,777</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2,777,777</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Management</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16,973,635</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16,973,635</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James E. Flynn</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16,973,635</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16,973,635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E. Flynn is the managing member of the general partner of each of Deerfield Mgmt III, Deerfield Mgmt IV, Deerfield Mgmt HIF, Deerfield Mgmt, and Deerfield Management. Deerfield Mgmt III is the general partner of Deerfield Private Design Fund III. Deerfield Mgmt HIF is the general partner of Deerfield Healthcare Innovations Fund. Deerfield Mgmt IV is the general partner of Deerfield Private Design Fund IV. Deerfield Mgmt is the general partner of Deerfield Partners. Deerfield Management is the investment manager of each of Deerfield Private Design Fund III, Deerfield Healthcare Innovations Fund, Deerfield Private Design Fund IV and Deerfield Partners.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Contracts, Arrangements, Understandings or Relationships With Respect to Securities of the Issuer.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6 of the Schedule 13D is hereby amended by adding the following: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Lock-Up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14, 2024, the Issuer announced the pricing of an underwritten public offering of its common stock (the “February 2024 Offering”). In connection with the February 2024 Offering, the Funds and representatives of the underwriters in the February 2024 Offering entered into a Lock-Up Agreement (the “2024 Lockup Agreement”), the form of which is attached hereto as Exhibit I, pursuant to which the Funds have agreed, except in limited circumstances, not to sell or transfer, or engage in swap or similar transactions with respect to, shares of Common Stock for a period of 90 days. The 2024 Lockup Agreement does not apply to any shares of Common Stock that the Funds purchase from the underwriters in the February 2024 Offering. The Funds have agreed to purchase an aggregate of 4,290,617 shares of the Common Stock offered by the Company in the February 2024 Offering at the public offering price.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2024 Lockup Agreement is not, and does not purport to be, complete and is qualified in its entirety by reference to the full text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Material to be Filed as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7 of the Schedule 13D is hereby amended by adding the following Exhibit</w:t>
      </w:r>
    </w:p>
    <w:p>
      <w:pPr>
        <w:spacing w:after="0" w:line="227" w:lineRule="exact"/>
        <w:rPr>
          <w:sz w:val="20"/>
          <w:szCs w:val="20"/>
          <w:color w:val="auto"/>
        </w:rPr>
      </w:pPr>
    </w:p>
    <w:p>
      <w:pPr>
        <w:ind w:right="8640" w:firstLine="8"/>
        <w:spacing w:after="0" w:line="532"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Form of Lock-up Agreement* </w:t>
      </w:r>
      <w:r>
        <w:rPr>
          <w:rFonts w:ascii="Times New Roman" w:cs="Times New Roman" w:eastAsia="Times New Roman" w:hAnsi="Times New Roman"/>
          <w:sz w:val="18"/>
          <w:szCs w:val="18"/>
          <w:color w:val="000000"/>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their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15, 2024</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III,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HIF,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69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PRIVATE DESIGN FUND IV,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IV,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PARTNERS,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MGMT, L.P.</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1026"/>
        </w:trPr>
        <w:tc>
          <w:tcPr>
            <w:tcW w:w="69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6" w:name="page17"/>
    <w:bookmarkEnd w:id="16"/>
    <w:p>
      <w:pPr>
        <w:ind w:left="5060"/>
        <w:spacing w:after="0"/>
        <w:rPr>
          <w:sz w:val="20"/>
          <w:szCs w:val="20"/>
          <w:color w:val="auto"/>
        </w:rPr>
      </w:pPr>
      <w:r>
        <w:rPr>
          <w:rFonts w:ascii="Times New Roman" w:cs="Times New Roman" w:eastAsia="Times New Roman" w:hAnsi="Times New Roman"/>
          <w:sz w:val="18"/>
          <w:szCs w:val="18"/>
          <w:color w:val="auto"/>
        </w:rPr>
        <w:t>DEERFIELD MGMT III, L.P.</w:t>
      </w:r>
    </w:p>
    <w:p>
      <w:pPr>
        <w:spacing w:after="0" w:line="27" w:lineRule="exact"/>
        <w:rPr>
          <w:sz w:val="20"/>
          <w:szCs w:val="20"/>
          <w:color w:val="auto"/>
        </w:rPr>
      </w:pPr>
    </w:p>
    <w:tbl>
      <w:tblPr>
        <w:tblLayout w:type="fixed"/>
        <w:tblInd w:w="50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HIF,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7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IV,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Flynn Management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Jonathan Isler, Attorney-in-Fact</w:t>
      </w:r>
    </w:p>
    <w:p>
      <w:pPr>
        <w:sectPr>
          <w:pgSz w:w="11900" w:h="16838" w:orient="portrait"/>
          <w:cols w:equalWidth="0" w:num="1">
            <w:col w:w="10120"/>
          </w:cols>
          <w:pgMar w:left="1440" w:top="1039"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Lock-Up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ectPr>
          <w:pgSz w:w="11900" w:h="16838" w:orient="portrait"/>
          <w:cols w:equalWidth="0" w:num="1">
            <w:col w:w="11220"/>
          </w:cols>
          <w:pgMar w:left="320" w:top="364" w:right="3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Leerink Partners LLC</w:t>
      </w:r>
    </w:p>
    <w:p>
      <w:pPr>
        <w:spacing w:after="0" w:line="38" w:lineRule="exact"/>
        <w:rPr>
          <w:sz w:val="20"/>
          <w:szCs w:val="20"/>
          <w:color w:val="auto"/>
        </w:rPr>
      </w:pPr>
    </w:p>
    <w:p>
      <w:pPr>
        <w:sectPr>
          <w:pgSz w:w="11900" w:h="16838" w:orient="portrait"/>
          <w:cols w:equalWidth="0" w:num="2">
            <w:col w:w="220" w:space="440"/>
            <w:col w:w="10560"/>
          </w:cols>
          <w:pgMar w:left="320" w:top="364" w:right="3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53 State Street, 40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02109</w:t>
      </w:r>
    </w:p>
    <w:p>
      <w:pPr>
        <w:sectPr>
          <w:pgSz w:w="11900" w:h="16838" w:orient="portrait"/>
          <w:cols w:equalWidth="0" w:num="1">
            <w:col w:w="11220"/>
          </w:cols>
          <w:pgMar w:left="320" w:top="364" w:right="35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0" w:lineRule="exact"/>
        <w:rPr>
          <w:sz w:val="20"/>
          <w:szCs w:val="20"/>
          <w:color w:val="auto"/>
        </w:rPr>
      </w:pPr>
    </w:p>
    <w:p>
      <w:pPr>
        <w:sectPr>
          <w:pgSz w:w="11900" w:h="16838" w:orient="portrait"/>
          <w:cols w:equalWidth="0" w:num="2">
            <w:col w:w="220" w:space="440"/>
            <w:col w:w="10560"/>
          </w:cols>
          <w:pgMar w:left="320" w:top="364" w:right="3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Guggenheim Securities,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0" w:lineRule="exact"/>
        <w:rPr>
          <w:sz w:val="20"/>
          <w:szCs w:val="20"/>
          <w:color w:val="auto"/>
        </w:rPr>
      </w:pPr>
    </w:p>
    <w:p>
      <w:pPr>
        <w:sectPr>
          <w:pgSz w:w="11900" w:h="16838" w:orient="portrait"/>
          <w:cols w:equalWidth="0" w:num="2">
            <w:col w:w="220" w:space="440"/>
            <w:col w:w="10560"/>
          </w:cols>
          <w:pgMar w:left="320" w:top="364" w:right="3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 Larimar Therapeutics, Inc. –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relates to the proposed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Larimar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its common stock, $0.001 par value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and/or other equity securities of the Company, pursuant 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to be entered into by and among the Company and Leerink Partners LLC, Citigroup Global Markets Inc. and Guggenheim Securities, LLC,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order to induce you and the other Underwriters to underwrite the Offering, the undersigned hereby agrees that, without the prior written consent of the Representatives, during the period from the date hereof until 90 days from the date of the final prospectus supplement for the Offering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undersigned will not (a) directly or indirectly, offer, sell, agree to offer or sell, solicit offers to purchase, grant any call option or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put option with respect to, pledge, borrow or otherwise dispose of, any Relevant Security (as defined below), (b) establish or increase any “put equivalent position” or liquidate or decrease any “call equivalent position” with respect to any Relevant Security (in each case within the meaning of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promulgated thereunder), (c) otherwise enter into any swap, hedge,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or (d) publicly announce any intention to do any of the foregoing. As used herein “</w:t>
      </w:r>
      <w:r>
        <w:rPr>
          <w:rFonts w:ascii="Times New Roman" w:cs="Times New Roman" w:eastAsia="Times New Roman" w:hAnsi="Times New Roman"/>
          <w:sz w:val="18"/>
          <w:szCs w:val="18"/>
          <w:b w:val="1"/>
          <w:bCs w:val="1"/>
          <w:color w:val="auto"/>
        </w:rPr>
        <w:t>Relevant Security</w:t>
      </w:r>
      <w:r>
        <w:rPr>
          <w:rFonts w:ascii="Times New Roman" w:cs="Times New Roman" w:eastAsia="Times New Roman" w:hAnsi="Times New Roman"/>
          <w:sz w:val="18"/>
          <w:szCs w:val="18"/>
          <w:color w:val="auto"/>
        </w:rPr>
        <w:t>” means the Stock, any other equity security of the Company or any of its subsidiaries and any security convertible into, or exercisable or exchangeable for, any Stock or other such equity security.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restrictions in this Agreement shall not apply to:</w:t>
      </w:r>
    </w:p>
    <w:p>
      <w:pPr>
        <w:spacing w:after="0" w:line="225" w:lineRule="exact"/>
        <w:rPr>
          <w:sz w:val="20"/>
          <w:szCs w:val="20"/>
          <w:color w:val="auto"/>
        </w:rPr>
      </w:pPr>
    </w:p>
    <w:p>
      <w:pPr>
        <w:ind w:left="1300" w:hanging="644"/>
        <w:spacing w:after="0" w:line="258"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Relevant Securities (i) as a bona fide gift or gifts, (ii) by will, other testamentary document or intestate succession, (iii) to a Family Member (as defined below), (iv) to a trust for the direct or indirect benefit of the undersigned and/or one or more Family Members, (v) by operation of law, including pursuant to a domestic order, divorce settlement, divorce decree, separation agreement or pursuant to an order of a court of competent jurisdiction enforcing such agreement, (vi) to a charitable trust or (vii) if the undersigned is a trust, to the beneficiary of such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8" w:name="page19"/>
    <w:bookmarkEnd w:id="18"/>
    <w:p>
      <w:pPr>
        <w:ind w:left="1300" w:right="20" w:hanging="644"/>
        <w:spacing w:after="0" w:line="25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Relevant Securities to the Company (i) as forfeitures to satisfy tax withholding obligations of the undersigned existing as of the date of the final prospectus supplement in connection with the vesting or exercise of equity awards, (ii) pursuant to a net exercise or cashless exercise (to satisfy exercise price or related withholding obligations) by the undersigned of outstanding equity awards existing as of the date of the final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shares of Stock acquired upon the net exercise or cashless exercise of equity awards described in this clause (b) shall be subject to the restrictions set forth in this Agreement, or (iii) by an executive officer upon death, disability or termination of employment, in each case, of such executive officer;</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Relevant Securities to limited partners, members or stockholders of the undersigned;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Relevant Securities acquired in the Offering or in open market transactions after the closing of the Offering;</w:t>
      </w:r>
    </w:p>
    <w:p>
      <w:pPr>
        <w:spacing w:after="0" w:line="225" w:lineRule="exact"/>
        <w:rPr>
          <w:rFonts w:ascii="Times New Roman" w:cs="Times New Roman" w:eastAsia="Times New Roman" w:hAnsi="Times New Roman"/>
          <w:sz w:val="18"/>
          <w:szCs w:val="18"/>
          <w:color w:val="auto"/>
        </w:rPr>
      </w:pPr>
    </w:p>
    <w:p>
      <w:pPr>
        <w:ind w:left="1300" w:right="60" w:hanging="644"/>
        <w:spacing w:after="0" w:line="25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Relevant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Relevant Securities in connection with such transaction, or vote any Relevant Securities in favor of any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such securities held by the undersigned shall remain subject to the provisions of this Agreement;</w:t>
      </w:r>
    </w:p>
    <w:p>
      <w:pPr>
        <w:spacing w:after="0" w:line="187"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Relevant Securities to a corporation, limited liability company or partnership wholly owned by the undersigned and/or one or more Family Members or to the undersigned’s direct or indirect affiliates or to any investment fund or any manager thereof or other entity controlled or managed by, controlling or managing, or under common control with, the undersigned (including, for the avoidance of doubt, where the undersigned is a partnership, to its general partner or a successor partnership or fund or any other funds managed by such partnership; and</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Relevant Securities as collateral pursuant to a bona fide margin loan (including any subsequent transfer upon foreclosure under any such pledge.</w:t>
      </w:r>
    </w:p>
    <w:p>
      <w:pPr>
        <w:spacing w:after="0" w:line="162"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It shall be a further condition to any transfer or distribution pursuant to the preceding clauses (a), (b), (c), (d) or (f) that no public disclosure or filing by any party (donor, donee, transferor or transferee) under the Exchange Act, or other public announcement shall be required or shall be made voluntarily in connection with such transfer or distribution (other than a filing on Form 5 made after the expiration of the Lock-up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any transfer or distribution pursuant to clauses (a), (b), (c), (d) or (f), to the extent the undersigned is required to file a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Section 13 or Section 16 of the Exchange Act, the undersigned shall be permitted to proceed with such transaction irrespective of such filing requirement and file such report,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report clearly indicates in the footnotes or otherwise in the text disclosure thereto the nature of the transfer and no other public announcement shall be required or shall be made voluntarily in connection with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It shall be a condition to any transfer or distribution pursuant to the preceding clause (a) that (x) any such transfer shall not involve a disposition for value and (y) each resulting transferee or donee of Relevant Securities executes and delivers to you an agreement satisfactory to you in which such transferee agrees to be bound by the terms of this Agreement for the remainder of the Lock-Up Period.</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It shall be a condition to any transfer or distribution pursuant to each of the preceding clauses (c), (f) or (g) (solely in the case of subsequent transfer upon foreclosure under any such pledge) that each resulting transferee or done of Relevant Securities executes and delivers to you an agreement satisfactory to you in which such transferee agrees to be bound by the terms of this Agreement for the remainder of the Lock-Up Period.</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any relationship by blood, domestic partnership, marriage or adoption not more remote than first cousin.</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restrictions described in this Agreement shall not apply to the establishment of a trading plan pursuant to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transfers occur under such plan during the Lock-up Period and no public announcement or filing shall be required or voluntarily made by any person in connection therewith other than general disclosure in Company periodic reports to the effect that the Company directors and officers may enter into such trading plans from time to time.</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holder. The undersigned hereby further agrees that, without the prior written consent of the Representatives, during the Lock-Up Period the undersigned will not (x) file or participate in the filing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any registration statement, or circulate or participate in the circulation of any preliminary or final prospectus supplement or other disclosure document with respect to any proposed offering or sale of a Relevant Security, (y) exercise any rights the undersigned may have to require registration with the SEC of any proposed offering or sale of a Relevant Security, or (z) publicly announce any intention to do any of the foregoing.</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It is understood that,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Stock, or (iv) the closing of the Offering pursuant to the Underwriting Agreement has not occurred by February 29, 2024, the undersigned will be immediately and automatically released from its obligations under this Agreement.</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It is further understood that if any party to a lock-up agreement with respect to the Company is formally or informally released or waived from any or all of its obligations thereunder (the “</w:t>
      </w:r>
      <w:r>
        <w:rPr>
          <w:rFonts w:ascii="Times New Roman" w:cs="Times New Roman" w:eastAsia="Times New Roman" w:hAnsi="Times New Roman"/>
          <w:sz w:val="18"/>
          <w:szCs w:val="18"/>
          <w:b w:val="1"/>
          <w:bCs w:val="1"/>
          <w:color w:val="auto"/>
        </w:rPr>
        <w:t>Released Party</w:t>
      </w:r>
      <w:r>
        <w:rPr>
          <w:rFonts w:ascii="Times New Roman" w:cs="Times New Roman" w:eastAsia="Times New Roman" w:hAnsi="Times New Roman"/>
          <w:sz w:val="18"/>
          <w:szCs w:val="18"/>
          <w:color w:val="auto"/>
        </w:rPr>
        <w:t>”), the undersigned will be similarly and contemporaneously released or waived from its obligations hereunder (which for the avoidance of doubt will include a release or waiver of the same percentage of the shares of the Relevant Securities as was granted to the Released Party) and the Underwriters agree to provide notice thereof to the undersigned at least three (3) business days prior thereto. Notwithstanding the foregoing, the provisions of this paragraph shall not apply if (1) the aggregate number of shares of Stock subject to releases or waivers granted by the Representatives during the Lock-Up Period represents less than or equal to 10% of the total number subject to such lock-up agreements (determined as of the date of the closing of the Offering and giving effect to the Offering), or (2) the release or waiver is granted to a natural person due to circumstances of an emergency or hardship as determined by the Representatives in their sole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The undersigned understands that the Company and the Underwriters will proceed with the Offering in reliance on this Agreement.</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the Underwriting Agreement, the terms of which are subject to negotiation between the Company and the Underwriters.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Upon request, the undersigned will execute any additional documents necessary in connection with enforcement hereof. Any obligations of the undersigned shall be binding upon the successors, heirs, personal representatives and assigns of the undersigned from the date first above written.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1" w:name="page22"/>
    <w:bookmarkEnd w:id="21"/>
    <w:p>
      <w:pPr>
        <w:ind w:left="4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-126365</wp:posOffset>
            </wp:positionV>
            <wp:extent cx="33343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17145</wp:posOffset>
            </wp:positionV>
            <wp:extent cx="3034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-126365</wp:posOffset>
            </wp:positionV>
            <wp:extent cx="33343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-126365</wp:posOffset>
            </wp:positionV>
            <wp:extent cx="33343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5" w:lineRule="exact"/>
        <w:rPr>
          <w:sz w:val="20"/>
          <w:szCs w:val="20"/>
          <w:color w:val="auto"/>
        </w:rPr>
      </w:pPr>
    </w:p>
    <w:p>
      <w:pPr>
        <w:ind w:left="4860"/>
        <w:spacing w:after="0" w:line="284" w:lineRule="auto"/>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 trustee, or on behalf of an entity)</w:t>
      </w:r>
    </w:p>
    <w:p>
      <w:pPr>
        <w:spacing w:after="0" w:line="37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18415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960"/>
      </w:cols>
      <w:pgMar w:left="1440" w:top="79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212"/>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1"/>
      <w:numFmt w:val="bullet"/>
      <w:start w:val="1"/>
    </w:lvl>
  </w:abstractNum>
  <w:abstractNum w:abstractNumId="6">
    <w:nsid w:val="6B68079A"/>
    <w:multiLevelType w:val="hybridMultilevel"/>
    <w:lvl w:ilvl="0">
      <w:lvlJc w:val="left"/>
      <w:lvlText w:val="1"/>
      <w:numFmt w:val="bullet"/>
      <w:start w:val="1"/>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1"/>
      <w:numFmt w:val="bullet"/>
      <w:start w:val="1"/>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1"/>
      <w:numFmt w:val="bullet"/>
      <w:start w:val="1"/>
    </w:lvl>
  </w:abstractNum>
  <w:abstractNum w:abstractNumId="11">
    <w:nsid w:val="3F2DBA31"/>
    <w:multiLevelType w:val="hybridMultilevel"/>
    <w:lvl w:ilvl="0">
      <w:lvlJc w:val="left"/>
      <w:lvlText w:val="(%1)"/>
      <w:numFmt w:val="decimal"/>
      <w:start w:val="5"/>
    </w:lvl>
  </w:abstractNum>
  <w:abstractNum w:abstractNumId="12">
    <w:nsid w:val="7C83E458"/>
    <w:multiLevelType w:val="hybridMultilevel"/>
    <w:lvl w:ilvl="0">
      <w:lvlJc w:val="left"/>
      <w:lvlText w:val="1"/>
      <w:numFmt w:val="bullet"/>
      <w:start w:val="1"/>
    </w:lvl>
  </w:abstractNum>
  <w:abstractNum w:abstractNumId="13">
    <w:nsid w:val="257130A3"/>
    <w:multiLevelType w:val="hybridMultilevel"/>
    <w:lvl w:ilvl="0">
      <w:lvlJc w:val="left"/>
      <w:lvlText w:val="(%1)"/>
      <w:numFmt w:val="decimal"/>
      <w:start w:val="6"/>
    </w:lvl>
  </w:abstractNum>
  <w:abstractNum w:abstractNumId="14">
    <w:nsid w:val="62BBD95A"/>
    <w:multiLevelType w:val="hybridMultilevel"/>
    <w:lvl w:ilvl="0">
      <w:lvlJc w:val="left"/>
      <w:lvlText w:val="(%1)"/>
      <w:numFmt w:val="lowerRoman"/>
      <w:start w:val="9"/>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3"/>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decimal"/>
      <w:start w:val="9"/>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8"/>
    </w:lvl>
  </w:abstractNum>
  <w:abstractNum w:abstractNumId="22">
    <w:nsid w:val="75A2A8D4"/>
    <w:multiLevelType w:val="hybridMultilevel"/>
    <w:lvl w:ilvl="0">
      <w:lvlJc w:val="left"/>
      <w:lvlText w:val="%1."/>
      <w:numFmt w:val="upperLetter"/>
      <w:start w:val="9"/>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2024-02-15T18:32:28Z</dcterms:created>
  <dcterms:modified xsi:type="dcterms:W3CDTF">2024-02-15T18:32:28Z</dcterms:modified>
</cp:coreProperties>
</file>