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774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77456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Celano Michael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180"/>
        <w:spacing w:after="0" w:line="372" w:lineRule="auto"/>
        <w:rPr>
          <w:sz w:val="20"/>
          <w:szCs w:val="20"/>
          <w:color w:val="auto"/>
        </w:rPr>
      </w:pPr>
      <w:r>
        <w:rPr>
          <w:rFonts w:ascii="Times New Roman" w:cs="Times New Roman" w:eastAsia="Times New Roman" w:hAnsi="Times New Roman"/>
          <w:sz w:val="16"/>
          <w:szCs w:val="16"/>
          <w:color w:val="0000FF"/>
        </w:rPr>
        <w:t>C/O LARIMAR THERAPEUTICS, INC. THREE BALA PLAZA EAST, SUITE 506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75"/>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Larimar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LRMR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01/31/2023</w:t>
      </w:r>
    </w:p>
    <w:p>
      <w:pPr>
        <w:spacing w:after="0" w:line="20" w:lineRule="exact"/>
        <w:rPr>
          <w:sz w:val="24"/>
          <w:szCs w:val="24"/>
          <w:color w:val="auto"/>
        </w:rPr>
      </w:pPr>
      <w:r>
        <w:rPr>
          <w:sz w:val="24"/>
          <w:szCs w:val="24"/>
          <w:color w:val="auto"/>
        </w:rPr>
        <w:br w:type="column"/>
      </w: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5" w:type="dxa"/>
        <w:tblCellMar>
          <w:top w:w="0" w:type="dxa"/>
          <w:left w:w="0" w:type="dxa"/>
          <w:bottom w:w="0" w:type="dxa"/>
          <w:right w:w="0" w:type="dxa"/>
        </w:tblCellMar>
      </w:tblPr>
      <w:tr>
        <w:trPr>
          <w:trHeight w:val="167"/>
        </w:trPr>
        <w:tc>
          <w:tcPr>
            <w:tcW w:w="2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29"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128"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BALA</w:t>
            </w: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PA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19004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CYNWYD</w:t>
            </w:r>
          </w:p>
        </w:tc>
        <w:tc>
          <w:tcPr>
            <w:tcW w:w="104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2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473"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01/31/2023</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w w:val="88"/>
              </w:rPr>
              <w:t>76,000</w:t>
            </w:r>
            <w:r>
              <w:rPr>
                <w:rFonts w:ascii="Times New Roman" w:cs="Times New Roman" w:eastAsia="Times New Roman" w:hAnsi="Times New Roman"/>
                <w:sz w:val="21"/>
                <w:szCs w:val="21"/>
                <w:color w:val="008000"/>
                <w:w w:val="88"/>
                <w:vertAlign w:val="superscript"/>
              </w:rPr>
              <w:t>(1)</w:t>
            </w: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107,746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4.94</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01/31/2023</w:t>
            </w:r>
          </w:p>
        </w:tc>
        <w:tc>
          <w:tcPr>
            <w:tcW w:w="10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120,000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01/31/2033</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120,000</w:t>
            </w:r>
          </w:p>
        </w:tc>
        <w:tc>
          <w:tcPr>
            <w:tcW w:w="4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120,000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ind w:left="2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is represented by a restricted stock unit ("RSU"). Each RSU represents a contingent right to receive one share of the Issuer's Common Stock upon settlement.</w:t>
      </w:r>
    </w:p>
    <w:p>
      <w:pPr>
        <w:spacing w:after="0" w:line="41" w:lineRule="exact"/>
        <w:rPr>
          <w:rFonts w:ascii="Times New Roman" w:cs="Times New Roman" w:eastAsia="Times New Roman" w:hAnsi="Times New Roman"/>
          <w:sz w:val="13"/>
          <w:szCs w:val="13"/>
          <w:color w:val="008000"/>
        </w:rPr>
      </w:pPr>
    </w:p>
    <w:p>
      <w:pPr>
        <w:ind w:left="40" w:right="5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25% on January 31, 2024, with the remaining 75% vesting in equal monthly installments on the last day of each of the 36 calendar months immediately following such date, subject to the Reporting Person's continued service with the Issuer through the applicable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Jennifer Johansson,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02/02/2023</w:t>
            </w:r>
          </w:p>
        </w:tc>
        <w:tc>
          <w:tcPr>
            <w:tcW w:w="0" w:type="dxa"/>
            <w:vAlign w:val="bottom"/>
          </w:tcPr>
          <w:p>
            <w:pPr>
              <w:spacing w:after="0"/>
              <w:rPr>
                <w:sz w:val="1"/>
                <w:szCs w:val="1"/>
                <w:color w:val="auto"/>
              </w:rPr>
            </w:pPr>
          </w:p>
        </w:tc>
      </w:tr>
      <w:tr>
        <w:trPr>
          <w:trHeight w:val="87"/>
        </w:trPr>
        <w:tc>
          <w:tcPr>
            <w:tcW w:w="148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7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4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582"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2023-02-02T19:25:29Z</dcterms:created>
  <dcterms:modified xsi:type="dcterms:W3CDTF">2023-02-02T19:25:29Z</dcterms:modified>
</cp:coreProperties>
</file>