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ind w:left="4800"/>
        <w:spacing w:after="0"/>
        <w:rPr>
          <w:sz w:val="20"/>
          <w:szCs w:val="20"/>
          <w:color w:val="auto"/>
        </w:rPr>
      </w:pPr>
      <w:r>
        <w:rPr>
          <w:rFonts w:ascii="Arial" w:cs="Arial" w:eastAsia="Arial" w:hAnsi="Arial"/>
          <w:sz w:val="22"/>
          <w:szCs w:val="22"/>
          <w:b w:val="1"/>
          <w:bCs w:val="1"/>
          <w:color w:val="auto"/>
        </w:rPr>
        <w:t>(RULE 13d - 102)</w:t>
      </w:r>
    </w:p>
    <w:p>
      <w:pPr>
        <w:spacing w:after="0" w:line="142" w:lineRule="exact"/>
        <w:rPr>
          <w:sz w:val="24"/>
          <w:szCs w:val="24"/>
          <w:color w:val="auto"/>
        </w:rPr>
      </w:pPr>
    </w:p>
    <w:p>
      <w:pPr>
        <w:jc w:val="center"/>
        <w:ind w:left="340" w:right="540"/>
        <w:spacing w:after="0" w:line="229"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38"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(Amendment No. 2)*</w:t>
      </w:r>
    </w:p>
    <w:p>
      <w:pPr>
        <w:spacing w:after="0" w:line="139" w:lineRule="exact"/>
        <w:rPr>
          <w:sz w:val="24"/>
          <w:szCs w:val="24"/>
          <w:color w:val="auto"/>
        </w:rPr>
      </w:pPr>
    </w:p>
    <w:p>
      <w:pPr>
        <w:ind w:left="4480"/>
        <w:spacing w:after="0"/>
        <w:rPr>
          <w:sz w:val="20"/>
          <w:szCs w:val="20"/>
          <w:color w:val="auto"/>
        </w:rPr>
      </w:pPr>
      <w:r>
        <w:rPr>
          <w:rFonts w:ascii="Arial" w:cs="Arial" w:eastAsia="Arial" w:hAnsi="Arial"/>
          <w:sz w:val="22"/>
          <w:szCs w:val="22"/>
          <w:u w:val="single" w:color="auto"/>
          <w:color w:val="auto"/>
        </w:rPr>
        <w:t>Larimar Therapeutics, Inc.</w:t>
      </w:r>
    </w:p>
    <w:p>
      <w:pPr>
        <w:ind w:left="4900"/>
        <w:spacing w:after="0"/>
        <w:rPr>
          <w:sz w:val="20"/>
          <w:szCs w:val="20"/>
          <w:color w:val="auto"/>
        </w:rPr>
      </w:pPr>
      <w:r>
        <w:rPr>
          <w:rFonts w:ascii="Arial" w:cs="Arial" w:eastAsia="Arial" w:hAnsi="Arial"/>
          <w:sz w:val="22"/>
          <w:szCs w:val="22"/>
          <w:color w:val="auto"/>
        </w:rPr>
        <w:t>(Name of Issuer)</w:t>
      </w:r>
    </w:p>
    <w:p>
      <w:pPr>
        <w:spacing w:after="0" w:line="115" w:lineRule="exact"/>
        <w:rPr>
          <w:sz w:val="24"/>
          <w:szCs w:val="24"/>
          <w:color w:val="auto"/>
        </w:rPr>
      </w:pPr>
    </w:p>
    <w:p>
      <w:pPr>
        <w:ind w:left="4200"/>
        <w:spacing w:after="0"/>
        <w:rPr>
          <w:sz w:val="20"/>
          <w:szCs w:val="20"/>
          <w:color w:val="auto"/>
        </w:rPr>
      </w:pPr>
      <w:r>
        <w:rPr>
          <w:rFonts w:ascii="Arial" w:cs="Arial" w:eastAsia="Arial" w:hAnsi="Arial"/>
          <w:sz w:val="22"/>
          <w:szCs w:val="22"/>
          <w:u w:val="single" w:color="auto"/>
          <w:color w:val="auto"/>
        </w:rPr>
        <w:t>Common stock, $0.001 par value</w:t>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15" w:lineRule="exact"/>
        <w:rPr>
          <w:sz w:val="24"/>
          <w:szCs w:val="24"/>
          <w:color w:val="auto"/>
        </w:rPr>
      </w:pPr>
    </w:p>
    <w:p>
      <w:pPr>
        <w:ind w:left="5140"/>
        <w:spacing w:after="0"/>
        <w:rPr>
          <w:sz w:val="20"/>
          <w:szCs w:val="20"/>
          <w:color w:val="auto"/>
        </w:rPr>
      </w:pPr>
      <w:r>
        <w:rPr>
          <w:rFonts w:ascii="Arial" w:cs="Arial" w:eastAsia="Arial" w:hAnsi="Arial"/>
          <w:sz w:val="22"/>
          <w:szCs w:val="22"/>
          <w:u w:val="single" w:color="auto"/>
          <w:color w:val="auto"/>
        </w:rPr>
        <w:t>517125100</w:t>
      </w:r>
    </w:p>
    <w:p>
      <w:pPr>
        <w:ind w:left="4860"/>
        <w:spacing w:after="0"/>
        <w:rPr>
          <w:sz w:val="20"/>
          <w:szCs w:val="20"/>
          <w:color w:val="auto"/>
        </w:rPr>
      </w:pPr>
      <w:r>
        <w:rPr>
          <w:rFonts w:ascii="Arial" w:cs="Arial" w:eastAsia="Arial" w:hAnsi="Arial"/>
          <w:sz w:val="22"/>
          <w:szCs w:val="22"/>
          <w:color w:val="auto"/>
        </w:rPr>
        <w:t>(CUSIP Number)</w:t>
      </w:r>
    </w:p>
    <w:p>
      <w:pPr>
        <w:spacing w:after="0" w:line="115" w:lineRule="exact"/>
        <w:rPr>
          <w:sz w:val="24"/>
          <w:szCs w:val="24"/>
          <w:color w:val="auto"/>
        </w:rPr>
      </w:pPr>
    </w:p>
    <w:p>
      <w:pPr>
        <w:ind w:left="4780"/>
        <w:spacing w:after="0"/>
        <w:rPr>
          <w:sz w:val="20"/>
          <w:szCs w:val="20"/>
          <w:color w:val="auto"/>
        </w:rPr>
      </w:pPr>
      <w:r>
        <w:rPr>
          <w:rFonts w:ascii="Arial" w:cs="Arial" w:eastAsia="Arial" w:hAnsi="Arial"/>
          <w:sz w:val="22"/>
          <w:szCs w:val="22"/>
          <w:u w:val="single" w:color="auto"/>
          <w:color w:val="auto"/>
        </w:rPr>
        <w:t>December 31, 2020</w:t>
      </w: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6"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left="4780" w:right="4740" w:hanging="23"/>
        <w:spacing w:after="0" w:line="504" w:lineRule="auto"/>
        <w:tabs>
          <w:tab w:leader="none" w:pos="528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jc w:val="both"/>
        <w:spacing w:after="0" w:line="21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Management, LLC</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220,136</w:t>
      </w:r>
    </w:p>
    <w:p>
      <w:pPr>
        <w:ind w:left="1880" w:right="68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220,136</w:t>
      </w:r>
    </w:p>
    <w:p>
      <w:pPr>
        <w:ind w:left="1880" w:right="255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220,136</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Partners,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220,136</w:t>
      </w:r>
    </w:p>
    <w:p>
      <w:pPr>
        <w:ind w:left="1880" w:right="68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220,136</w:t>
      </w:r>
    </w:p>
    <w:p>
      <w:pPr>
        <w:ind w:left="1880" w:right="255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220,136</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Ari Zweiman</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220,136</w:t>
      </w:r>
    </w:p>
    <w:p>
      <w:pPr>
        <w:ind w:left="1880" w:right="68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220,136</w:t>
      </w:r>
    </w:p>
    <w:p>
      <w:pPr>
        <w:ind w:left="1880" w:right="255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220,136</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This Schedule 13G/A reflects the beneficial ownership of the Reporting Persons (as defined below) as of December 31, 2020.</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Larimar Therapeutics, Inc.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Three Bala Plaza East, Suite 506, Bala Cynwyd, Pennsylvania 19004</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names of the persons filing this statement on Schedule 13G/A (collectively, the “</w:t>
      </w:r>
      <w:r>
        <w:rPr>
          <w:rFonts w:ascii="Arial" w:cs="Arial" w:eastAsia="Arial" w:hAnsi="Arial"/>
          <w:sz w:val="21"/>
          <w:szCs w:val="21"/>
          <w:u w:val="single" w:color="auto"/>
          <w:color w:val="auto"/>
        </w:rPr>
        <w:t>Reporting Persons</w:t>
      </w:r>
      <w:r>
        <w:rPr>
          <w:rFonts w:ascii="Arial" w:cs="Arial" w:eastAsia="Arial" w:hAnsi="Arial"/>
          <w:sz w:val="21"/>
          <w:szCs w:val="21"/>
          <w:color w:val="auto"/>
        </w:rPr>
        <w:t>”) are:</w:t>
      </w:r>
    </w:p>
    <w:p>
      <w:pPr>
        <w:spacing w:after="0" w:line="19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Management, LLC,</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Partners, LP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Ari Zweiman.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principal business address for each of the Reporting Persons is 3 Columbus Circle, Suite 2205, New York, NY 10019.</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08"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683 Capital Management, LLC is a Delaware limited liability company. 683 Capital Partners, LP is a Delaware limited partnership. Ari Zweiman is a citizen of the United States.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$0.001 par value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517125100</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00" w:hanging="36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00" w:hanging="36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1000" w:hanging="35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25"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225"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225" w:lineRule="exact"/>
        <w:rPr>
          <w:sz w:val="20"/>
          <w:szCs w:val="20"/>
          <w:color w:val="auto"/>
        </w:rPr>
      </w:pPr>
    </w:p>
    <w:p>
      <w:pPr>
        <w:ind w:left="1420" w:hanging="788"/>
        <w:spacing w:after="0" w:line="261" w:lineRule="auto"/>
        <w:tabs>
          <w:tab w:leader="none" w:pos="10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34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2020, 683 Capital Partners, LP beneficially owned 220,136 shares of Common Stock.</w:t>
      </w:r>
    </w:p>
    <w:p>
      <w:pPr>
        <w:spacing w:after="0" w:line="166" w:lineRule="exact"/>
        <w:rPr>
          <w:sz w:val="20"/>
          <w:szCs w:val="20"/>
          <w:color w:val="auto"/>
        </w:rPr>
      </w:pPr>
    </w:p>
    <w:p>
      <w:pPr>
        <w:ind w:left="660" w:right="20"/>
        <w:spacing w:after="0" w:line="237" w:lineRule="auto"/>
        <w:rPr>
          <w:sz w:val="20"/>
          <w:szCs w:val="20"/>
          <w:color w:val="auto"/>
        </w:rPr>
      </w:pPr>
      <w:r>
        <w:rPr>
          <w:rFonts w:ascii="Arial" w:cs="Arial" w:eastAsia="Arial" w:hAnsi="Arial"/>
          <w:sz w:val="21"/>
          <w:szCs w:val="21"/>
          <w:color w:val="auto"/>
        </w:rPr>
        <w:t>683 Capital Management, LLC, as the investment manager of 683 Capital Partners, LP, may be deemed to have beneficially owned the 220,136 shares of Common Stock beneficially owned by 683 Capital Partners, LP.</w:t>
      </w:r>
    </w:p>
    <w:p>
      <w:pPr>
        <w:spacing w:after="0" w:line="144" w:lineRule="exact"/>
        <w:rPr>
          <w:sz w:val="20"/>
          <w:szCs w:val="20"/>
          <w:color w:val="auto"/>
        </w:rPr>
      </w:pPr>
    </w:p>
    <w:p>
      <w:pPr>
        <w:ind w:left="660" w:right="20"/>
        <w:spacing w:after="0" w:line="237" w:lineRule="auto"/>
        <w:rPr>
          <w:sz w:val="20"/>
          <w:szCs w:val="20"/>
          <w:color w:val="auto"/>
        </w:rPr>
      </w:pPr>
      <w:r>
        <w:rPr>
          <w:rFonts w:ascii="Arial" w:cs="Arial" w:eastAsia="Arial" w:hAnsi="Arial"/>
          <w:sz w:val="21"/>
          <w:szCs w:val="21"/>
          <w:color w:val="auto"/>
        </w:rPr>
        <w:t>Ari Zweiman, as the Managing Member of 683 Capital Management, LLC, may be deemed to have beneficially owned the 220,136 shares of Common Stock beneficially owned by 683 Capital Management, LLC.</w:t>
      </w:r>
    </w:p>
    <w:p>
      <w:pPr>
        <w:spacing w:after="0" w:line="16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4" w:lineRule="exact"/>
        <w:rPr>
          <w:sz w:val="20"/>
          <w:szCs w:val="20"/>
          <w:color w:val="auto"/>
        </w:rPr>
      </w:pPr>
    </w:p>
    <w:p>
      <w:pPr>
        <w:jc w:val="both"/>
        <w:ind w:left="660"/>
        <w:spacing w:after="0" w:line="214" w:lineRule="auto"/>
        <w:rPr>
          <w:sz w:val="20"/>
          <w:szCs w:val="20"/>
          <w:color w:val="auto"/>
        </w:rPr>
      </w:pPr>
      <w:r>
        <w:rPr>
          <w:rFonts w:ascii="Arial" w:cs="Arial" w:eastAsia="Arial" w:hAnsi="Arial"/>
          <w:sz w:val="22"/>
          <w:szCs w:val="22"/>
          <w:color w:val="auto"/>
        </w:rPr>
        <w:t>The following percentage is based on 15,356,206 shares of Common Stock outstanding as of October 31, 2020, as disclosed in the Issuer’s Quarterly Report on Form 10-Q filed with the Securities and Exchange Commission on November 12, 2020.</w:t>
      </w:r>
    </w:p>
    <w:p>
      <w:pPr>
        <w:spacing w:after="0" w:line="147" w:lineRule="exact"/>
        <w:rPr>
          <w:sz w:val="20"/>
          <w:szCs w:val="20"/>
          <w:color w:val="auto"/>
        </w:rPr>
      </w:pPr>
    </w:p>
    <w:p>
      <w:pPr>
        <w:jc w:val="both"/>
        <w:ind w:left="660"/>
        <w:spacing w:after="0" w:line="226" w:lineRule="auto"/>
        <w:rPr>
          <w:sz w:val="20"/>
          <w:szCs w:val="20"/>
          <w:color w:val="auto"/>
        </w:rPr>
      </w:pPr>
      <w:r>
        <w:rPr>
          <w:rFonts w:ascii="Arial" w:cs="Arial" w:eastAsia="Arial" w:hAnsi="Arial"/>
          <w:sz w:val="22"/>
          <w:szCs w:val="22"/>
          <w:color w:val="auto"/>
        </w:rPr>
        <w:t>As of December 31, 2020, each of the Reporting Persons may be deemed to have beneficially owned approximately 1.4% of the outstanding shares of Common Stock.</w:t>
      </w:r>
    </w:p>
    <w:p>
      <w:pPr>
        <w:spacing w:after="0" w:line="16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4" w:lineRule="exact"/>
        <w:rPr>
          <w:rFonts w:ascii="Arial" w:cs="Arial" w:eastAsia="Arial" w:hAnsi="Arial"/>
          <w:sz w:val="18"/>
          <w:szCs w:val="18"/>
          <w:color w:val="auto"/>
        </w:rPr>
      </w:pPr>
    </w:p>
    <w:p>
      <w:pPr>
        <w:ind w:left="1140" w:hanging="484"/>
        <w:spacing w:after="0"/>
        <w:tabs>
          <w:tab w:leader="none" w:pos="11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00" w:hanging="544"/>
        <w:spacing w:after="0"/>
        <w:tabs>
          <w:tab w:leader="none" w:pos="12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Shared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60" w:hanging="604"/>
        <w:spacing w:after="0"/>
        <w:tabs>
          <w:tab w:leader="none" w:pos="12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300" w:right="3860" w:hanging="644"/>
        <w:spacing w:after="0" w:line="455" w:lineRule="auto"/>
        <w:tabs>
          <w:tab w:leader="none" w:pos="1241"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Common Stock: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[x].</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A to the Schedule 13G filed with the SEC on September 16, 2019.</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By signing below the undersigned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16,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683 CAPITAL MANAGEMENT, LLC*</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By: /s/Ari Zweiman</w:t>
      </w:r>
    </w:p>
    <w:p>
      <w:pPr>
        <w:ind w:left="320"/>
        <w:spacing w:after="0" w:line="192" w:lineRule="auto"/>
        <w:rPr>
          <w:sz w:val="20"/>
          <w:szCs w:val="20"/>
          <w:color w:val="auto"/>
        </w:rPr>
      </w:pPr>
      <w:r>
        <w:rPr>
          <w:rFonts w:ascii="Arial" w:cs="Arial" w:eastAsia="Arial" w:hAnsi="Arial"/>
          <w:sz w:val="22"/>
          <w:szCs w:val="22"/>
          <w:color w:val="auto"/>
        </w:rPr>
        <w:t>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-125730</wp:posOffset>
            </wp:positionV>
            <wp:extent cx="2407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792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Authorized Person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683 CAPITAL PARTNERS, LP*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By: /s/Ari Zweiman</w:t>
      </w:r>
    </w:p>
    <w:p>
      <w:pPr>
        <w:ind w:left="320"/>
        <w:spacing w:after="0" w:line="192" w:lineRule="auto"/>
        <w:rPr>
          <w:sz w:val="20"/>
          <w:szCs w:val="20"/>
          <w:color w:val="auto"/>
        </w:rPr>
      </w:pPr>
      <w:r>
        <w:rPr>
          <w:rFonts w:ascii="Arial" w:cs="Arial" w:eastAsia="Arial" w:hAnsi="Arial"/>
          <w:sz w:val="22"/>
          <w:szCs w:val="22"/>
          <w:color w:val="auto"/>
        </w:rPr>
        <w:t>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-125730</wp:posOffset>
            </wp:positionV>
            <wp:extent cx="2407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792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2"/>
          <w:szCs w:val="22"/>
          <w:color w:val="auto"/>
        </w:rPr>
        <w:t>Authorized Person</w:t>
      </w:r>
    </w:p>
    <w:p>
      <w:pPr>
        <w:spacing w:after="0" w:line="115" w:lineRule="exact"/>
        <w:rPr>
          <w:sz w:val="20"/>
          <w:szCs w:val="20"/>
          <w:color w:val="auto"/>
        </w:rPr>
      </w:pPr>
    </w:p>
    <w:p>
      <w:pPr>
        <w:jc w:val="center"/>
        <w:ind w:right="9660"/>
        <w:spacing w:after="0"/>
        <w:rPr>
          <w:sz w:val="20"/>
          <w:szCs w:val="20"/>
          <w:color w:val="auto"/>
        </w:rPr>
      </w:pPr>
      <w:r>
        <w:rPr>
          <w:rFonts w:ascii="Arial" w:cs="Arial" w:eastAsia="Arial" w:hAnsi="Arial"/>
          <w:sz w:val="22"/>
          <w:szCs w:val="22"/>
          <w:color w:val="auto"/>
        </w:rPr>
        <w:t>/s/Ari Zweiman</w:t>
      </w:r>
    </w:p>
    <w:p>
      <w:pPr>
        <w:jc w:val="center"/>
        <w:ind w:right="9660"/>
        <w:spacing w:after="0"/>
        <w:rPr>
          <w:sz w:val="20"/>
          <w:szCs w:val="20"/>
          <w:color w:val="auto"/>
        </w:rPr>
      </w:pPr>
      <w:r>
        <w:rPr>
          <w:rFonts w:ascii="Arial" w:cs="Arial" w:eastAsia="Arial" w:hAnsi="Arial"/>
          <w:sz w:val="22"/>
          <w:szCs w:val="22"/>
          <w:color w:val="auto"/>
        </w:rPr>
        <w:t>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962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spacing w:after="0" w:line="12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Reporting Persons disclaim beneficial ownership in the shares of Common Stock reported herein except to the extent of their pecuniary interest therein.</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s.240.13d-7 for other parties for whom copies are to be sent.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Attention. Intentional misstatements or omissions of fact constitute Federal criminal violations (see 18 U.S.C. 1001).</w:t>
      </w:r>
    </w:p>
    <w:sectPr>
      <w:pgSz w:w="11900" w:h="16838" w:orient="portrait"/>
      <w:cols w:equalWidth="0" w:num="1">
        <w:col w:w="11240"/>
      </w:cols>
      <w:pgMar w:left="320" w:top="5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Roman"/>
      <w:start w:val="10"/>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5"/>
    </w:lvl>
  </w:abstractNum>
  <w:abstractNum w:abstractNumId="4">
    <w:nsid w:val="7FDCC233"/>
    <w:multiLevelType w:val="hybridMultilevel"/>
    <w:lvl w:ilvl="0">
      <w:lvlJc w:val="left"/>
      <w:lvlText w:val="%1."/>
      <w:numFmt w:val="decimal"/>
      <w:start w:val="1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lvl w:ilvl="1">
      <w:lvlJc w:val="left"/>
      <w:lvlText w:val="(%2)"/>
      <w:numFmt w:val="lowerLetter"/>
      <w:start w:val="1"/>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1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lvl w:ilvl="1">
      <w:lvlJc w:val="left"/>
      <w:lvlText w:val="(%2)"/>
      <w:numFmt w:val="lowerLetter"/>
      <w:start w:val="1"/>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7"/>
    </w:lvl>
  </w:abstractNum>
  <w:abstractNum w:abstractNumId="16">
    <w:nsid w:val="436C6125"/>
    <w:multiLevelType w:val="hybridMultilevel"/>
    <w:lvl w:ilvl="0">
      <w:lvlJc w:val="left"/>
      <w:lvlText w:val="(%1)"/>
      <w:numFmt w:val="lowerLetter"/>
      <w:start w:val="9"/>
    </w:lvl>
  </w:abstractNum>
  <w:abstractNum w:abstractNumId="17">
    <w:nsid w:val="628C895D"/>
    <w:multiLevelType w:val="hybridMultilevel"/>
    <w:lvl w:ilvl="0">
      <w:lvlJc w:val="left"/>
      <w:lvlText w:val="(%1)"/>
      <w:numFmt w:val="lowerLetter"/>
      <w:start w:val="1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1)"/>
      <w:numFmt w:val="lowerLetter"/>
      <w:start w:val="3"/>
    </w:lvl>
    <w:lvl w:ilvl="1">
      <w:lvlJc w:val="left"/>
      <w:lvlText w:val="(%2)"/>
      <w:numFmt w:val="lowerLetter"/>
      <w:start w:val="9"/>
    </w:lvl>
  </w:abstractNum>
  <w:abstractNum w:abstractNumId="21">
    <w:nsid w:val="2D1D5AE9"/>
    <w:multiLevelType w:val="hybridMultilevel"/>
    <w:lvl w:ilvl="0">
      <w:lvlJc w:val="left"/>
      <w:lvlText w:val="(%1)"/>
      <w:numFmt w:val="lowerRoman"/>
      <w:start w:val="2"/>
    </w:lvl>
  </w:abstractNum>
  <w:abstractNum w:abstractNumId="22">
    <w:nsid w:val="6763845E"/>
    <w:multiLevelType w:val="hybridMultilevel"/>
    <w:lvl w:ilvl="0">
      <w:lvlJc w:val="left"/>
      <w:lvlText w:val="(%1)"/>
      <w:numFmt w:val="lowerRoman"/>
      <w:start w:val="3"/>
    </w:lvl>
  </w:abstractNum>
  <w:abstractNum w:abstractNumId="23">
    <w:nsid w:val="75A2A8D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2021-02-16T14:13:38Z</dcterms:created>
  <dcterms:modified xsi:type="dcterms:W3CDTF">2021-02-16T14:13:38Z</dcterms:modified>
</cp:coreProperties>
</file>