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138430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154305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September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157480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Larimar Therapeutics,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139065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4" w:lineRule="exact"/>
        <w:rPr>
          <w:sz w:val="24"/>
          <w:szCs w:val="24"/>
          <w:color w:val="auto"/>
        </w:rPr>
      </w:pPr>
    </w:p>
    <w:tbl>
      <w:tblPr>
        <w:tblLayout w:type="fixed"/>
        <w:tblInd w:w="1320" w:type="dxa"/>
        <w:tblCellMar>
          <w:top w:w="0" w:type="dxa"/>
          <w:left w:w="0" w:type="dxa"/>
          <w:bottom w:w="0" w:type="dxa"/>
          <w:right w:w="0" w:type="dxa"/>
        </w:tblCellMar>
      </w:tblPr>
      <w:tr>
        <w:trPr>
          <w:trHeight w:val="150"/>
        </w:trPr>
        <w:tc>
          <w:tcPr>
            <w:tcW w:w="2120" w:type="dxa"/>
            <w:vAlign w:val="bottom"/>
          </w:tcPr>
          <w:p>
            <w:pPr>
              <w:jc w:val="center"/>
              <w:ind w:right="80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6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001-36510</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20-3857670</w:t>
            </w:r>
          </w:p>
        </w:tc>
      </w:tr>
      <w:tr>
        <w:trPr>
          <w:trHeight w:val="104"/>
        </w:trPr>
        <w:tc>
          <w:tcPr>
            <w:tcW w:w="2120" w:type="dxa"/>
            <w:vAlign w:val="bottom"/>
          </w:tcPr>
          <w:p>
            <w:pPr>
              <w:jc w:val="center"/>
              <w:ind w:right="805"/>
              <w:spacing w:after="0" w:line="104"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360" w:type="dxa"/>
            <w:vAlign w:val="bottom"/>
          </w:tcPr>
          <w:p>
            <w:pPr>
              <w:ind w:left="86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120" w:type="dxa"/>
            <w:vAlign w:val="bottom"/>
          </w:tcPr>
          <w:p>
            <w:pPr>
              <w:jc w:val="center"/>
              <w:ind w:right="805"/>
              <w:spacing w:after="0"/>
              <w:rPr>
                <w:sz w:val="20"/>
                <w:szCs w:val="20"/>
                <w:color w:val="auto"/>
              </w:rPr>
            </w:pPr>
            <w:r>
              <w:rPr>
                <w:rFonts w:ascii="Times New Roman" w:cs="Times New Roman" w:eastAsia="Times New Roman" w:hAnsi="Times New Roman"/>
                <w:sz w:val="10"/>
                <w:szCs w:val="10"/>
                <w:b w:val="1"/>
                <w:bCs w:val="1"/>
                <w:color w:val="auto"/>
                <w:w w:val="99"/>
              </w:rPr>
              <w:t>incorporation)</w:t>
            </w:r>
          </w:p>
        </w:tc>
        <w:tc>
          <w:tcPr>
            <w:tcW w:w="2360" w:type="dxa"/>
            <w:vAlign w:val="bottom"/>
          </w:tcPr>
          <w:p>
            <w:pPr>
              <w:ind w:left="86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26"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Three Bala Plaza East, Suite 506</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19004</w:t>
      </w:r>
    </w:p>
    <w:p>
      <w:pPr>
        <w:spacing w:after="0" w:line="28" w:lineRule="exact"/>
        <w:rPr>
          <w:sz w:val="24"/>
          <w:szCs w:val="24"/>
          <w:color w:val="auto"/>
        </w:rPr>
      </w:pPr>
    </w:p>
    <w:p>
      <w:pPr>
        <w:sectPr>
          <w:pgSz w:w="11900" w:h="16838" w:orient="portrait"/>
          <w:cols w:equalWidth="0" w:num="2">
            <w:col w:w="5600" w:space="720"/>
            <w:col w:w="2699"/>
          </w:cols>
          <w:pgMar w:left="1440" w:top="305" w:right="1440"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88" w:lineRule="exact"/>
        <w:rPr>
          <w:sz w:val="24"/>
          <w:szCs w:val="24"/>
          <w:color w:val="auto"/>
        </w:rPr>
      </w:pPr>
    </w:p>
    <w:p>
      <w:pPr>
        <w:sectPr>
          <w:pgSz w:w="11900" w:h="16838" w:orient="portrait"/>
          <w:cols w:equalWidth="0" w:num="2">
            <w:col w:w="5520" w:space="720"/>
            <w:col w:w="277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(844) 511-9056</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142240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14"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059" w:firstLine="301"/>
        <w:spacing w:after="0" w:line="445" w:lineRule="auto"/>
        <w:tabs>
          <w:tab w:leader="none" w:pos="132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LRMR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Market</w:t>
            </w: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6"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53975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84455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Press Release</w:t>
      </w:r>
    </w:p>
    <w:p>
      <w:pPr>
        <w:spacing w:after="0" w:line="78" w:lineRule="exact"/>
        <w:rPr>
          <w:sz w:val="20"/>
          <w:szCs w:val="20"/>
          <w:color w:val="auto"/>
        </w:rPr>
      </w:pPr>
    </w:p>
    <w:p>
      <w:pPr>
        <w:ind w:left="640" w:right="999"/>
        <w:spacing w:after="0" w:line="252" w:lineRule="auto"/>
        <w:rPr>
          <w:sz w:val="20"/>
          <w:szCs w:val="20"/>
          <w:color w:val="auto"/>
        </w:rPr>
      </w:pPr>
      <w:r>
        <w:rPr>
          <w:rFonts w:ascii="Times New Roman" w:cs="Times New Roman" w:eastAsia="Times New Roman" w:hAnsi="Times New Roman"/>
          <w:sz w:val="13"/>
          <w:szCs w:val="13"/>
          <w:color w:val="auto"/>
        </w:rPr>
        <w:t>On September 29, 2025, Larimar Therapeutics, Inc.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issued a press release announcing positive 25 mg and 50 mg data from the Company’s ongoing long-term open label study evaluating daily subcutaneous injections of nomlabofusp self-administered or administered by a caregiver in participants with Friedreich’s ataxia. A copy of the press release is attached as Exhibit 99.1 to this Current Report on Form 8-K and is incorporated herein by reference.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Investor Presentation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On September 29, 2025, the Company will host a conference call to discuss a regulatory update and use a slide presentation in conjunction with the call.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copy of the presentation is filed herewith as Exhibit 99.2, and incorporated herein by reference.</w:t>
      </w:r>
    </w:p>
    <w:p>
      <w:pPr>
        <w:spacing w:after="0" w:line="243"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Below is a list of exhibits included with this Current Report on Form 8-K.</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issued by Larimar Therapeutics, Inc. on September 29,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Larimar Therapeutics, Inc. Conference Call Presentation, dated September 29, 2025*</w:t>
      </w:r>
    </w:p>
    <w:p>
      <w:pPr>
        <w:spacing w:after="0" w:line="78" w:lineRule="exact"/>
        <w:rPr>
          <w:sz w:val="20"/>
          <w:szCs w:val="20"/>
          <w:color w:val="auto"/>
        </w:rPr>
      </w:pPr>
    </w:p>
    <w:p>
      <w:pPr>
        <w:ind w:left="640" w:right="3719" w:hanging="3"/>
        <w:spacing w:after="0" w:line="404" w:lineRule="auto"/>
        <w:tabs>
          <w:tab w:leader="none" w:pos="1256"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 Filed herewith</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Larimar Therapeutics, Inc.</w:t>
      </w:r>
    </w:p>
    <w:p>
      <w:pPr>
        <w:spacing w:after="0" w:line="154"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i w:val="1"/>
          <w:iCs w:val="1"/>
          <w:color w:val="auto"/>
        </w:rPr>
        <w:t>Name: Carole S. Ben-Maimon, M.D.</w:t>
      </w:r>
    </w:p>
    <w:p>
      <w:pPr>
        <w:spacing w:after="0" w:line="17"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i w:val="1"/>
          <w:iCs w:val="1"/>
          <w:color w:val="auto"/>
        </w:rPr>
        <w:t>Title:</w:t>
        <w:tab/>
        <w:t>President and Chief Executive Officer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September 29, 2025</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824230" cy="306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4230" cy="30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right="1079"/>
        <w:spacing w:after="0" w:line="270" w:lineRule="auto"/>
        <w:rPr>
          <w:sz w:val="20"/>
          <w:szCs w:val="20"/>
          <w:color w:val="auto"/>
        </w:rPr>
      </w:pPr>
      <w:r>
        <w:rPr>
          <w:rFonts w:ascii="Times New Roman" w:cs="Times New Roman" w:eastAsia="Times New Roman" w:hAnsi="Times New Roman"/>
          <w:sz w:val="13"/>
          <w:szCs w:val="13"/>
          <w:b w:val="1"/>
          <w:bCs w:val="1"/>
          <w:color w:val="auto"/>
        </w:rPr>
        <w:t>Larimar Therapeutics Announces Positive Data from Ongoing Long-term Open Label Study and Updates to Nomlabofusp Program for Friedreich’s Ataxia</w:t>
      </w:r>
    </w:p>
    <w:p>
      <w:pPr>
        <w:spacing w:after="0" w:line="52" w:lineRule="exact"/>
        <w:rPr>
          <w:sz w:val="20"/>
          <w:szCs w:val="20"/>
          <w:color w:val="auto"/>
        </w:rPr>
      </w:pPr>
    </w:p>
    <w:p>
      <w:pPr>
        <w:ind w:left="1320" w:right="839" w:hanging="303"/>
        <w:spacing w:after="0" w:line="270"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 4 completed studies and the ongoing OL study, 65 participants received at least 1 dose of nomlabofusp, including 39 in the OL study, with 14 on treatment for at least 6 months and 8 for over 1 year in the OL study</w:t>
      </w:r>
    </w:p>
    <w:p>
      <w:pPr>
        <w:spacing w:after="0" w:line="52" w:lineRule="exact"/>
        <w:rPr>
          <w:rFonts w:ascii="Times New Roman" w:cs="Times New Roman" w:eastAsia="Times New Roman" w:hAnsi="Times New Roman"/>
          <w:sz w:val="13"/>
          <w:szCs w:val="13"/>
          <w:color w:val="auto"/>
        </w:rPr>
      </w:pPr>
    </w:p>
    <w:p>
      <w:pPr>
        <w:ind w:left="1320" w:right="839" w:hanging="303"/>
        <w:spacing w:after="0" w:line="270"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Increases in skin FXN levels with short- and long-term daily nomlabofusp; 10/10 participants with data at 6 months achieved skin FXN levels over 50% of median levels in healthy volunteers (which is similar to levels in asymptomatic carriers)</w:t>
      </w:r>
    </w:p>
    <w:p>
      <w:pPr>
        <w:spacing w:after="0" w:line="52" w:lineRule="exact"/>
        <w:rPr>
          <w:rFonts w:ascii="Times New Roman" w:cs="Times New Roman" w:eastAsia="Times New Roman" w:hAnsi="Times New Roman"/>
          <w:sz w:val="13"/>
          <w:szCs w:val="13"/>
          <w:color w:val="auto"/>
        </w:rPr>
      </w:pPr>
    </w:p>
    <w:p>
      <w:pPr>
        <w:ind w:left="1320" w:right="859" w:hanging="303"/>
        <w:spacing w:after="0" w:line="25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Consistent directional improvement across 4 key clinical outcomes (mFARS, FARS-ADL, 9-HPT, MFIS) observed after 1 year of nomlabofusp treatment could suggest potential for clinical benefit relative to a worsening in a FACOMS natural history study reference population</w:t>
      </w:r>
    </w:p>
    <w:p>
      <w:pPr>
        <w:spacing w:after="0" w:line="59" w:lineRule="exact"/>
        <w:rPr>
          <w:rFonts w:ascii="Times New Roman" w:cs="Times New Roman" w:eastAsia="Times New Roman" w:hAnsi="Times New Roman"/>
          <w:sz w:val="13"/>
          <w:szCs w:val="13"/>
          <w:color w:val="auto"/>
        </w:rPr>
      </w:pPr>
    </w:p>
    <w:p>
      <w:pPr>
        <w:ind w:left="1320" w:right="859" w:hanging="303"/>
        <w:spacing w:after="0" w:line="313" w:lineRule="auto"/>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Anaphylaxis has been reported in 7 participants in the OL study, with most events occurring on the initial day of administration and all occurring within the first 6 weeks of dosing; excluding these events, long term dosing of nomlabofusp was generally well tolerated</w:t>
      </w:r>
    </w:p>
    <w:p>
      <w:pPr>
        <w:spacing w:after="0" w:line="28" w:lineRule="exact"/>
        <w:rPr>
          <w:rFonts w:ascii="Times New Roman" w:cs="Times New Roman" w:eastAsia="Times New Roman" w:hAnsi="Times New Roman"/>
          <w:sz w:val="12"/>
          <w:szCs w:val="12"/>
          <w:color w:val="auto"/>
        </w:rPr>
      </w:pPr>
    </w:p>
    <w:p>
      <w:pPr>
        <w:jc w:val="both"/>
        <w:ind w:left="1320" w:right="739" w:hanging="303"/>
        <w:spacing w:after="0" w:line="25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Following the 2 most recent cases of anaphylaxis, Larimar consulted its experts and decided to modify its starting dose regimen; Larimar provided the FDA a full update on the clinical development program including the safety, FXN, and clinical data in this press release and FDA agreed with our approach</w:t>
      </w:r>
    </w:p>
    <w:p>
      <w:pPr>
        <w:spacing w:after="0" w:line="59"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BLA submission seeking accelerated approval targeted in Q2 2026</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management to host webcast and conference call today at 8:00 a.m. ET</w:t>
      </w:r>
    </w:p>
    <w:p>
      <w:pPr>
        <w:spacing w:after="0" w:line="154" w:lineRule="exact"/>
        <w:rPr>
          <w:sz w:val="20"/>
          <w:szCs w:val="20"/>
          <w:color w:val="auto"/>
        </w:rPr>
      </w:pPr>
    </w:p>
    <w:p>
      <w:pPr>
        <w:ind w:left="640" w:right="679"/>
        <w:spacing w:after="0" w:line="280" w:lineRule="auto"/>
        <w:rPr>
          <w:sz w:val="20"/>
          <w:szCs w:val="20"/>
          <w:color w:val="auto"/>
        </w:rPr>
      </w:pPr>
      <w:r>
        <w:rPr>
          <w:rFonts w:ascii="Times New Roman" w:cs="Times New Roman" w:eastAsia="Times New Roman" w:hAnsi="Times New Roman"/>
          <w:sz w:val="12"/>
          <w:szCs w:val="12"/>
          <w:b w:val="1"/>
          <w:bCs w:val="1"/>
          <w:color w:val="auto"/>
        </w:rPr>
        <w:t xml:space="preserve">Bala Cynwyd, PA, </w:t>
      </w:r>
      <w:r>
        <w:rPr>
          <w:rFonts w:ascii="Times New Roman" w:cs="Times New Roman" w:eastAsia="Times New Roman" w:hAnsi="Times New Roman"/>
          <w:sz w:val="12"/>
          <w:szCs w:val="12"/>
          <w:color w:val="auto"/>
        </w:rPr>
        <w:t>September 29, 2025 – Larimar Therapeutics, Inc. (Larimar) (Nasdaq: LRMR), a clinical-stage biotechnology company focused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treatments for complex rare diseases, today announced positive 25 mg and 50 mg data from the ongoing long-term open label (OL) study evaluating daily subcutaneous injections of nomlabofusp self-administered or administered by a caregiver in participants with Friedreich’s ataxia (FA), a rare, progressive, and systemic disease with neurologic deterioration. The Company also provided a nomlabofusp development program update.</w:t>
      </w:r>
    </w:p>
    <w:p>
      <w:pPr>
        <w:spacing w:after="0" w:line="116"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“We are excited to announce the consistent directional improvements across 4 key clinical outcomes observed in the OL study relative to a Friedrich’s Ataxia Clinical Outcomes Measure Study (FACOMS) reference population and the observed increase in skin frataxin (FXN) levels. These new data, as well as the improvement in abnormal lipid profiles observed in prior completed studies, provide support that nomlabofusp increases FXN in patients with FA and that the strategy of FXN replacement has the potential to result in a clinical benefit. Importantly, achieving tissue FXN levels equivalent to more than 50% of those found in healthy volunteers means participants are at levels found in asymptomatic carriers who do not develop the disease,” said Carole Ben-Maimon, MD, President, and Chief Executive Officer of Larimar. “Long-term treatment with daily nomlabofusp, including 8 participants for over 1 year, was generally well-tolerated. Through the Support for Clinical Trials Advancing Rare Disease Therapeutics (START) pilot program, Larimar has regularly updated the FDA regarding all aspects of the clinical development program, including the data presented in this press release. We continue to hear strong interest in the nomlabofusp clinical program directly from patients with FA and their parents. The long-term clinical data presented today reinforce our conviction in the potential of nomlabofusp to address the root cause of FA and be the first potential disease modifying therapy.”</w:t>
      </w:r>
    </w:p>
    <w:p>
      <w:pPr>
        <w:sectPr>
          <w:pgSz w:w="11900" w:h="16838" w:orient="portrait"/>
          <w:cols w:equalWidth="0" w:num="1">
            <w:col w:w="9019"/>
          </w:cols>
          <w:pgMar w:left="1440" w:top="125" w:right="1440" w:bottom="1440" w:gutter="0" w:footer="0" w:header="0"/>
        </w:sectPr>
      </w:pPr>
    </w:p>
    <w:bookmarkStart w:id="4" w:name="page5"/>
    <w:bookmarkEnd w:id="4"/>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Dr. Rusty Clayton, Chief Medical Officer of Larimar added, “The changes observed in skin FXN levels, lipid profiles, and clinical outcomes after nomlabofusp administration across diverse participants with FA – including individuals with advanced disease – are all directionally consistent and suggest a potential treatment effect. Allergic reactions, including anaphylaxis, are a known risk associated with nomlabofusp, similar to many other approved therapies, particularly proteins. To date, all anaphylaxis events have occurred within the first 6 weeks of nomlabofusp administration. In this rare neurodegenerative disease with limited therapeutic options, patients with FA continue to express interest in having access to new potentially disease modifying agents.”</w:t>
      </w:r>
    </w:p>
    <w:p>
      <w:pPr>
        <w:spacing w:after="0" w:line="135" w:lineRule="exact"/>
        <w:rPr>
          <w:sz w:val="20"/>
          <w:szCs w:val="20"/>
          <w:color w:val="auto"/>
        </w:rPr>
      </w:pPr>
    </w:p>
    <w:p>
      <w:pPr>
        <w:ind w:left="640" w:right="779"/>
        <w:spacing w:after="0" w:line="248" w:lineRule="auto"/>
        <w:rPr>
          <w:sz w:val="20"/>
          <w:szCs w:val="20"/>
          <w:color w:val="auto"/>
        </w:rPr>
      </w:pPr>
      <w:r>
        <w:rPr>
          <w:rFonts w:ascii="Times New Roman" w:cs="Times New Roman" w:eastAsia="Times New Roman" w:hAnsi="Times New Roman"/>
          <w:sz w:val="13"/>
          <w:szCs w:val="13"/>
          <w:color w:val="auto"/>
        </w:rPr>
        <w:t>Jennifer Farmer, Chief Executive Officer of the Friedreich’s Ataxia Research Alliance (FARA) added, “FA is a relentlessly progressive disease that is life-altering and can be life-shortening. Treatment approaches, like nomlabofusp, that target the root cause of FA by FXN supplementation are of great interest to the FA community. We are encouraged by the increases in FXN protein and improved clinical outcomes relative to the FACOMS reference population observed in the individuals who have maintained nomlabofusp therapy. FA patients and their families are informed and engaged. They understand that therapies come with side effects and risks that must be evaluated in the context of potential benefit. We appreciate Larimar’s commitment to patient safety and their regular communications and updates on study outcomes.”</w:t>
      </w:r>
    </w:p>
    <w:p>
      <w:pPr>
        <w:spacing w:after="0" w:line="135"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OL study is evaluating the safety and tolerability, pharmacokinetics (PK), and FXN levels in skin and buccal cells, along with exploratory pharmacodynamic (PD) markers (lipid profiles) and clinical outcomes following long-term subcutaneous administration of nomlabofusp. Participants were initially administered 25 mg of nomlabofusp daily. The dose was increased to 50 mg in the fourth quarter of 2024, with all newly enrolled patients receiving the 50 mg dose since November of 2024. Participants who completed treatment in a Phase 1 or Phase 2 study evaluating nomlabofusp were the first group of eligible patients to screen for the OL study. The OL study protocol has now been amended to include adolescent and adult patients who have not participated in a prior nomlabofusp study.</w:t>
      </w:r>
    </w:p>
    <w:p>
      <w:pPr>
        <w:spacing w:after="0" w:line="135"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As of August 27, 2025, 39 participants in the OL study had received at least one dose of nomlabofusp and 25 participants (19 adults, 6 adolescents) were receiving daily dosing of nomlabofusp for up to 527 days (mean 154 days). This includes the time from the initial dose of 25 or 50 mg to the last dose of nomlabofusp prior to the data cut off. Among the study participants, approximately 50% were non-ambulatory at baseline.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Long-term Safety with Daily Nomlabofusp in OL Study</w:t>
      </w:r>
    </w:p>
    <w:p>
      <w:pPr>
        <w:spacing w:after="0" w:line="89" w:lineRule="exact"/>
        <w:rPr>
          <w:sz w:val="20"/>
          <w:szCs w:val="20"/>
          <w:color w:val="auto"/>
        </w:rPr>
      </w:pPr>
    </w:p>
    <w:p>
      <w:pPr>
        <w:ind w:left="1320" w:right="101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participants receiving long term continuous treatment, including 14 participants on nomlabofusp for at least 6 months, 8 of whom continue to be on nomlabofusp for over 1 year, daily administration of nomlabofusp was generally well-tolerated.</w:t>
      </w:r>
    </w:p>
    <w:p>
      <w:pPr>
        <w:spacing w:after="0" w:line="55" w:lineRule="exact"/>
        <w:rPr>
          <w:rFonts w:ascii="Times New Roman" w:cs="Times New Roman" w:eastAsia="Times New Roman" w:hAnsi="Times New Roman"/>
          <w:sz w:val="13"/>
          <w:szCs w:val="13"/>
          <w:color w:val="auto"/>
        </w:rPr>
      </w:pPr>
    </w:p>
    <w:p>
      <w:pPr>
        <w:ind w:left="1320" w:right="85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Most common adverse events continue to be local injection site reactions that were mild to moderate and did not lead to any participant withdrawal from the study.</w:t>
      </w:r>
    </w:p>
    <w:p>
      <w:pPr>
        <w:spacing w:after="0" w:line="55" w:lineRule="exact"/>
        <w:rPr>
          <w:rFonts w:ascii="Times New Roman" w:cs="Times New Roman" w:eastAsia="Times New Roman" w:hAnsi="Times New Roman"/>
          <w:sz w:val="13"/>
          <w:szCs w:val="13"/>
          <w:color w:val="auto"/>
        </w:rPr>
      </w:pPr>
    </w:p>
    <w:p>
      <w:pPr>
        <w:ind w:left="1320" w:right="719" w:hanging="303"/>
        <w:spacing w:after="0" w:line="238" w:lineRule="auto"/>
        <w:tabs>
          <w:tab w:leader="none" w:pos="1320" w:val="left"/>
        </w:tabs>
        <w:numPr>
          <w:ilvl w:val="1"/>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 patients have received at least one dose of nomlabofusp in 4 completed studies and the ongoing OL study. Seven OL study participants experienced anaphylaxis and were withdrawn from the study.</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Most of the events occurred on the initial day of administration and all occurred within the first 6 weeks of dosing; all participants returned to their usual state of health after receiving standard treatment.</w:t>
      </w:r>
    </w:p>
    <w:p>
      <w:pPr>
        <w:spacing w:after="0" w:line="72" w:lineRule="exact"/>
        <w:rPr>
          <w:rFonts w:ascii="Times New Roman" w:cs="Times New Roman" w:eastAsia="Times New Roman" w:hAnsi="Times New Roman"/>
          <w:sz w:val="12"/>
          <w:szCs w:val="12"/>
          <w:color w:val="auto"/>
        </w:rPr>
      </w:pPr>
    </w:p>
    <w:p>
      <w:pPr>
        <w:ind w:left="1320" w:right="699" w:hanging="303"/>
        <w:spacing w:after="0" w:line="267" w:lineRule="auto"/>
        <w:tabs>
          <w:tab w:leader="none" w:pos="132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Larimar consulted its experts and decided to modify its starting dose regimen. Larimar provided the FDA with a full update on the clinical development program including the safety, FXN, and clinical data in this press release and FDA agreed with our proposal.</w:t>
      </w:r>
    </w:p>
    <w:p>
      <w:pPr>
        <w:spacing w:after="0" w:line="141" w:lineRule="exact"/>
        <w:rPr>
          <w:rFonts w:ascii="Times New Roman" w:cs="Times New Roman" w:eastAsia="Times New Roman" w:hAnsi="Times New Roman"/>
          <w:sz w:val="13"/>
          <w:szCs w:val="13"/>
          <w:color w:val="auto"/>
        </w:rPr>
      </w:pPr>
    </w:p>
    <w:p>
      <w:pPr>
        <w:ind w:left="940" w:right="679" w:hanging="303"/>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Other discontinuations include 3 cases of generalized urticaria, 1 seizure (the same event as reported in December 2024), 1 vasovagal event, and 2 non-treatment related discontinuations</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Observed Increases in FXN with Long-term Daily Nomlabofusp in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4916805" cy="4451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6805" cy="445135"/>
                    </a:xfrm>
                    <a:prstGeom prst="rect">
                      <a:avLst/>
                    </a:prstGeom>
                    <a:noFill/>
                  </pic:spPr>
                </pic:pic>
              </a:graphicData>
            </a:graphic>
          </wp:anchor>
        </w:drawing>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Absolute Median Skin FXN Levels pg/µg (IQR), n</w:t>
      </w:r>
      <w:r>
        <w:rPr>
          <w:rFonts w:ascii="Times New Roman" w:cs="Times New Roman" w:eastAsia="Times New Roman" w:hAnsi="Times New Roman"/>
          <w:sz w:val="7"/>
          <w:szCs w:val="7"/>
          <w:b w:val="1"/>
          <w:bCs w:val="1"/>
          <w:color w:val="auto"/>
        </w:rPr>
        <w:t>*</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1860" w:type="dxa"/>
            <w:vAlign w:val="bottom"/>
            <w:tcBorders>
              <w:top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10"/>
                <w:szCs w:val="10"/>
                <w:b w:val="1"/>
                <w:bCs w:val="1"/>
                <w:color w:val="auto"/>
              </w:rPr>
              <w:t>Baseline</w:t>
            </w:r>
          </w:p>
        </w:tc>
        <w:tc>
          <w:tcPr>
            <w:tcW w:w="1960" w:type="dxa"/>
            <w:vAlign w:val="bottom"/>
            <w:tcBorders>
              <w:top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0"/>
                <w:szCs w:val="10"/>
                <w:b w:val="1"/>
                <w:bCs w:val="1"/>
                <w:color w:val="auto"/>
              </w:rPr>
              <w:t>1 month</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 months</w:t>
            </w: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6 months</w:t>
            </w:r>
          </w:p>
        </w:tc>
      </w:tr>
      <w:tr>
        <w:trPr>
          <w:trHeight w:val="27"/>
        </w:trPr>
        <w:tc>
          <w:tcPr>
            <w:tcW w:w="18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26"/>
        </w:trPr>
        <w:tc>
          <w:tcPr>
            <w:tcW w:w="1860" w:type="dxa"/>
            <w:vAlign w:val="bottom"/>
            <w:tcBorders>
              <w:right w:val="single" w:sz="8" w:color="auto"/>
            </w:tcBorders>
          </w:tcPr>
          <w:p>
            <w:pPr>
              <w:jc w:val="center"/>
              <w:ind w:left="21"/>
              <w:spacing w:after="0" w:line="126" w:lineRule="exact"/>
              <w:rPr>
                <w:sz w:val="20"/>
                <w:szCs w:val="20"/>
                <w:color w:val="auto"/>
              </w:rPr>
            </w:pPr>
            <w:r>
              <w:rPr>
                <w:rFonts w:ascii="Times New Roman" w:cs="Times New Roman" w:eastAsia="Times New Roman" w:hAnsi="Times New Roman"/>
                <w:sz w:val="13"/>
                <w:szCs w:val="13"/>
                <w:b w:val="1"/>
                <w:bCs w:val="1"/>
                <w:color w:val="auto"/>
                <w:w w:val="96"/>
              </w:rPr>
              <w:t>2.70</w:t>
            </w:r>
          </w:p>
        </w:tc>
        <w:tc>
          <w:tcPr>
            <w:tcW w:w="1960" w:type="dxa"/>
            <w:vAlign w:val="bottom"/>
            <w:tcBorders>
              <w:right w:val="single" w:sz="8" w:color="auto"/>
            </w:tcBorders>
          </w:tcPr>
          <w:p>
            <w:pPr>
              <w:jc w:val="center"/>
              <w:ind w:left="1"/>
              <w:spacing w:after="0" w:line="126" w:lineRule="exact"/>
              <w:rPr>
                <w:sz w:val="20"/>
                <w:szCs w:val="20"/>
                <w:color w:val="auto"/>
              </w:rPr>
            </w:pPr>
            <w:r>
              <w:rPr>
                <w:rFonts w:ascii="Times New Roman" w:cs="Times New Roman" w:eastAsia="Times New Roman" w:hAnsi="Times New Roman"/>
                <w:sz w:val="13"/>
                <w:szCs w:val="13"/>
                <w:b w:val="1"/>
                <w:bCs w:val="1"/>
                <w:color w:val="auto"/>
                <w:w w:val="96"/>
              </w:rPr>
              <w:t>6.87</w:t>
            </w:r>
          </w:p>
        </w:tc>
        <w:tc>
          <w:tcPr>
            <w:tcW w:w="20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7.50</w:t>
            </w:r>
          </w:p>
        </w:tc>
        <w:tc>
          <w:tcPr>
            <w:tcW w:w="19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5"/>
              </w:rPr>
              <w:t>13.44</w:t>
            </w:r>
          </w:p>
        </w:tc>
      </w:tr>
      <w:tr>
        <w:trPr>
          <w:trHeight w:val="171"/>
        </w:trPr>
        <w:tc>
          <w:tcPr>
            <w:tcW w:w="1860" w:type="dxa"/>
            <w:vAlign w:val="bottom"/>
            <w:tcBorders>
              <w:bottom w:val="single" w:sz="8" w:color="auto"/>
              <w:right w:val="single" w:sz="8" w:color="auto"/>
            </w:tcBorders>
          </w:tcPr>
          <w:p>
            <w:pPr>
              <w:jc w:val="center"/>
              <w:ind w:left="41"/>
              <w:spacing w:after="0"/>
              <w:rPr>
                <w:sz w:val="20"/>
                <w:szCs w:val="20"/>
                <w:color w:val="auto"/>
              </w:rPr>
            </w:pPr>
            <w:r>
              <w:rPr>
                <w:rFonts w:ascii="Times New Roman" w:cs="Times New Roman" w:eastAsia="Times New Roman" w:hAnsi="Times New Roman"/>
                <w:sz w:val="13"/>
                <w:szCs w:val="13"/>
                <w:color w:val="auto"/>
                <w:w w:val="98"/>
              </w:rPr>
              <w:t xml:space="preserve">(2.14, 4.13), </w:t>
            </w:r>
            <w:r>
              <w:rPr>
                <w:rFonts w:ascii="Times New Roman" w:cs="Times New Roman" w:eastAsia="Times New Roman" w:hAnsi="Times New Roman"/>
                <w:sz w:val="13"/>
                <w:szCs w:val="13"/>
                <w:i w:val="1"/>
                <w:iCs w:val="1"/>
                <w:color w:val="auto"/>
                <w:w w:val="98"/>
              </w:rPr>
              <w:t>n = 18</w:t>
            </w:r>
          </w:p>
        </w:tc>
        <w:tc>
          <w:tcPr>
            <w:tcW w:w="1960" w:type="dxa"/>
            <w:vAlign w:val="bottom"/>
            <w:tcBorders>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color w:val="auto"/>
                <w:w w:val="97"/>
              </w:rPr>
              <w:t xml:space="preserve">(5.34, 10.37), </w:t>
            </w:r>
            <w:r>
              <w:rPr>
                <w:rFonts w:ascii="Times New Roman" w:cs="Times New Roman" w:eastAsia="Times New Roman" w:hAnsi="Times New Roman"/>
                <w:sz w:val="13"/>
                <w:szCs w:val="13"/>
                <w:i w:val="1"/>
                <w:iCs w:val="1"/>
                <w:color w:val="auto"/>
                <w:w w:val="97"/>
              </w:rPr>
              <w:t>n = 18</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 xml:space="preserve">(6.99, 13.73), </w:t>
            </w:r>
            <w:r>
              <w:rPr>
                <w:rFonts w:ascii="Times New Roman" w:cs="Times New Roman" w:eastAsia="Times New Roman" w:hAnsi="Times New Roman"/>
                <w:sz w:val="13"/>
                <w:szCs w:val="13"/>
                <w:i w:val="1"/>
                <w:iCs w:val="1"/>
                <w:color w:val="auto"/>
                <w:w w:val="95"/>
              </w:rPr>
              <w:t>n = 14</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 xml:space="preserve">(10.10, 26.71), </w:t>
            </w:r>
            <w:r>
              <w:rPr>
                <w:rFonts w:ascii="Times New Roman" w:cs="Times New Roman" w:eastAsia="Times New Roman" w:hAnsi="Times New Roman"/>
                <w:sz w:val="13"/>
                <w:szCs w:val="13"/>
                <w:i w:val="1"/>
                <w:iCs w:val="1"/>
                <w:color w:val="auto"/>
                <w:w w:val="97"/>
              </w:rPr>
              <w:t>n = 10</w:t>
            </w:r>
          </w:p>
        </w:tc>
      </w:tr>
    </w:tbl>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FXN = frataxin; IQR = interquartile range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Note: Median skin FXN levels in Larimar’s noninterventional healthy volunteer study= 16.34 pg/µg</w:t>
      </w:r>
    </w:p>
    <w:p>
      <w:pPr>
        <w:spacing w:after="0" w:line="173" w:lineRule="exact"/>
        <w:rPr>
          <w:sz w:val="20"/>
          <w:szCs w:val="20"/>
          <w:color w:val="auto"/>
        </w:rPr>
      </w:pPr>
    </w:p>
    <w:p>
      <w:pPr>
        <w:ind w:left="940" w:right="819" w:hanging="303"/>
        <w:spacing w:after="0" w:line="267" w:lineRule="auto"/>
        <w:tabs>
          <w:tab w:leader="none" w:pos="9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include all participants with quantifiable FXN levels at each measurement point who had received 25 mg, 50 mg or had the dose increased from 25 mg to 50 mg</w:t>
      </w:r>
    </w:p>
    <w:p>
      <w:pPr>
        <w:spacing w:after="0" w:line="196" w:lineRule="exact"/>
        <w:rPr>
          <w:sz w:val="20"/>
          <w:szCs w:val="20"/>
          <w:color w:val="auto"/>
        </w:rPr>
      </w:pPr>
    </w:p>
    <w:p>
      <w:pPr>
        <w:ind w:left="640" w:right="1039"/>
        <w:spacing w:after="0" w:line="270" w:lineRule="auto"/>
        <w:rPr>
          <w:sz w:val="20"/>
          <w:szCs w:val="20"/>
          <w:color w:val="auto"/>
        </w:rPr>
      </w:pPr>
      <w:r>
        <w:rPr>
          <w:rFonts w:ascii="Times New Roman" w:cs="Times New Roman" w:eastAsia="Times New Roman" w:hAnsi="Times New Roman"/>
          <w:sz w:val="13"/>
          <w:szCs w:val="13"/>
          <w:b w:val="1"/>
          <w:bCs w:val="1"/>
          <w:color w:val="auto"/>
        </w:rPr>
        <w:t>All Participants who Received Nomlabofusp for 6 months Achieved Skin FXN Levels Similar to Levels Found in Asymptomatic Carriers without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6805" cy="337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6805" cy="337185"/>
                    </a:xfrm>
                    <a:prstGeom prst="rect">
                      <a:avLst/>
                    </a:prstGeom>
                    <a:noFill/>
                  </pic:spPr>
                </pic:pic>
              </a:graphicData>
            </a:graphic>
          </wp:anchor>
        </w:drawing>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Percentage of Participants* with Skin FXN Levels &gt; 8.2 pg/µg** (50% of the median FXN concentration found in Larimar’s healthy volunteer study)</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1960" w:type="dxa"/>
            <w:vAlign w:val="bottom"/>
            <w:tcBorders>
              <w:top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rPr>
              <w:t>Baseline</w:t>
            </w:r>
          </w:p>
        </w:tc>
        <w:tc>
          <w:tcPr>
            <w:tcW w:w="1880" w:type="dxa"/>
            <w:vAlign w:val="bottom"/>
            <w:tcBorders>
              <w:top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rPr>
              <w:t>1 month</w:t>
            </w:r>
          </w:p>
        </w:tc>
        <w:tc>
          <w:tcPr>
            <w:tcW w:w="1920" w:type="dxa"/>
            <w:vAlign w:val="bottom"/>
            <w:tcBorders>
              <w:top w:val="single" w:sz="8" w:color="auto"/>
              <w:right w:val="single" w:sz="8" w:color="auto"/>
            </w:tcBorders>
          </w:tcPr>
          <w:p>
            <w:pPr>
              <w:jc w:val="center"/>
              <w:ind w:left="23"/>
              <w:spacing w:after="0"/>
              <w:rPr>
                <w:sz w:val="20"/>
                <w:szCs w:val="20"/>
                <w:color w:val="auto"/>
              </w:rPr>
            </w:pPr>
            <w:r>
              <w:rPr>
                <w:rFonts w:ascii="Times New Roman" w:cs="Times New Roman" w:eastAsia="Times New Roman" w:hAnsi="Times New Roman"/>
                <w:sz w:val="10"/>
                <w:szCs w:val="10"/>
                <w:b w:val="1"/>
                <w:bCs w:val="1"/>
                <w:color w:val="auto"/>
              </w:rPr>
              <w:t>3 months</w:t>
            </w:r>
          </w:p>
        </w:tc>
        <w:tc>
          <w:tcPr>
            <w:tcW w:w="198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0"/>
                <w:szCs w:val="10"/>
                <w:b w:val="1"/>
                <w:bCs w:val="1"/>
                <w:color w:val="auto"/>
              </w:rPr>
              <w:t>6 months</w:t>
            </w:r>
          </w:p>
        </w:tc>
      </w:tr>
      <w:tr>
        <w:trPr>
          <w:trHeight w:val="27"/>
        </w:trPr>
        <w:tc>
          <w:tcPr>
            <w:tcW w:w="19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41"/>
        </w:trPr>
        <w:tc>
          <w:tcPr>
            <w:tcW w:w="1960" w:type="dxa"/>
            <w:vAlign w:val="bottom"/>
            <w:tcBorders>
              <w:bottom w:val="single" w:sz="8" w:color="auto"/>
              <w:right w:val="single" w:sz="8" w:color="auto"/>
            </w:tcBorders>
          </w:tcPr>
          <w:p>
            <w:pPr>
              <w:jc w:val="center"/>
              <w:ind w:right="583"/>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0% </w:t>
            </w:r>
            <w:r>
              <w:rPr>
                <w:rFonts w:ascii="Times New Roman" w:cs="Times New Roman" w:eastAsia="Times New Roman" w:hAnsi="Times New Roman"/>
                <w:sz w:val="13"/>
                <w:szCs w:val="13"/>
                <w:color w:val="auto"/>
              </w:rPr>
              <w:t>(0/18)</w:t>
            </w:r>
          </w:p>
        </w:tc>
        <w:tc>
          <w:tcPr>
            <w:tcW w:w="1880" w:type="dxa"/>
            <w:vAlign w:val="bottom"/>
            <w:tcBorders>
              <w:bottom w:val="single" w:sz="8" w:color="auto"/>
              <w:right w:val="single" w:sz="8" w:color="auto"/>
            </w:tcBorders>
          </w:tcPr>
          <w:p>
            <w:pPr>
              <w:jc w:val="center"/>
              <w:ind w:right="523"/>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33% </w:t>
            </w:r>
            <w:r>
              <w:rPr>
                <w:rFonts w:ascii="Times New Roman" w:cs="Times New Roman" w:eastAsia="Times New Roman" w:hAnsi="Times New Roman"/>
                <w:sz w:val="13"/>
                <w:szCs w:val="13"/>
                <w:color w:val="auto"/>
              </w:rPr>
              <w:t>(6/18)</w:t>
            </w:r>
          </w:p>
        </w:tc>
        <w:tc>
          <w:tcPr>
            <w:tcW w:w="1920" w:type="dxa"/>
            <w:vAlign w:val="bottom"/>
            <w:tcBorders>
              <w:bottom w:val="single" w:sz="8" w:color="auto"/>
              <w:right w:val="single" w:sz="8" w:color="auto"/>
            </w:tcBorders>
          </w:tcPr>
          <w:p>
            <w:pPr>
              <w:jc w:val="center"/>
              <w:ind w:right="543"/>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43% </w:t>
            </w:r>
            <w:r>
              <w:rPr>
                <w:rFonts w:ascii="Times New Roman" w:cs="Times New Roman" w:eastAsia="Times New Roman" w:hAnsi="Times New Roman"/>
                <w:sz w:val="13"/>
                <w:szCs w:val="13"/>
                <w:color w:val="auto"/>
              </w:rPr>
              <w:t>(6/14)</w:t>
            </w:r>
          </w:p>
        </w:tc>
        <w:tc>
          <w:tcPr>
            <w:tcW w:w="1980" w:type="dxa"/>
            <w:vAlign w:val="bottom"/>
            <w:tcBorders>
              <w:bottom w:val="single" w:sz="8" w:color="auto"/>
            </w:tcBorders>
          </w:tcPr>
          <w:p>
            <w:pPr>
              <w:jc w:val="center"/>
              <w:ind w:right="483"/>
              <w:spacing w:after="0" w:line="141" w:lineRule="exact"/>
              <w:rPr>
                <w:sz w:val="20"/>
                <w:szCs w:val="20"/>
                <w:color w:val="auto"/>
              </w:rPr>
            </w:pPr>
            <w:r>
              <w:rPr>
                <w:rFonts w:ascii="Times New Roman" w:cs="Times New Roman" w:eastAsia="Times New Roman" w:hAnsi="Times New Roman"/>
                <w:sz w:val="13"/>
                <w:szCs w:val="13"/>
                <w:b w:val="1"/>
                <w:bCs w:val="1"/>
                <w:color w:val="auto"/>
              </w:rPr>
              <w:t xml:space="preserve">100% </w:t>
            </w:r>
            <w:r>
              <w:rPr>
                <w:rFonts w:ascii="Times New Roman" w:cs="Times New Roman" w:eastAsia="Times New Roman" w:hAnsi="Times New Roman"/>
                <w:sz w:val="13"/>
                <w:szCs w:val="13"/>
                <w:color w:val="auto"/>
              </w:rPr>
              <w:t>(10/10)</w:t>
            </w:r>
          </w:p>
        </w:tc>
      </w:tr>
    </w:tbl>
    <w:p>
      <w:pPr>
        <w:spacing w:after="0" w:line="158" w:lineRule="exact"/>
        <w:rPr>
          <w:sz w:val="20"/>
          <w:szCs w:val="20"/>
          <w:color w:val="auto"/>
        </w:rPr>
      </w:pPr>
    </w:p>
    <w:p>
      <w:pPr>
        <w:ind w:left="940" w:right="819" w:hanging="303"/>
        <w:spacing w:after="0" w:line="253"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include all participants with quantifiable FXN levels at each measurement point who had received 25 mg, 50 mg or had the dose increased from 25 mg to 50 mg</w:t>
      </w:r>
    </w:p>
    <w:p>
      <w:pPr>
        <w:spacing w:after="0" w:line="1" w:lineRule="exact"/>
        <w:rPr>
          <w:sz w:val="20"/>
          <w:szCs w:val="20"/>
          <w:color w:val="auto"/>
        </w:rPr>
      </w:pPr>
    </w:p>
    <w:p>
      <w:pPr>
        <w:ind w:left="940" w:hanging="303"/>
        <w:spacing w:after="0"/>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8.2 pg/µg represents 50% of the median FXN concentration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Consistent Directional Improvement Across 4 Key Clinical Outcomes</w:t>
      </w:r>
    </w:p>
    <w:p>
      <w:pPr>
        <w:spacing w:after="0" w:line="89" w:lineRule="exact"/>
        <w:rPr>
          <w:sz w:val="20"/>
          <w:szCs w:val="20"/>
          <w:color w:val="auto"/>
        </w:rPr>
      </w:pPr>
    </w:p>
    <w:p>
      <w:pPr>
        <w:ind w:left="1320" w:right="99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Trends towards improvement were observed in modified Friedreich Ataxia Rating Scale (mFARS), FARS-Activities of Daily Living (ADL), 9 Hole Peg Test (9-HPT), and Modified Fatigue Impact Scale (MFIS) at 1 year relative to baseline</w:t>
      </w:r>
    </w:p>
    <w:p>
      <w:pPr>
        <w:spacing w:after="0" w:line="55" w:lineRule="exact"/>
        <w:rPr>
          <w:rFonts w:ascii="Times New Roman" w:cs="Times New Roman" w:eastAsia="Times New Roman" w:hAnsi="Times New Roman"/>
          <w:sz w:val="13"/>
          <w:szCs w:val="13"/>
          <w:color w:val="auto"/>
        </w:rPr>
      </w:pPr>
    </w:p>
    <w:p>
      <w:pPr>
        <w:ind w:left="1320" w:right="699" w:hanging="303"/>
        <w:spacing w:after="0" w:line="267" w:lineRule="auto"/>
        <w:tabs>
          <w:tab w:leader="none" w:pos="13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clinical findings support that FXN increases after treatment with nomlabofusp may lead to a potential clinical benefit across a broad spectrum of patients with FA, including those with advanced disease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OL Study Clinical Data Relative to FA Natural History Study Data Supports Potential for Clinical Benefit with Nomlabofusp</w:t>
      </w:r>
    </w:p>
    <w:p>
      <w:pPr>
        <w:spacing w:after="0" w:line="89" w:lineRule="exact"/>
        <w:rPr>
          <w:sz w:val="20"/>
          <w:szCs w:val="20"/>
          <w:color w:val="auto"/>
        </w:rPr>
      </w:pPr>
    </w:p>
    <w:p>
      <w:pPr>
        <w:ind w:left="1320" w:right="79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Friedreich’s Ataxia Clinical Outcome Measures Study (FACOMS), a longitudinal natural history study (N = 955), includes patients with confirmed FA diagnosis</w:t>
      </w:r>
    </w:p>
    <w:p>
      <w:pPr>
        <w:spacing w:after="0" w:line="55" w:lineRule="exact"/>
        <w:rPr>
          <w:rFonts w:ascii="Times New Roman" w:cs="Times New Roman" w:eastAsia="Times New Roman" w:hAnsi="Times New Roman"/>
          <w:sz w:val="13"/>
          <w:szCs w:val="13"/>
          <w:color w:val="auto"/>
        </w:rPr>
      </w:pPr>
    </w:p>
    <w:p>
      <w:pPr>
        <w:ind w:left="1320" w:right="779" w:hanging="303"/>
        <w:spacing w:after="0" w:line="267"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range of baseline characteristics of participants in the OL study, Larimar identified patients from the FACOMS dataset with similar characteristics using data recorded over the last 4 years for each patient</w:t>
      </w:r>
    </w:p>
    <w:p>
      <w:pPr>
        <w:spacing w:after="0" w:line="55" w:lineRule="exact"/>
        <w:rPr>
          <w:rFonts w:ascii="Times New Roman" w:cs="Times New Roman" w:eastAsia="Times New Roman" w:hAnsi="Times New Roman"/>
          <w:sz w:val="13"/>
          <w:szCs w:val="13"/>
          <w:color w:val="auto"/>
        </w:rPr>
      </w:pPr>
    </w:p>
    <w:p>
      <w:pPr>
        <w:ind w:left="1320" w:right="659" w:hanging="303"/>
        <w:spacing w:after="0" w:line="251" w:lineRule="auto"/>
        <w:tabs>
          <w:tab w:leader="none" w:pos="13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mFARS has been used as a primary outcome measure in other clinical trials. OL study participants treated for 1 year with nomlabofusp daily demonstrated a median improvement in mFARS score of 2.25 relative to a worsening of 1.00 observed in patients in the FACOMS reference population. Directional improvements in the other three clinical outcomes (FARS-ADL, 9-HPT, MFIS) were also observed in OL study participants, while worsening in these outcomes was observed in the FACOMS reference population.</w:t>
      </w:r>
    </w:p>
    <w:p>
      <w:pPr>
        <w:sectPr>
          <w:pgSz w:w="11900" w:h="16838" w:orient="portrait"/>
          <w:cols w:equalWidth="0" w:num="1">
            <w:col w:w="9019"/>
          </w:cols>
          <w:pgMar w:left="1440" w:top="229" w:right="1440" w:bottom="1440" w:gutter="0" w:footer="0" w:header="0"/>
        </w:sectPr>
      </w:pPr>
    </w:p>
    <w:bookmarkStart w:id="6" w:name="page7"/>
    <w:bookmarkEnd w:id="6"/>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668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668020"/>
                    </a:xfrm>
                    <a:prstGeom prst="rect">
                      <a:avLst/>
                    </a:prstGeom>
                    <a:noFill/>
                  </pic:spPr>
                </pic:pic>
              </a:graphicData>
            </a:graphic>
          </wp:anchor>
        </w:drawing>
        <w:t>Median (IQR) Clinical Outcome Measure Change from Baseline at 1 year</w:t>
      </w:r>
    </w:p>
    <w:p>
      <w:pPr>
        <w:spacing w:after="0" w:line="24"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1860" w:type="dxa"/>
            <w:vAlign w:val="bottom"/>
            <w:tcBorders>
              <w:top w:val="single" w:sz="8" w:color="auto"/>
              <w:right w:val="single" w:sz="8" w:color="auto"/>
            </w:tcBorders>
            <w:gridSpan w:val="2"/>
          </w:tcPr>
          <w:p>
            <w:pPr>
              <w:ind w:left="660"/>
              <w:spacing w:after="0"/>
              <w:rPr>
                <w:sz w:val="20"/>
                <w:szCs w:val="20"/>
                <w:color w:val="auto"/>
              </w:rPr>
            </w:pPr>
            <w:r>
              <w:rPr>
                <w:rFonts w:ascii="Times New Roman" w:cs="Times New Roman" w:eastAsia="Times New Roman" w:hAnsi="Times New Roman"/>
                <w:sz w:val="10"/>
                <w:szCs w:val="10"/>
                <w:color w:val="auto"/>
              </w:rPr>
              <w:t>mFARS [0- 93]</w:t>
            </w:r>
          </w:p>
        </w:tc>
        <w:tc>
          <w:tcPr>
            <w:tcW w:w="1980" w:type="dxa"/>
            <w:vAlign w:val="bottom"/>
            <w:tcBorders>
              <w:top w:val="single" w:sz="8" w:color="auto"/>
              <w:right w:val="single" w:sz="8" w:color="auto"/>
            </w:tcBorders>
            <w:gridSpan w:val="2"/>
          </w:tcPr>
          <w:p>
            <w:pPr>
              <w:ind w:left="620"/>
              <w:spacing w:after="0"/>
              <w:rPr>
                <w:sz w:val="20"/>
                <w:szCs w:val="20"/>
                <w:color w:val="auto"/>
              </w:rPr>
            </w:pPr>
            <w:r>
              <w:rPr>
                <w:rFonts w:ascii="Times New Roman" w:cs="Times New Roman" w:eastAsia="Times New Roman" w:hAnsi="Times New Roman"/>
                <w:sz w:val="10"/>
                <w:szCs w:val="10"/>
                <w:color w:val="auto"/>
              </w:rPr>
              <w:t>FARS-ADL [0- 36]</w:t>
            </w:r>
          </w:p>
        </w:tc>
        <w:tc>
          <w:tcPr>
            <w:tcW w:w="2000" w:type="dxa"/>
            <w:vAlign w:val="bottom"/>
            <w:tcBorders>
              <w:top w:val="single" w:sz="8" w:color="auto"/>
              <w:right w:val="single" w:sz="8" w:color="auto"/>
            </w:tcBorders>
            <w:gridSpan w:val="2"/>
          </w:tcPr>
          <w:p>
            <w:pPr>
              <w:ind w:left="540"/>
              <w:spacing w:after="0"/>
              <w:rPr>
                <w:sz w:val="20"/>
                <w:szCs w:val="20"/>
                <w:color w:val="auto"/>
              </w:rPr>
            </w:pPr>
            <w:r>
              <w:rPr>
                <w:rFonts w:ascii="Times New Roman" w:cs="Times New Roman" w:eastAsia="Times New Roman" w:hAnsi="Times New Roman"/>
                <w:sz w:val="10"/>
                <w:szCs w:val="10"/>
                <w:color w:val="auto"/>
              </w:rPr>
              <w:t>9-HPT: Dominant Hand</w:t>
            </w:r>
          </w:p>
        </w:tc>
        <w:tc>
          <w:tcPr>
            <w:tcW w:w="190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0"/>
                <w:szCs w:val="10"/>
                <w:color w:val="auto"/>
              </w:rPr>
              <w:t>MFIS [0- 84]</w:t>
            </w:r>
          </w:p>
        </w:tc>
      </w:tr>
      <w:tr>
        <w:trPr>
          <w:trHeight w:val="27"/>
        </w:trPr>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05"/>
        </w:trPr>
        <w:tc>
          <w:tcPr>
            <w:tcW w:w="860" w:type="dxa"/>
            <w:vAlign w:val="bottom"/>
            <w:tcBorders>
              <w:right w:val="single" w:sz="8" w:color="auto"/>
            </w:tcBorders>
          </w:tcPr>
          <w:p>
            <w:pPr>
              <w:jc w:val="center"/>
              <w:ind w:left="24"/>
              <w:spacing w:after="0" w:line="106" w:lineRule="exact"/>
              <w:rPr>
                <w:sz w:val="20"/>
                <w:szCs w:val="20"/>
                <w:color w:val="auto"/>
              </w:rPr>
            </w:pPr>
            <w:r>
              <w:rPr>
                <w:rFonts w:ascii="Times New Roman" w:cs="Times New Roman" w:eastAsia="Times New Roman" w:hAnsi="Times New Roman"/>
                <w:sz w:val="10"/>
                <w:szCs w:val="10"/>
                <w:color w:val="auto"/>
                <w:w w:val="99"/>
              </w:rPr>
              <w:t>Nomlabofusp</w:t>
            </w:r>
          </w:p>
        </w:tc>
        <w:tc>
          <w:tcPr>
            <w:tcW w:w="1000" w:type="dxa"/>
            <w:vAlign w:val="bottom"/>
            <w:tcBorders>
              <w:right w:val="single" w:sz="8" w:color="auto"/>
            </w:tcBorders>
          </w:tcPr>
          <w:p>
            <w:pPr>
              <w:jc w:val="center"/>
              <w:ind w:left="63"/>
              <w:spacing w:after="0" w:line="106" w:lineRule="exact"/>
              <w:rPr>
                <w:sz w:val="20"/>
                <w:szCs w:val="20"/>
                <w:color w:val="auto"/>
              </w:rPr>
            </w:pPr>
            <w:r>
              <w:rPr>
                <w:rFonts w:ascii="Times New Roman" w:cs="Times New Roman" w:eastAsia="Times New Roman" w:hAnsi="Times New Roman"/>
                <w:sz w:val="10"/>
                <w:szCs w:val="10"/>
                <w:color w:val="auto"/>
                <w:w w:val="97"/>
              </w:rPr>
              <w:t>FACOMS</w:t>
            </w:r>
          </w:p>
        </w:tc>
        <w:tc>
          <w:tcPr>
            <w:tcW w:w="100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Nomlabofusp</w:t>
            </w:r>
          </w:p>
        </w:tc>
        <w:tc>
          <w:tcPr>
            <w:tcW w:w="98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color w:val="auto"/>
              </w:rPr>
              <w:t>FACOMS</w:t>
            </w:r>
          </w:p>
        </w:tc>
        <w:tc>
          <w:tcPr>
            <w:tcW w:w="100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color w:val="auto"/>
              </w:rPr>
              <w:t>Nomlabofusp</w:t>
            </w:r>
          </w:p>
        </w:tc>
        <w:tc>
          <w:tcPr>
            <w:tcW w:w="100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color w:val="auto"/>
                <w:w w:val="97"/>
              </w:rPr>
              <w:t>FACOMS</w:t>
            </w:r>
          </w:p>
        </w:tc>
        <w:tc>
          <w:tcPr>
            <w:tcW w:w="100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Nomlabofusp</w:t>
            </w:r>
          </w:p>
        </w:tc>
        <w:tc>
          <w:tcPr>
            <w:tcW w:w="900" w:type="dxa"/>
            <w:vAlign w:val="bottom"/>
          </w:tcPr>
          <w:p>
            <w:pPr>
              <w:jc w:val="center"/>
              <w:spacing w:after="0" w:line="106" w:lineRule="exact"/>
              <w:rPr>
                <w:sz w:val="20"/>
                <w:szCs w:val="20"/>
                <w:color w:val="auto"/>
              </w:rPr>
            </w:pPr>
            <w:r>
              <w:rPr>
                <w:rFonts w:ascii="Times New Roman" w:cs="Times New Roman" w:eastAsia="Times New Roman" w:hAnsi="Times New Roman"/>
                <w:sz w:val="10"/>
                <w:szCs w:val="10"/>
                <w:color w:val="auto"/>
                <w:w w:val="99"/>
              </w:rPr>
              <w:t>FACOMS</w:t>
            </w:r>
            <w:r>
              <w:rPr>
                <w:rFonts w:ascii="Times New Roman" w:cs="Times New Roman" w:eastAsia="Times New Roman" w:hAnsi="Times New Roman"/>
                <w:sz w:val="7"/>
                <w:szCs w:val="7"/>
                <w:color w:val="auto"/>
                <w:w w:val="99"/>
              </w:rPr>
              <w:t>a</w:t>
            </w:r>
          </w:p>
        </w:tc>
      </w:tr>
      <w:tr>
        <w:trPr>
          <w:trHeight w:val="130"/>
        </w:trPr>
        <w:tc>
          <w:tcPr>
            <w:tcW w:w="86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0"/>
                <w:szCs w:val="10"/>
                <w:i w:val="1"/>
                <w:iCs w:val="1"/>
                <w:color w:val="auto"/>
              </w:rPr>
              <w:t>n = 8</w:t>
            </w:r>
          </w:p>
        </w:tc>
        <w:tc>
          <w:tcPr>
            <w:tcW w:w="1000" w:type="dxa"/>
            <w:vAlign w:val="bottom"/>
            <w:tcBorders>
              <w:bottom w:val="single" w:sz="8" w:color="auto"/>
              <w:right w:val="single" w:sz="8" w:color="auto"/>
            </w:tcBorders>
          </w:tcPr>
          <w:p>
            <w:pPr>
              <w:jc w:val="center"/>
              <w:ind w:left="63"/>
              <w:spacing w:after="0"/>
              <w:rPr>
                <w:sz w:val="20"/>
                <w:szCs w:val="20"/>
                <w:color w:val="auto"/>
              </w:rPr>
            </w:pPr>
            <w:r>
              <w:rPr>
                <w:rFonts w:ascii="Times New Roman" w:cs="Times New Roman" w:eastAsia="Times New Roman" w:hAnsi="Times New Roman"/>
                <w:sz w:val="10"/>
                <w:szCs w:val="10"/>
                <w:i w:val="1"/>
                <w:iCs w:val="1"/>
                <w:color w:val="auto"/>
              </w:rPr>
              <w:t>n = 185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i w:val="1"/>
                <w:iCs w:val="1"/>
                <w:color w:val="auto"/>
              </w:rPr>
              <w:t>n = 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i w:val="1"/>
                <w:iCs w:val="1"/>
                <w:color w:val="auto"/>
              </w:rPr>
              <w:t>n = 237</w:t>
            </w:r>
          </w:p>
        </w:tc>
        <w:tc>
          <w:tcPr>
            <w:tcW w:w="10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0"/>
                <w:szCs w:val="10"/>
                <w:i w:val="1"/>
                <w:iCs w:val="1"/>
                <w:color w:val="auto"/>
              </w:rPr>
              <w:t>n = 7</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i w:val="1"/>
                <w:iCs w:val="1"/>
                <w:color w:val="auto"/>
              </w:rPr>
              <w:t>n = 219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i w:val="1"/>
                <w:iCs w:val="1"/>
                <w:color w:val="auto"/>
              </w:rPr>
              <w:t>n = 8</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i w:val="1"/>
                <w:iCs w:val="1"/>
                <w:color w:val="auto"/>
              </w:rPr>
              <w:t>n = 136</w:t>
            </w:r>
          </w:p>
        </w:tc>
      </w:tr>
      <w:tr>
        <w:trPr>
          <w:trHeight w:val="128"/>
        </w:trPr>
        <w:tc>
          <w:tcPr>
            <w:tcW w:w="860" w:type="dxa"/>
            <w:vAlign w:val="bottom"/>
            <w:tcBorders>
              <w:right w:val="single" w:sz="8" w:color="auto"/>
            </w:tcBorders>
          </w:tcPr>
          <w:p>
            <w:pPr>
              <w:jc w:val="right"/>
              <w:ind w:right="204"/>
              <w:spacing w:after="0" w:line="128" w:lineRule="exact"/>
              <w:rPr>
                <w:sz w:val="20"/>
                <w:szCs w:val="20"/>
                <w:color w:val="auto"/>
              </w:rPr>
            </w:pPr>
            <w:r>
              <w:rPr>
                <w:rFonts w:ascii="Times New Roman" w:cs="Times New Roman" w:eastAsia="Times New Roman" w:hAnsi="Times New Roman"/>
                <w:sz w:val="13"/>
                <w:szCs w:val="13"/>
                <w:b w:val="1"/>
                <w:bCs w:val="1"/>
                <w:color w:val="auto"/>
              </w:rPr>
              <w:t>-2.25</w:t>
            </w:r>
          </w:p>
        </w:tc>
        <w:tc>
          <w:tcPr>
            <w:tcW w:w="1000" w:type="dxa"/>
            <w:vAlign w:val="bottom"/>
            <w:tcBorders>
              <w:right w:val="single" w:sz="8" w:color="auto"/>
            </w:tcBorders>
          </w:tcPr>
          <w:p>
            <w:pPr>
              <w:jc w:val="right"/>
              <w:ind w:right="283"/>
              <w:spacing w:after="0" w:line="128" w:lineRule="exact"/>
              <w:rPr>
                <w:sz w:val="20"/>
                <w:szCs w:val="20"/>
                <w:color w:val="auto"/>
              </w:rPr>
            </w:pPr>
            <w:r>
              <w:rPr>
                <w:rFonts w:ascii="Times New Roman" w:cs="Times New Roman" w:eastAsia="Times New Roman" w:hAnsi="Times New Roman"/>
                <w:sz w:val="13"/>
                <w:szCs w:val="13"/>
                <w:b w:val="1"/>
                <w:bCs w:val="1"/>
                <w:color w:val="auto"/>
              </w:rPr>
              <w:t>1.00</w:t>
            </w:r>
          </w:p>
        </w:tc>
        <w:tc>
          <w:tcPr>
            <w:tcW w:w="1000" w:type="dxa"/>
            <w:vAlign w:val="bottom"/>
            <w:tcBorders>
              <w:right w:val="single" w:sz="8" w:color="auto"/>
            </w:tcBorders>
          </w:tcPr>
          <w:p>
            <w:pPr>
              <w:jc w:val="right"/>
              <w:ind w:right="304"/>
              <w:spacing w:after="0" w:line="128" w:lineRule="exact"/>
              <w:rPr>
                <w:sz w:val="20"/>
                <w:szCs w:val="20"/>
                <w:color w:val="auto"/>
              </w:rPr>
            </w:pPr>
            <w:r>
              <w:rPr>
                <w:rFonts w:ascii="Times New Roman" w:cs="Times New Roman" w:eastAsia="Times New Roman" w:hAnsi="Times New Roman"/>
                <w:sz w:val="13"/>
                <w:szCs w:val="13"/>
                <w:b w:val="1"/>
                <w:bCs w:val="1"/>
                <w:color w:val="auto"/>
              </w:rPr>
              <w:t>-0.50</w:t>
            </w:r>
          </w:p>
        </w:tc>
        <w:tc>
          <w:tcPr>
            <w:tcW w:w="980" w:type="dxa"/>
            <w:vAlign w:val="bottom"/>
            <w:tcBorders>
              <w:right w:val="single" w:sz="8" w:color="auto"/>
            </w:tcBorders>
          </w:tcPr>
          <w:p>
            <w:pPr>
              <w:jc w:val="right"/>
              <w:ind w:right="303"/>
              <w:spacing w:after="0" w:line="128" w:lineRule="exact"/>
              <w:rPr>
                <w:sz w:val="20"/>
                <w:szCs w:val="20"/>
                <w:color w:val="auto"/>
              </w:rPr>
            </w:pPr>
            <w:r>
              <w:rPr>
                <w:rFonts w:ascii="Times New Roman" w:cs="Times New Roman" w:eastAsia="Times New Roman" w:hAnsi="Times New Roman"/>
                <w:sz w:val="13"/>
                <w:szCs w:val="13"/>
                <w:b w:val="1"/>
                <w:bCs w:val="1"/>
                <w:color w:val="auto"/>
              </w:rPr>
              <w:t>0.50</w:t>
            </w:r>
          </w:p>
        </w:tc>
        <w:tc>
          <w:tcPr>
            <w:tcW w:w="1000" w:type="dxa"/>
            <w:vAlign w:val="bottom"/>
            <w:tcBorders>
              <w:right w:val="single" w:sz="8" w:color="auto"/>
            </w:tcBorders>
          </w:tcPr>
          <w:p>
            <w:pPr>
              <w:jc w:val="right"/>
              <w:ind w:right="284"/>
              <w:spacing w:after="0" w:line="128" w:lineRule="exact"/>
              <w:rPr>
                <w:sz w:val="20"/>
                <w:szCs w:val="20"/>
                <w:color w:val="auto"/>
              </w:rPr>
            </w:pPr>
            <w:r>
              <w:rPr>
                <w:rFonts w:ascii="Times New Roman" w:cs="Times New Roman" w:eastAsia="Times New Roman" w:hAnsi="Times New Roman"/>
                <w:sz w:val="13"/>
                <w:szCs w:val="13"/>
                <w:b w:val="1"/>
                <w:bCs w:val="1"/>
                <w:color w:val="auto"/>
              </w:rPr>
              <w:t>-7.40</w:t>
            </w:r>
          </w:p>
        </w:tc>
        <w:tc>
          <w:tcPr>
            <w:tcW w:w="1000" w:type="dxa"/>
            <w:vAlign w:val="bottom"/>
            <w:tcBorders>
              <w:right w:val="single" w:sz="8" w:color="auto"/>
            </w:tcBorders>
          </w:tcPr>
          <w:p>
            <w:pPr>
              <w:jc w:val="right"/>
              <w:ind w:right="343"/>
              <w:spacing w:after="0" w:line="128" w:lineRule="exact"/>
              <w:rPr>
                <w:sz w:val="20"/>
                <w:szCs w:val="20"/>
                <w:color w:val="auto"/>
              </w:rPr>
            </w:pPr>
            <w:r>
              <w:rPr>
                <w:rFonts w:ascii="Times New Roman" w:cs="Times New Roman" w:eastAsia="Times New Roman" w:hAnsi="Times New Roman"/>
                <w:sz w:val="13"/>
                <w:szCs w:val="13"/>
                <w:b w:val="1"/>
                <w:bCs w:val="1"/>
                <w:color w:val="auto"/>
              </w:rPr>
              <w:t>3.4</w:t>
            </w:r>
          </w:p>
        </w:tc>
        <w:tc>
          <w:tcPr>
            <w:tcW w:w="1000" w:type="dxa"/>
            <w:vAlign w:val="bottom"/>
            <w:tcBorders>
              <w:right w:val="single" w:sz="8" w:color="auto"/>
            </w:tcBorders>
          </w:tcPr>
          <w:p>
            <w:pPr>
              <w:jc w:val="right"/>
              <w:ind w:right="324"/>
              <w:spacing w:after="0" w:line="128" w:lineRule="exact"/>
              <w:rPr>
                <w:sz w:val="20"/>
                <w:szCs w:val="20"/>
                <w:color w:val="auto"/>
              </w:rPr>
            </w:pPr>
            <w:r>
              <w:rPr>
                <w:rFonts w:ascii="Times New Roman" w:cs="Times New Roman" w:eastAsia="Times New Roman" w:hAnsi="Times New Roman"/>
                <w:sz w:val="13"/>
                <w:szCs w:val="13"/>
                <w:b w:val="1"/>
                <w:bCs w:val="1"/>
                <w:color w:val="auto"/>
              </w:rPr>
              <w:t>-6.5</w:t>
            </w:r>
          </w:p>
        </w:tc>
        <w:tc>
          <w:tcPr>
            <w:tcW w:w="900" w:type="dxa"/>
            <w:vAlign w:val="bottom"/>
          </w:tcPr>
          <w:p>
            <w:pPr>
              <w:jc w:val="right"/>
              <w:ind w:right="303"/>
              <w:spacing w:after="0" w:line="128" w:lineRule="exact"/>
              <w:rPr>
                <w:sz w:val="20"/>
                <w:szCs w:val="20"/>
                <w:color w:val="auto"/>
              </w:rPr>
            </w:pPr>
            <w:r>
              <w:rPr>
                <w:rFonts w:ascii="Times New Roman" w:cs="Times New Roman" w:eastAsia="Times New Roman" w:hAnsi="Times New Roman"/>
                <w:sz w:val="13"/>
                <w:szCs w:val="13"/>
                <w:b w:val="1"/>
                <w:bCs w:val="1"/>
                <w:color w:val="auto"/>
              </w:rPr>
              <w:t>1.5</w:t>
            </w:r>
          </w:p>
        </w:tc>
      </w:tr>
      <w:tr>
        <w:trPr>
          <w:trHeight w:val="169"/>
        </w:trPr>
        <w:tc>
          <w:tcPr>
            <w:tcW w:w="860" w:type="dxa"/>
            <w:vAlign w:val="bottom"/>
            <w:tcBorders>
              <w:bottom w:val="single" w:sz="8" w:color="auto"/>
              <w:right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color w:val="auto"/>
              </w:rPr>
              <w:t>(-3.8, -0.3)</w:t>
            </w:r>
          </w:p>
        </w:tc>
        <w:tc>
          <w:tcPr>
            <w:tcW w:w="100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color w:val="auto"/>
              </w:rPr>
              <w:t>(-1.5, 4.0)</w:t>
            </w:r>
          </w:p>
        </w:tc>
        <w:tc>
          <w:tcPr>
            <w:tcW w:w="1000" w:type="dxa"/>
            <w:vAlign w:val="bottom"/>
            <w:tcBorders>
              <w:bottom w:val="single" w:sz="8" w:color="auto"/>
              <w:right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color w:val="auto"/>
              </w:rPr>
              <w:t>(-2.0, 1.0)</w:t>
            </w:r>
          </w:p>
        </w:tc>
        <w:tc>
          <w:tcPr>
            <w:tcW w:w="980" w:type="dxa"/>
            <w:vAlign w:val="bottom"/>
            <w:tcBorders>
              <w:bottom w:val="single" w:sz="8" w:color="auto"/>
              <w:right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(-1.0, 2.5)</w:t>
            </w:r>
          </w:p>
        </w:tc>
        <w:tc>
          <w:tcPr>
            <w:tcW w:w="1000" w:type="dxa"/>
            <w:vAlign w:val="bottom"/>
            <w:tcBorders>
              <w:bottom w:val="single" w:sz="8" w:color="auto"/>
              <w:right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color w:val="auto"/>
              </w:rPr>
              <w:t>(-38.8, -2.5)</w:t>
            </w:r>
          </w:p>
        </w:tc>
        <w:tc>
          <w:tcPr>
            <w:tcW w:w="1000" w:type="dxa"/>
            <w:vAlign w:val="bottom"/>
            <w:tcBorders>
              <w:bottom w:val="single" w:sz="8" w:color="auto"/>
              <w:right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color w:val="auto"/>
              </w:rPr>
              <w:t>(-4.5, 18.0)</w:t>
            </w:r>
          </w:p>
        </w:tc>
        <w:tc>
          <w:tcPr>
            <w:tcW w:w="1000" w:type="dxa"/>
            <w:vAlign w:val="bottom"/>
            <w:tcBorders>
              <w:bottom w:val="single" w:sz="8" w:color="auto"/>
              <w:right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(-17.5, 4.0)</w:t>
            </w:r>
          </w:p>
        </w:tc>
        <w:tc>
          <w:tcPr>
            <w:tcW w:w="9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color w:val="auto"/>
              </w:rPr>
              <w:t>(-9.5, 11.0)</w:t>
            </w:r>
          </w:p>
        </w:tc>
      </w:tr>
    </w:tbl>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IQR = interquartile range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MFIS presented here is at 2 years because it was not assessed at 1 year</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Long-term Pharmacokinetic Profile Consistent with Prior Studies</w:t>
      </w:r>
    </w:p>
    <w:p>
      <w:pPr>
        <w:spacing w:after="0" w:line="89" w:lineRule="exact"/>
        <w:rPr>
          <w:sz w:val="20"/>
          <w:szCs w:val="20"/>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Rapid absorption after subcutaneous administration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Exposure appeared to reach steady state in plasma by Day 30 at both the 25 mg and 50 mg doses with no further accumulation</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Pharmacokinetic profile consistent with Phase 1 and Phase 2 studies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Nomlabofusp Program Updates</w:t>
      </w:r>
    </w:p>
    <w:p>
      <w:pPr>
        <w:spacing w:after="0" w:line="87" w:lineRule="exact"/>
        <w:rPr>
          <w:sz w:val="20"/>
          <w:szCs w:val="20"/>
          <w:color w:val="auto"/>
        </w:rPr>
      </w:pPr>
    </w:p>
    <w:p>
      <w:pPr>
        <w:ind w:left="1320" w:right="659" w:hanging="303"/>
        <w:spacing w:after="0" w:line="257"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Informative Adolescent PK Run-In Data: </w:t>
      </w:r>
      <w:r>
        <w:rPr>
          <w:rFonts w:ascii="Times New Roman" w:cs="Times New Roman" w:eastAsia="Times New Roman" w:hAnsi="Times New Roman"/>
          <w:sz w:val="13"/>
          <w:szCs w:val="13"/>
          <w:color w:val="auto"/>
        </w:rPr>
        <w:t>Adolescents 12 to 17 years of age received a weight-based equivalent of 50 mg for 7 days.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Exposure and PK in adolescents spanning 12 to 17 years of age (n = 14, 5 on placebo) were similar to adults on 50 mg of nomlabofusp. Six adolescents are currently enrolled in the OL study</w:t>
      </w:r>
    </w:p>
    <w:p>
      <w:pPr>
        <w:spacing w:after="0" w:line="59" w:lineRule="exact"/>
        <w:rPr>
          <w:rFonts w:ascii="Times New Roman" w:cs="Times New Roman" w:eastAsia="Times New Roman" w:hAnsi="Times New Roman"/>
          <w:sz w:val="13"/>
          <w:szCs w:val="13"/>
          <w:color w:val="auto"/>
        </w:rPr>
      </w:pPr>
    </w:p>
    <w:p>
      <w:pPr>
        <w:ind w:left="1320" w:right="679" w:hanging="303"/>
        <w:spacing w:after="0" w:line="250"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Planned Enrollment in OL Study: </w:t>
      </w:r>
      <w:r>
        <w:rPr>
          <w:rFonts w:ascii="Times New Roman" w:cs="Times New Roman" w:eastAsia="Times New Roman" w:hAnsi="Times New Roman"/>
          <w:sz w:val="13"/>
          <w:szCs w:val="13"/>
          <w:color w:val="auto"/>
        </w:rPr>
        <w:t>The OL study protocol was amended to include adolescent and adult patients who have not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participated in a prior nomlabofusp study. Recently, Larimar modified the starting dose regimen and is implementing this change. The new dosing regimen will include a 5 mg test dose followed by a 25 mg dose one hour later under observation. Nomlabofusp 25 mg will then be administered once daily through Day 30 and then the dose will be increased to 50 mg once daily. Larimar plans to enroll patients 2-11 years of age directly into the OL study in the future</w:t>
      </w:r>
    </w:p>
    <w:p>
      <w:pPr>
        <w:spacing w:after="0" w:line="64"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Global Phase 3 Study: </w:t>
      </w:r>
      <w:r>
        <w:rPr>
          <w:rFonts w:ascii="Times New Roman" w:cs="Times New Roman" w:eastAsia="Times New Roman" w:hAnsi="Times New Roman"/>
          <w:sz w:val="13"/>
          <w:szCs w:val="13"/>
          <w:color w:val="auto"/>
        </w:rPr>
        <w:t>Sites are identified and being qualified in the U.S., Europe, U.K., Canada, and Australia</w:t>
      </w:r>
    </w:p>
    <w:p>
      <w:pPr>
        <w:spacing w:after="0" w:line="87" w:lineRule="exact"/>
        <w:rPr>
          <w:rFonts w:ascii="Times New Roman" w:cs="Times New Roman" w:eastAsia="Times New Roman" w:hAnsi="Times New Roman"/>
          <w:sz w:val="13"/>
          <w:szCs w:val="13"/>
          <w:color w:val="auto"/>
        </w:rPr>
      </w:pPr>
    </w:p>
    <w:p>
      <w:pPr>
        <w:ind w:left="1320" w:right="739" w:hanging="303"/>
        <w:spacing w:after="0" w:line="252"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Developments in Chemistry Manufacturing and Control (CMC): </w:t>
      </w:r>
      <w:r>
        <w:rPr>
          <w:rFonts w:ascii="Times New Roman" w:cs="Times New Roman" w:eastAsia="Times New Roman" w:hAnsi="Times New Roman"/>
          <w:sz w:val="13"/>
          <w:szCs w:val="13"/>
          <w:color w:val="auto"/>
        </w:rPr>
        <w:t>Received agreement from FDA on analytical testing requirements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including potency testing of nomlabofusp. Process performance qualification (PPQ) on the commercial scale drug substance is planned in Q4 2025, in preparation of data for BLA submission. Drug substance manufactured during PPQ activities are expected to be used as the initial commercial launch supply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Upcoming Milestones</w:t>
      </w:r>
    </w:p>
    <w:p>
      <w:pPr>
        <w:spacing w:after="0" w:line="89" w:lineRule="exact"/>
        <w:rPr>
          <w:sz w:val="20"/>
          <w:szCs w:val="20"/>
          <w:color w:val="auto"/>
        </w:rPr>
      </w:pPr>
    </w:p>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the new dosing regimen in the OL study in Q4 2025</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PPQ on commercial scale drug substance planned in Q4 2025</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 submission seeking accelerated approval targeted in Q2 2026</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and Webcast</w:t>
      </w:r>
    </w:p>
    <w:p>
      <w:pPr>
        <w:spacing w:after="0" w:line="8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 xml:space="preserve">Larimar will host a conference call and webcast today, September 29, 2025, at 8:00 a.m. EDT. To access the webcast, please visit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to the event. To participate by phone, please dial 1-877-407-9716 (domestic) or 1-201-493-6779 (international) and refer to conference ID 13756144 or click on this </w:t>
      </w:r>
      <w:r>
        <w:rPr>
          <w:rFonts w:ascii="Times New Roman" w:cs="Times New Roman" w:eastAsia="Times New Roman" w:hAnsi="Times New Roman"/>
          <w:sz w:val="13"/>
          <w:szCs w:val="13"/>
          <w:u w:val="single" w:color="auto"/>
          <w:color w:val="auto"/>
        </w:rPr>
        <w:t>link</w:t>
      </w:r>
      <w:r>
        <w:rPr>
          <w:rFonts w:ascii="Times New Roman" w:cs="Times New Roman" w:eastAsia="Times New Roman" w:hAnsi="Times New Roman"/>
          <w:sz w:val="13"/>
          <w:szCs w:val="13"/>
          <w:color w:val="auto"/>
        </w:rPr>
        <w:t xml:space="preserve"> and request a return call. Following the live event, an archived webcast will be available on the “</w:t>
      </w:r>
      <w:r>
        <w:rPr>
          <w:rFonts w:ascii="Times New Roman" w:cs="Times New Roman" w:eastAsia="Times New Roman" w:hAnsi="Times New Roman"/>
          <w:sz w:val="13"/>
          <w:szCs w:val="13"/>
          <w:u w:val="single" w:color="auto"/>
          <w:color w:val="auto"/>
        </w:rPr>
        <w:t>Events &amp; Presentations</w:t>
      </w:r>
      <w:r>
        <w:rPr>
          <w:rFonts w:ascii="Times New Roman" w:cs="Times New Roman" w:eastAsia="Times New Roman" w:hAnsi="Times New Roman"/>
          <w:sz w:val="13"/>
          <w:szCs w:val="13"/>
          <w:color w:val="auto"/>
        </w:rPr>
        <w:t>” page of the Larimar website.</w:t>
      </w:r>
    </w:p>
    <w:p>
      <w:pPr>
        <w:sectPr>
          <w:pgSz w:w="11900" w:h="16838" w:orient="portrait"/>
          <w:cols w:equalWidth="0" w:num="1">
            <w:col w:w="9019"/>
          </w:cols>
          <w:pgMar w:left="1440" w:top="265" w:right="1440"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Larimar Therapeutics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 xml:space="preserve">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Times New Roman" w:cs="Times New Roman" w:eastAsia="Times New Roman" w:hAnsi="Times New Roman"/>
          <w:sz w:val="13"/>
          <w:szCs w:val="13"/>
          <w:u w:val="single" w:color="auto"/>
          <w:color w:val="auto"/>
        </w:rPr>
        <w:t>https://larimartx.com</w:t>
      </w:r>
      <w:r>
        <w:rPr>
          <w:rFonts w:ascii="Times New Roman" w:cs="Times New Roman" w:eastAsia="Times New Roman" w:hAnsi="Times New Roman"/>
          <w:sz w:val="13"/>
          <w:szCs w:val="13"/>
          <w:color w:val="auto"/>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 and other matters regarding Larimar’s business strategies, ability to raise capital, use of capital, results of operations and financial position, and plans and objectives for future operations.</w:t>
      </w:r>
    </w:p>
    <w:p>
      <w:pPr>
        <w:spacing w:after="0" w:line="136" w:lineRule="exact"/>
        <w:rPr>
          <w:sz w:val="20"/>
          <w:szCs w:val="20"/>
          <w:color w:val="auto"/>
        </w:rPr>
      </w:pPr>
    </w:p>
    <w:p>
      <w:pPr>
        <w:ind w:left="640" w:right="679"/>
        <w:spacing w:after="0" w:line="266" w:lineRule="auto"/>
        <w:rPr>
          <w:sz w:val="20"/>
          <w:szCs w:val="20"/>
          <w:color w:val="auto"/>
        </w:rPr>
      </w:pPr>
      <w:r>
        <w:rPr>
          <w:rFonts w:ascii="Times New Roman" w:cs="Times New Roman" w:eastAsia="Times New Roman" w:hAnsi="Times New Roman"/>
          <w:sz w:val="12"/>
          <w:szCs w:val="12"/>
          <w:color w:val="auto"/>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and regulatory milestones and continued interactions with the FDA, and Larimar’s ability to timely implement the revised dosing regimen in its clinical program for nomlabofusp;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Joyce Allaire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LifeSci Advisors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jallaire@lifesciadvisors.com</w:t>
      </w:r>
      <w:r>
        <w:rPr>
          <w:rFonts w:ascii="Times New Roman" w:cs="Times New Roman" w:eastAsia="Times New Roman" w:hAnsi="Times New Roman"/>
          <w:sz w:val="13"/>
          <w:szCs w:val="13"/>
          <w:color w:val="auto"/>
        </w:rPr>
        <w:t xml:space="preserve">  </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(212) 915-2569</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Company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Michael Celano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mcelano@larimartx.com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(484) 414-2715</w:t>
      </w:r>
    </w:p>
    <w:p>
      <w:pPr>
        <w:sectPr>
          <w:pgSz w:w="11900" w:h="16838" w:orient="portrait"/>
          <w:cols w:equalWidth="0" w:num="1">
            <w:col w:w="9019"/>
          </w:cols>
          <w:pgMar w:left="1440" w:top="229"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lvl w:ilvl="1">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2025-09-29T06:10:25Z</dcterms:created>
  <dcterms:modified xsi:type="dcterms:W3CDTF">2025-09-29T06:10:25Z</dcterms:modified>
</cp:coreProperties>
</file>