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374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7400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Hughes Thomas 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ZAFGEN,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175 PORTLAND STREET, 4TH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ZAFGEN,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ZFGN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07/22/2016</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66"/>
        <w:spacing w:after="0"/>
        <w:rPr>
          <w:sz w:val="20"/>
          <w:szCs w:val="20"/>
          <w:color w:val="auto"/>
        </w:rPr>
      </w:pPr>
      <w:r>
        <w:rPr>
          <w:rFonts w:ascii="Arial" w:cs="Arial" w:eastAsia="Arial" w:hAnsi="Arial"/>
          <w:sz w:val="17"/>
          <w:szCs w:val="17"/>
          <w:color w:val="0000FF"/>
        </w:rPr>
        <w:t>President and CEO</w:t>
      </w:r>
    </w:p>
    <w:p>
      <w:pPr>
        <w:spacing w:after="0" w:line="42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21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BOSTON</w:t>
            </w:r>
          </w:p>
        </w:tc>
        <w:tc>
          <w:tcPr>
            <w:tcW w:w="1120" w:type="dxa"/>
            <w:vAlign w:val="bottom"/>
          </w:tcPr>
          <w:p>
            <w:pPr>
              <w:ind w:left="280"/>
              <w:spacing w:after="0"/>
              <w:rPr>
                <w:sz w:val="20"/>
                <w:szCs w:val="20"/>
                <w:color w:val="auto"/>
              </w:rPr>
            </w:pPr>
            <w:r>
              <w:rPr>
                <w:rFonts w:ascii="Arial" w:cs="Arial" w:eastAsia="Arial" w:hAnsi="Arial"/>
                <w:sz w:val="17"/>
                <w:szCs w:val="17"/>
                <w:color w:val="0000FF"/>
              </w:rPr>
              <w:t>MA</w:t>
            </w:r>
          </w:p>
        </w:tc>
        <w:tc>
          <w:tcPr>
            <w:tcW w:w="1680" w:type="dxa"/>
            <w:vAlign w:val="bottom"/>
          </w:tcPr>
          <w:p>
            <w:pPr>
              <w:ind w:left="440"/>
              <w:spacing w:after="0"/>
              <w:rPr>
                <w:sz w:val="20"/>
                <w:szCs w:val="20"/>
                <w:color w:val="auto"/>
              </w:rPr>
            </w:pPr>
            <w:r>
              <w:rPr>
                <w:rFonts w:ascii="Arial" w:cs="Arial" w:eastAsia="Arial" w:hAnsi="Arial"/>
                <w:sz w:val="17"/>
                <w:szCs w:val="17"/>
                <w:color w:val="0000FF"/>
              </w:rPr>
              <w:t>02114</w:t>
            </w:r>
          </w:p>
        </w:tc>
      </w:tr>
      <w:tr>
        <w:trPr>
          <w:trHeight w:val="156"/>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68"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800" w:type="dxa"/>
            <w:vAlign w:val="bottom"/>
          </w:tcPr>
          <w:p>
            <w:pPr>
              <w:ind w:left="76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800" w:type="dxa"/>
            <w:vAlign w:val="bottom"/>
          </w:tcPr>
          <w:p>
            <w:pPr>
              <w:ind w:left="76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(A) or</w:t>
            </w:r>
          </w:p>
        </w:tc>
        <w:tc>
          <w:tcPr>
            <w:tcW w:w="8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8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07/22/2016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80" w:type="dxa"/>
            <w:vAlign w:val="bottom"/>
            <w:tcBorders>
              <w:bottom w:val="single" w:sz="8" w:color="2C2C2C"/>
            </w:tcBorders>
          </w:tcPr>
          <w:p>
            <w:pPr>
              <w:jc w:val="right"/>
              <w:ind w:right="49"/>
              <w:spacing w:after="0"/>
              <w:rPr>
                <w:sz w:val="20"/>
                <w:szCs w:val="20"/>
                <w:color w:val="auto"/>
              </w:rPr>
            </w:pPr>
            <w:r>
              <w:rPr>
                <w:rFonts w:ascii="Arial" w:cs="Arial" w:eastAsia="Arial" w:hAnsi="Arial"/>
                <w:sz w:val="17"/>
                <w:szCs w:val="17"/>
                <w:color w:val="0000FF"/>
              </w:rPr>
              <w:t>25,000</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880" w:type="dxa"/>
            <w:vAlign w:val="bottom"/>
            <w:tcBorders>
              <w:bottom w:val="single" w:sz="8" w:color="2C2C2C"/>
            </w:tcBorders>
          </w:tcPr>
          <w:p>
            <w:pPr>
              <w:jc w:val="center"/>
              <w:ind w:right="14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0.75</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48,936</w:t>
            </w:r>
            <w:r>
              <w:rPr>
                <w:rFonts w:ascii="Arial" w:cs="Arial" w:eastAsia="Arial" w:hAnsi="Arial"/>
                <w:sz w:val="22"/>
                <w:szCs w:val="22"/>
                <w:color w:val="008000"/>
                <w:vertAlign w:val="superscript"/>
              </w:rPr>
              <w:t>(3)</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07/22/2016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P</w:t>
            </w:r>
          </w:p>
        </w:tc>
        <w:tc>
          <w:tcPr>
            <w:tcW w:w="78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5,000</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3.0208</w:t>
            </w:r>
            <w:r>
              <w:rPr>
                <w:rFonts w:ascii="Arial" w:cs="Arial" w:eastAsia="Arial" w:hAnsi="Arial"/>
                <w:sz w:val="22"/>
                <w:szCs w:val="22"/>
                <w:color w:val="008000"/>
                <w:w w:val="98"/>
                <w:vertAlign w:val="superscript"/>
              </w:rPr>
              <w:t>(1)</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53,936</w:t>
            </w:r>
            <w:r>
              <w:rPr>
                <w:rFonts w:ascii="Arial" w:cs="Arial" w:eastAsia="Arial" w:hAnsi="Arial"/>
                <w:sz w:val="22"/>
                <w:szCs w:val="22"/>
                <w:color w:val="008000"/>
                <w:vertAlign w:val="superscript"/>
              </w:rPr>
              <w:t>(3)</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2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0.75</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07/22/2016</w:t>
            </w:r>
          </w:p>
        </w:tc>
        <w:tc>
          <w:tcPr>
            <w:tcW w:w="1120" w:type="dxa"/>
            <w:vAlign w:val="bottom"/>
          </w:tcPr>
          <w:p>
            <w:pPr>
              <w:spacing w:after="0"/>
              <w:rPr>
                <w:sz w:val="17"/>
                <w:szCs w:val="17"/>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0000FF"/>
              </w:rPr>
              <w:t>M</w:t>
            </w:r>
          </w:p>
        </w:tc>
        <w:tc>
          <w:tcPr>
            <w:tcW w:w="520" w:type="dxa"/>
            <w:vAlign w:val="bottom"/>
          </w:tcPr>
          <w:p>
            <w:pPr>
              <w:ind w:left="80"/>
              <w:spacing w:after="0"/>
              <w:rPr>
                <w:sz w:val="20"/>
                <w:szCs w:val="20"/>
                <w:color w:val="auto"/>
              </w:rPr>
            </w:pPr>
            <w:r>
              <w:rPr>
                <w:rFonts w:ascii="Arial" w:cs="Arial" w:eastAsia="Arial" w:hAnsi="Arial"/>
                <w:sz w:val="13"/>
                <w:szCs w:val="13"/>
                <w:color w:val="0000FF"/>
              </w:rPr>
              <w:t>25,000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(2)</w:t>
            </w:r>
          </w:p>
        </w:tc>
        <w:tc>
          <w:tcPr>
            <w:tcW w:w="760" w:type="dxa"/>
            <w:vAlign w:val="bottom"/>
          </w:tcPr>
          <w:p>
            <w:pPr>
              <w:ind w:left="80"/>
              <w:spacing w:after="0"/>
              <w:rPr>
                <w:sz w:val="20"/>
                <w:szCs w:val="20"/>
                <w:color w:val="auto"/>
              </w:rPr>
            </w:pPr>
            <w:r>
              <w:rPr>
                <w:rFonts w:ascii="Arial" w:cs="Arial" w:eastAsia="Arial" w:hAnsi="Arial"/>
                <w:sz w:val="13"/>
                <w:szCs w:val="13"/>
                <w:color w:val="0000FF"/>
              </w:rPr>
              <w:t>12/15/2018</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25,000</w:t>
            </w:r>
          </w:p>
        </w:tc>
        <w:tc>
          <w:tcPr>
            <w:tcW w:w="72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60" w:type="dxa"/>
            <w:vAlign w:val="bottom"/>
          </w:tcPr>
          <w:p>
            <w:pPr>
              <w:ind w:left="300"/>
              <w:spacing w:after="0"/>
              <w:rPr>
                <w:sz w:val="20"/>
                <w:szCs w:val="20"/>
                <w:color w:val="auto"/>
              </w:rPr>
            </w:pPr>
            <w:r>
              <w:rPr>
                <w:rFonts w:ascii="Arial" w:cs="Arial" w:eastAsia="Arial" w:hAnsi="Arial"/>
                <w:sz w:val="13"/>
                <w:szCs w:val="13"/>
                <w:color w:val="0000FF"/>
              </w:rPr>
              <w:t>18,928</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 shares were purchased in multiple transactions at prices ranging from $3.015 to 3.04, inclusive. The reporting person undertakes to provide to Zafgen, Inc., any security holder of Zafgen, Inc., or the staff of the Securities and Exchange Commission, upon request, full information regarding the number of shares sold at each separate price within the ranges set forth herein.</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Fully vested.</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2,276 shares acquired under Zafgen, Inc.'s 2014 Employee Stock Purchase Plan (the "Plan") on July 1, 2016, and 340 shares acquired under the Plan on January 1, 2016.</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Laurie Burlingame,</w:t>
            </w:r>
          </w:p>
        </w:tc>
        <w:tc>
          <w:tcPr>
            <w:tcW w:w="7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07/26/2016</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11048"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2019-12-08T12:46:01Z</dcterms:created>
  <dcterms:modified xsi:type="dcterms:W3CDTF">2019-12-08T12:46:01Z</dcterms:modified>
</cp:coreProperties>
</file>