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4160" w:type="dxa"/>
            <w:vAlign w:val="bottom"/>
          </w:tcPr>
          <w:p>
            <w:pPr>
              <w:jc w:val="center"/>
              <w:ind w:right="219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001-36510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20-3857670</w:t>
            </w:r>
          </w:p>
        </w:tc>
      </w:tr>
      <w:tr>
        <w:trPr>
          <w:trHeight w:val="148"/>
        </w:trPr>
        <w:tc>
          <w:tcPr>
            <w:tcW w:w="4160" w:type="dxa"/>
            <w:vAlign w:val="bottom"/>
          </w:tcPr>
          <w:p>
            <w:pPr>
              <w:jc w:val="center"/>
              <w:ind w:right="2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60" w:type="dxa"/>
            <w:vAlign w:val="bottom"/>
          </w:tcPr>
          <w:p>
            <w:pPr>
              <w:jc w:val="center"/>
              <w:ind w:right="2199"/>
              <w:spacing w:after="0"/>
              <w:rPr>
                <w:sz w:val="20"/>
                <w:szCs w:val="20"/>
                <w:color w:val="auto"/>
              </w:rPr>
            </w:pPr>
            <w:r>
              <w:rPr>
                <w:rFonts w:ascii="Arial" w:cs="Arial" w:eastAsia="Arial" w:hAnsi="Arial"/>
                <w:sz w:val="14"/>
                <w:szCs w:val="14"/>
                <w:b w:val="1"/>
                <w:bCs w:val="1"/>
                <w:color w:val="auto"/>
                <w:w w:val="94"/>
              </w:rPr>
              <w:t>incorporation or organization)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60" w:type="dxa"/>
            <w:vAlign w:val="bottom"/>
          </w:tcPr>
          <w:p>
            <w:pPr>
              <w:jc w:val="center"/>
              <w:ind w:left="1299"/>
              <w:spacing w:after="0"/>
              <w:rPr>
                <w:sz w:val="20"/>
                <w:szCs w:val="20"/>
                <w:color w:val="auto"/>
              </w:rPr>
            </w:pPr>
            <w:r>
              <w:rPr>
                <w:rFonts w:ascii="Arial" w:cs="Arial" w:eastAsia="Arial" w:hAnsi="Arial"/>
                <w:sz w:val="18"/>
                <w:szCs w:val="18"/>
                <w:b w:val="1"/>
                <w:bCs w:val="1"/>
                <w:color w:val="auto"/>
                <w:w w:val="90"/>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60" w:type="dxa"/>
            <w:vAlign w:val="bottom"/>
          </w:tcPr>
          <w:p>
            <w:pPr>
              <w:jc w:val="center"/>
              <w:ind w:left="1299"/>
              <w:spacing w:after="0"/>
              <w:rPr>
                <w:sz w:val="20"/>
                <w:szCs w:val="20"/>
                <w:color w:val="auto"/>
              </w:rPr>
            </w:pPr>
            <w:r>
              <w:rPr>
                <w:rFonts w:ascii="Arial" w:cs="Arial" w:eastAsia="Arial" w:hAnsi="Arial"/>
                <w:sz w:val="18"/>
                <w:szCs w:val="18"/>
                <w:b w:val="1"/>
                <w:bCs w:val="1"/>
                <w:color w:val="auto"/>
                <w:w w:val="90"/>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19004</w:t>
            </w:r>
          </w:p>
        </w:tc>
      </w:tr>
      <w:tr>
        <w:trPr>
          <w:trHeight w:val="186"/>
        </w:trPr>
        <w:tc>
          <w:tcPr>
            <w:tcW w:w="4160" w:type="dxa"/>
            <w:vAlign w:val="bottom"/>
          </w:tcPr>
          <w:p>
            <w:pPr>
              <w:jc w:val="center"/>
              <w:ind w:left="1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On March 4, 2021, Larimar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announced its financial results and operational highlights for the fourth quarter of 2020 and for the year ended December 31, 2020. A copy of the press release is being furnished as Exhibit 99.1 to this Current Report on Form 8-K and is incorporated herein by reference.</w:t>
      </w:r>
    </w:p>
    <w:p>
      <w:pPr>
        <w:spacing w:after="0" w:line="184"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information in this Current Report on Form 8-K and Exhibit 99.1 attached hereto is intended to be furnished and shall not be deemed “filed” for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3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Below is a list of exhibits included with this Current Report on Form 8-K.</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Larimar Therapeutics, Inc. on March 4, 2021*</w:t>
        </w:r>
      </w:hyperlink>
    </w:p>
    <w:p>
      <w:pPr>
        <w:spacing w:after="0" w:line="23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Furnished herewith</w:t>
      </w:r>
    </w:p>
    <w:p>
      <w:pPr>
        <w:sectPr>
          <w:pgSz w:w="11900" w:h="16838" w:orient="portrait"/>
          <w:cols w:equalWidth="0" w:num="1">
            <w:col w:w="11004"/>
          </w:cols>
          <w:pgMar w:left="436" w:top="270"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Name: Carole S.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i w:val="1"/>
          <w:iCs w:val="1"/>
          <w:color w:val="auto"/>
        </w:rPr>
        <w:t>Title:</w:t>
        <w:tab/>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2021</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587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Reports Fourth Quarter and Full Year 2020 Operating and Financial Results</w:t>
      </w:r>
    </w:p>
    <w:p>
      <w:pPr>
        <w:spacing w:after="0" w:line="229" w:lineRule="exact"/>
        <w:rPr>
          <w:sz w:val="20"/>
          <w:szCs w:val="20"/>
          <w:color w:val="auto"/>
        </w:rPr>
      </w:pPr>
    </w:p>
    <w:p>
      <w:pPr>
        <w:ind w:left="220" w:hanging="106"/>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Reported preliminary Phase 1 findings from a Single Ascending Dose (SAD) trial that suggest single subcutaneous injections of CTI-1601 were well</w:t>
      </w:r>
    </w:p>
    <w:p>
      <w:pPr>
        <w:spacing w:after="0" w:line="46" w:lineRule="exact"/>
        <w:rPr>
          <w:rFonts w:ascii="Arial" w:cs="Arial" w:eastAsia="Arial" w:hAnsi="Arial"/>
          <w:sz w:val="16"/>
          <w:szCs w:val="16"/>
          <w:color w:val="auto"/>
        </w:rPr>
      </w:pPr>
    </w:p>
    <w:p>
      <w:pPr>
        <w:ind w:left="3080"/>
        <w:spacing w:after="0"/>
        <w:rPr>
          <w:rFonts w:ascii="Arial" w:cs="Arial" w:eastAsia="Arial" w:hAnsi="Arial"/>
          <w:sz w:val="16"/>
          <w:szCs w:val="16"/>
          <w:color w:val="auto"/>
        </w:rPr>
      </w:pPr>
      <w:r>
        <w:rPr>
          <w:rFonts w:ascii="Arial" w:cs="Arial" w:eastAsia="Arial" w:hAnsi="Arial"/>
          <w:sz w:val="18"/>
          <w:szCs w:val="18"/>
          <w:i w:val="1"/>
          <w:iCs w:val="1"/>
          <w:color w:val="auto"/>
        </w:rPr>
        <w:t>tolerated at doses up to 100 mg in Friedreich’s ataxia (FA) patients</w:t>
      </w:r>
    </w:p>
    <w:p>
      <w:pPr>
        <w:spacing w:after="0" w:line="210" w:lineRule="exact"/>
        <w:rPr>
          <w:rFonts w:ascii="Arial" w:cs="Arial" w:eastAsia="Arial" w:hAnsi="Arial"/>
          <w:sz w:val="16"/>
          <w:szCs w:val="16"/>
          <w:color w:val="auto"/>
        </w:rPr>
      </w:pPr>
    </w:p>
    <w:p>
      <w:pPr>
        <w:ind w:left="2220" w:hanging="106"/>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Placebo-controlled Phase 1 trials in FA patients remain on track for topline data in Q2 2021</w:t>
      </w:r>
    </w:p>
    <w:p>
      <w:pPr>
        <w:spacing w:after="0" w:line="225" w:lineRule="exact"/>
        <w:rPr>
          <w:rFonts w:ascii="Arial" w:cs="Arial" w:eastAsia="Arial" w:hAnsi="Arial"/>
          <w:sz w:val="18"/>
          <w:szCs w:val="18"/>
          <w:color w:val="auto"/>
        </w:rPr>
      </w:pPr>
    </w:p>
    <w:p>
      <w:pPr>
        <w:ind w:left="3260" w:hanging="112"/>
        <w:spacing w:after="0"/>
        <w:tabs>
          <w:tab w:leader="none" w:pos="3260" w:val="left"/>
        </w:tabs>
        <w:numPr>
          <w:ilvl w:val="2"/>
          <w:numId w:val="3"/>
        </w:numPr>
        <w:rPr>
          <w:rFonts w:ascii="Arial" w:cs="Arial" w:eastAsia="Arial" w:hAnsi="Arial"/>
          <w:sz w:val="18"/>
          <w:szCs w:val="18"/>
          <w:color w:val="auto"/>
        </w:rPr>
      </w:pPr>
      <w:r>
        <w:rPr>
          <w:rFonts w:ascii="Arial" w:cs="Arial" w:eastAsia="Arial" w:hAnsi="Arial"/>
          <w:sz w:val="18"/>
          <w:szCs w:val="18"/>
          <w:i w:val="1"/>
          <w:iCs w:val="1"/>
          <w:color w:val="auto"/>
        </w:rPr>
        <w:t>Cash and investments of $92.6 million as of December 31, 2020</w:t>
      </w:r>
    </w:p>
    <w:p>
      <w:pPr>
        <w:spacing w:after="0" w:line="221"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March 4, 2021 – Larimar Therapeutics, Inc. (“Larimar”) (Nasdaq: LRMR), a clinical-stage biotechnology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developing treatments for complex rare diseases, today reported its fourth quarter and full year 2020 operating and financial results.</w:t>
      </w:r>
    </w:p>
    <w:p>
      <w:pPr>
        <w:spacing w:after="0" w:line="12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“2020 was a transformational year for Larimar as we entered the public market, built a strong institutional shareholder base, and reported initial clinical findings in our lead Friedreich’s ataxia (FA) program,” said Carole Ben-Maimon</w:t>
      </w:r>
      <w:r>
        <w:rPr>
          <w:rFonts w:ascii="Arial" w:cs="Arial" w:eastAsia="Arial" w:hAnsi="Arial"/>
          <w:sz w:val="17"/>
          <w:szCs w:val="17"/>
          <w:b w:val="1"/>
          <w:bCs w:val="1"/>
          <w:color w:val="auto"/>
        </w:rPr>
        <w:t>,</w:t>
      </w:r>
      <w:r>
        <w:rPr>
          <w:rFonts w:ascii="Arial" w:cs="Arial" w:eastAsia="Arial" w:hAnsi="Arial"/>
          <w:sz w:val="17"/>
          <w:szCs w:val="17"/>
          <w:color w:val="auto"/>
        </w:rPr>
        <w:t xml:space="preserve"> MD, President and Chief Executive Officer of Larimar. “These accomplishments were enabled by the talent and commitment of our team, who successfully navigated the challenges of the pandemic to execute on our goals without compromising patient safety. We are thankful for their work and for the dedication of the patients who participated in our clinical trials and the Friedreich’s Ataxia Research Alliance, all of whom were key components of our recent progress.”</w:t>
      </w:r>
    </w:p>
    <w:p>
      <w:pPr>
        <w:spacing w:after="0" w:line="17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Dr. Ben-Maimon continued, “Looking ahead to 2021, we believe we are poised to achieve critical milestones in the development of CTI-1601 as a frataxin replacement therapy. We recently completed dosing of the third cohort in our placebo-controlled multiple-ascending dose (MAD) trial and expect to report topline data from both this study and our placebo-controlled single- ascending dose (SAD) study in the second quarter. These data will provide key insights into CTI-1601’s safety and tolerability, as well as into the frataxin levels achieved in patients administered CTI-1601 at the evaluated doses and dosing regimens. We remain on track to initiate our open-label extension, the JIVE trial, and a pediatric MAD trial in FA patients during the second half of the year, which will allow us to further advance CTI-1601’s development. We believe the sustained progress of these clinical programs, combined with the continued execution of our corporate milestones, will position us to generate stakeholder value as we advance toward our goal of addressing the unmet needs of FA patients.”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and Subsequent Highlights</w:t>
      </w:r>
    </w:p>
    <w:p>
      <w:pPr>
        <w:spacing w:after="0" w:line="135" w:lineRule="exact"/>
        <w:rPr>
          <w:sz w:val="20"/>
          <w:szCs w:val="20"/>
          <w:color w:val="auto"/>
        </w:rPr>
      </w:pPr>
    </w:p>
    <w:p>
      <w:pPr>
        <w:ind w:left="960" w:right="60" w:hanging="424"/>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May 2020, Larimar announced the completion of the reverse merger between Chondrial Therapeutics, Inc. and Zafgen, Inc. The combined, publicly traded clinical-stage biotechnology company began operating under the name Larimar Therapeutics, Inc. and its shares commenced trading on the Nasdaq Global Market on May 29, 2020, under the ticker symbol “LRMR.”</w:t>
      </w:r>
    </w:p>
    <w:p>
      <w:pPr>
        <w:sectPr>
          <w:pgSz w:w="11900" w:h="16838" w:orient="portrait"/>
          <w:cols w:equalWidth="0" w:num="1">
            <w:col w:w="11020"/>
          </w:cols>
          <w:pgMar w:left="440" w:top="121" w:right="439" w:bottom="1440" w:gutter="0" w:footer="0" w:header="0"/>
        </w:sectPr>
      </w:pPr>
    </w:p>
    <w:bookmarkStart w:id="4" w:name="page5"/>
    <w:bookmarkEnd w:id="4"/>
    <w:p>
      <w:pPr>
        <w:ind w:left="960" w:right="84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May 2020, Larimar completed a private placement of common stock and pre-funded warrants to purchase common stock for $80 million of gross proceeds before placement agent fees and expenses.</w:t>
      </w:r>
    </w:p>
    <w:p>
      <w:pPr>
        <w:spacing w:after="0" w:line="75" w:lineRule="exact"/>
        <w:rPr>
          <w:rFonts w:ascii="Arial" w:cs="Arial" w:eastAsia="Arial" w:hAnsi="Arial"/>
          <w:sz w:val="18"/>
          <w:szCs w:val="18"/>
          <w:color w:val="auto"/>
        </w:rPr>
      </w:pPr>
    </w:p>
    <w:p>
      <w:pPr>
        <w:ind w:left="960" w:right="30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August 2020, the European Commission granted an orphan drug designation for CTI-1601 for the treatment of FA. This designation complements previously received Orphan Drug, Fast Track, and Rare Pediatric Disease designations from the U.S. Food and Drug Administration.</w:t>
      </w:r>
    </w:p>
    <w:p>
      <w:pPr>
        <w:spacing w:after="0" w:line="89"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December 2020, Larimar announced the completion of dosing in its SAD clinical trial in FA patients. Preliminary data from the SAD trial suggest that single subcutaneous injections of CTI-1601 were well tolerated at doses up to 100 mg.</w:t>
      </w:r>
    </w:p>
    <w:p>
      <w:pPr>
        <w:spacing w:after="0" w:line="75"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Larimar recently completed dosing of the third cohort of its double-blind, placebo-controlled, MAD clinical trial. Topline data from both the SAD and MAD trials are expected in Q2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2020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had cash, cash equivalents, and marketable debt securities totaling $92.6 million.</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reported a net loss for the fourth quarter of 2020 of $14.2 million, or $0.89 per share, compared to a net loss of $6.1 million, or $1.00 per share, for the fourth quarter of 2019.</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for the fourth quarter of 2020 were $10.6 million compared to $5.4 million for the fourth quarter of 2019. The increase in research and development expenses compared to the prior year period was primarily driven by higher clinical supply manufacturing costs, an increase in clinical trial costs, an increase in personnel related costs due to headcount additions in our research and development functions and an increase in stock compensation expense associated with stock option grants made in 2020.</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General and administrative expenses for the fourth quarter of 2020 were $3.8 million, compared to $0.8 million for the fourth quarter of 2019. The increase in general and administrative expenses as compared to the prior year period was primarily driven by an increase in professional fees and insurance costs that are primarily due to the costs of operating as a public company, an increase in personnel related costs due to increased headcount, and an increase in stock-based compensation associated with stock option grants made in 2020.</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full year 2020, the Company reported a net loss of $42.5 million, or $3.57 per share, compared to a net loss of $23.1 million, or $3.80 per share for the same period in 2019.</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Research and development expenses for the full year 2020 were $31.4 million compared to $20.8 million for the same period in 2019. The increase in research and development expenses compared to the prior year period was primarily driven by higher clinical supply manufacturing costs, an increase in clinical trial costs, an increase in personnel related costs due to headcount additions in our research and development functions and an increase in stock compensation expense associated with stock option grants made in 2020 partially offset by a decrease in toxicology studies costs.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for the full year 2020 were $11.4 million, compared to $2.4 million for the same period in 2019. The increase in general and administrative expenses as compared to the prior year period was primarily driven by an increase in professional fees and insurance costs that are primarily due to the costs of operating as a public company, an increase in personnel related costs due to increased headcount, and an increase in stock-based compensation associated with stock option grants made in 2020.</w:t>
      </w:r>
    </w:p>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Larimar Therapeutics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Larimar Therapeutics, Inc. (Nasdaq: LRMR), is a clinical-stage biotechnology company focused on developing treatments for complex rare diseases. The company’s lead compound, CTI-1601, is currently being evaluated in a Phase 1 clinical program in the U.S. as a potential treatment for FA. Larimar also plans to use its intracellular delivery platform to design other fusion proteins to target additional rare diseases characterized by deficiencies in intracellular bioactive compounds. For more information, please visit: </w:t>
      </w:r>
      <w:r>
        <w:rPr>
          <w:rFonts w:ascii="Arial" w:cs="Arial" w:eastAsia="Arial" w:hAnsi="Arial"/>
          <w:sz w:val="18"/>
          <w:szCs w:val="18"/>
          <w:u w:val="single" w:color="auto"/>
          <w:color w:val="auto"/>
        </w:rPr>
        <w:t>https://larimartx.com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CTI-1601 and other planned product candidates, Larimar’s planned research and development efforts, and other matters regarding Larimar’s business strategies, use of capital, results of operations and financial position, and plans and objectives for future operations.</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studies and clinical trials, including CTI-1601 clinical milestones; the ongoing impact of the COVID-19 pandemic on Larimar’s clinical trial, manufacturing, regulatory and nonclinical study timelines, ability to raise additional capital and general economic conditions; Larimar’s ability to optimize and scale CTI-1601’s manufacturing process; Larimar’s ability to obtain regulatory approval for CTI-1601 and future product candidates; Larimar’s ability to develop sales and marketing capabilities, whether alone or with potential future collaborators, and successfully commercialize any approved product candidates; Larimar’s ability to raise the necessary capital to conduct its product development activities; and other risks described in the filings made by the Company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views as of the date hereof. Larimar undertakes no obligation to update any forward-looking statements for any reason, except as required by law.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4400" w:type="dxa"/>
            <w:vAlign w:val="bottom"/>
            <w:gridSpan w:val="2"/>
          </w:tcPr>
          <w:p>
            <w:pPr>
              <w:ind w:left="2620"/>
              <w:spacing w:after="0"/>
              <w:rPr>
                <w:sz w:val="20"/>
                <w:szCs w:val="20"/>
                <w:color w:val="auto"/>
              </w:rPr>
            </w:pPr>
            <w:r>
              <w:rPr>
                <w:rFonts w:ascii="Arial" w:cs="Arial" w:eastAsia="Arial" w:hAnsi="Arial"/>
                <w:sz w:val="18"/>
                <w:szCs w:val="18"/>
                <w:b w:val="1"/>
                <w:bCs w:val="1"/>
                <w:color w:val="auto"/>
              </w:rPr>
              <w:t>Company Contact:</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Joyce Allaire</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Michael Celano</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LifeSci Advisors</w:t>
            </w: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w w:val="99"/>
              </w:rPr>
              <w:t>Chief Financial Officer</w:t>
            </w:r>
          </w:p>
        </w:tc>
      </w:tr>
      <w:tr>
        <w:trPr>
          <w:trHeight w:val="190"/>
        </w:trPr>
        <w:tc>
          <w:tcPr>
            <w:tcW w:w="2060" w:type="dxa"/>
            <w:vAlign w:val="bottom"/>
          </w:tcPr>
          <w:p>
            <w:pPr>
              <w:spacing w:after="0" w:line="190" w:lineRule="exact"/>
              <w:rPr>
                <w:sz w:val="20"/>
                <w:szCs w:val="20"/>
                <w:color w:val="auto"/>
              </w:rPr>
            </w:pPr>
            <w:r>
              <w:rPr>
                <w:rFonts w:ascii="Arial" w:cs="Arial" w:eastAsia="Arial" w:hAnsi="Arial"/>
                <w:sz w:val="18"/>
                <w:szCs w:val="18"/>
                <w:color w:val="auto"/>
                <w:w w:val="92"/>
              </w:rPr>
              <w:t>jallaire@lifesciadvisors.com</w:t>
            </w:r>
          </w:p>
        </w:tc>
        <w:tc>
          <w:tcPr>
            <w:tcW w:w="2600" w:type="dxa"/>
            <w:vAlign w:val="bottom"/>
          </w:tcPr>
          <w:p>
            <w:pPr>
              <w:spacing w:after="0"/>
              <w:rPr>
                <w:sz w:val="16"/>
                <w:szCs w:val="16"/>
                <w:color w:val="auto"/>
              </w:rPr>
            </w:pPr>
          </w:p>
        </w:tc>
        <w:tc>
          <w:tcPr>
            <w:tcW w:w="4400" w:type="dxa"/>
            <w:vAlign w:val="bottom"/>
            <w:gridSpan w:val="2"/>
          </w:tcPr>
          <w:p>
            <w:pPr>
              <w:ind w:left="2620"/>
              <w:spacing w:after="0" w:line="190" w:lineRule="exact"/>
              <w:rPr>
                <w:sz w:val="20"/>
                <w:szCs w:val="20"/>
                <w:color w:val="auto"/>
              </w:rPr>
            </w:pPr>
            <w:r>
              <w:rPr>
                <w:rFonts w:ascii="Arial" w:cs="Arial" w:eastAsia="Arial" w:hAnsi="Arial"/>
                <w:sz w:val="18"/>
                <w:szCs w:val="18"/>
                <w:color w:val="auto"/>
                <w:w w:val="90"/>
              </w:rPr>
              <w:t>mcelano@larimartx.com</w:t>
            </w:r>
          </w:p>
        </w:tc>
      </w:tr>
      <w:tr>
        <w:trPr>
          <w:trHeight w:val="20"/>
        </w:trPr>
        <w:tc>
          <w:tcPr>
            <w:tcW w:w="20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237"/>
        </w:trPr>
        <w:tc>
          <w:tcPr>
            <w:tcW w:w="2060" w:type="dxa"/>
            <w:vAlign w:val="bottom"/>
          </w:tcPr>
          <w:p>
            <w:pPr>
              <w:spacing w:after="0"/>
              <w:rPr>
                <w:sz w:val="20"/>
                <w:szCs w:val="20"/>
                <w:color w:val="auto"/>
              </w:rPr>
            </w:pPr>
            <w:r>
              <w:rPr>
                <w:rFonts w:ascii="Arial" w:cs="Arial" w:eastAsia="Arial" w:hAnsi="Arial"/>
                <w:sz w:val="18"/>
                <w:szCs w:val="18"/>
                <w:color w:val="auto"/>
              </w:rPr>
              <w:t>(212) 915-2569</w:t>
            </w:r>
          </w:p>
        </w:tc>
        <w:tc>
          <w:tcPr>
            <w:tcW w:w="2600" w:type="dxa"/>
            <w:vAlign w:val="bottom"/>
          </w:tcPr>
          <w:p>
            <w:pPr>
              <w:spacing w:after="0"/>
              <w:rPr>
                <w:sz w:val="20"/>
                <w:szCs w:val="20"/>
                <w:color w:val="auto"/>
              </w:rPr>
            </w:pPr>
          </w:p>
        </w:tc>
        <w:tc>
          <w:tcPr>
            <w:tcW w:w="4400" w:type="dxa"/>
            <w:vAlign w:val="bottom"/>
            <w:gridSpan w:val="2"/>
          </w:tcPr>
          <w:p>
            <w:pPr>
              <w:ind w:left="2620"/>
              <w:spacing w:after="0"/>
              <w:rPr>
                <w:sz w:val="20"/>
                <w:szCs w:val="20"/>
                <w:color w:val="auto"/>
              </w:rPr>
            </w:pPr>
            <w:r>
              <w:rPr>
                <w:rFonts w:ascii="Arial" w:cs="Arial" w:eastAsia="Arial" w:hAnsi="Arial"/>
                <w:sz w:val="18"/>
                <w:szCs w:val="18"/>
                <w:color w:val="auto"/>
              </w:rPr>
              <w:t>(484) 414-2715</w:t>
            </w:r>
          </w:p>
        </w:tc>
      </w:tr>
    </w:tbl>
    <w:p>
      <w:pPr>
        <w:sectPr>
          <w:pgSz w:w="11900" w:h="16838" w:orient="portrait"/>
          <w:cols w:equalWidth="0" w:num="1">
            <w:col w:w="11000"/>
          </w:cols>
          <w:pgMar w:left="440" w:top="270" w:right="4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Larimar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68,148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Marketable debt securities</w:t>
            </w:r>
          </w:p>
        </w:tc>
        <w:tc>
          <w:tcPr>
            <w:tcW w:w="160" w:type="dxa"/>
            <w:vAlign w:val="bottom"/>
          </w:tcPr>
          <w:p>
            <w:pPr>
              <w:spacing w:after="0"/>
              <w:rPr>
                <w:sz w:val="18"/>
                <w:szCs w:val="18"/>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24,490</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97,952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3,936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w:t>
            </w:r>
          </w:p>
        </w:tc>
        <w:tc>
          <w:tcPr>
            <w:tcW w:w="5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2,634</w:t>
            </w:r>
          </w:p>
        </w:tc>
        <w:tc>
          <w:tcPr>
            <w:tcW w:w="4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w:t>
            </w:r>
          </w:p>
        </w:tc>
        <w:tc>
          <w:tcPr>
            <w:tcW w:w="5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14,994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Commitments and contingencies (See Note 9)</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20" w:type="dxa"/>
            <w:vAlign w:val="bottom"/>
          </w:tcPr>
          <w:p>
            <w:pPr>
              <w:ind w:left="360"/>
              <w:spacing w:after="0" w:line="201" w:lineRule="exact"/>
              <w:rPr>
                <w:sz w:val="20"/>
                <w:szCs w:val="20"/>
                <w:color w:val="auto"/>
              </w:rPr>
            </w:pPr>
            <w:r>
              <w:rPr>
                <w:rFonts w:ascii="Arial" w:cs="Arial" w:eastAsia="Arial" w:hAnsi="Arial"/>
                <w:sz w:val="18"/>
                <w:szCs w:val="18"/>
                <w:color w:val="auto"/>
              </w:rPr>
              <w:t>Preferred stock; $0.001 par value per share; 5,000,000 shares authorized as of December 31, 2020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540"/>
              <w:spacing w:after="0"/>
              <w:rPr>
                <w:sz w:val="20"/>
                <w:szCs w:val="20"/>
                <w:color w:val="auto"/>
              </w:rPr>
            </w:pPr>
            <w:r>
              <w:rPr>
                <w:rFonts w:ascii="Arial" w:cs="Arial" w:eastAsia="Arial" w:hAnsi="Arial"/>
                <w:sz w:val="18"/>
                <w:szCs w:val="18"/>
                <w:color w:val="auto"/>
                <w:w w:val="96"/>
              </w:rPr>
              <w:t>December 31, 2019; no shares issued and outstanding as of December 31, 2020 and December 31, 2019</w:t>
            </w:r>
          </w:p>
        </w:tc>
        <w:tc>
          <w:tcPr>
            <w:tcW w:w="160" w:type="dxa"/>
            <w:vAlign w:val="bottom"/>
          </w:tcPr>
          <w:p>
            <w:pPr>
              <w:spacing w:after="0"/>
              <w:rPr>
                <w:sz w:val="20"/>
                <w:szCs w:val="20"/>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Common stock, $0.001 par value per share; 115,000,000 shares authorized as of December 31, 2020 and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December 31, 2019; 15,367,730 and 6,091,250 shares issued and outstanding as of December 31, 2020 and</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2019, respectively</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155,290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22,432</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(65,614)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(23,132)</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Accumulated other comprehensive gain</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89,692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 (deficit)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104,686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Larimar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Three Months Ended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10,563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31,407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20,790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3,832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30"/>
        </w:trPr>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14,395</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(14,395)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(23,132)</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4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15,985,199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6,091,250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11,883,106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6,091,250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2021-03-04T06:32:07Z</dcterms:created>
  <dcterms:modified xsi:type="dcterms:W3CDTF">2021-03-04T06:32:07Z</dcterms:modified>
</cp:coreProperties>
</file>