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9, 2018</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6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200" w:space="720"/>
            <w:col w:w="3120"/>
          </w:cols>
          <w:pgMar w:left="440" w:top="229" w:right="419" w:bottom="63"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63"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Boston, Massachusetts 02114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40"/>
          </w:cols>
          <w:pgMar w:left="440" w:top="229" w:right="419" w:bottom="63"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 Non-Qualified Stock Option Agreements for Inducement Awards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Jeffrey S. Hatfield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Danielle M. Lauzon,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4540" w:type="dxa"/>
            <w:vAlign w:val="bottom"/>
            <w:tcBorders>
              <w:top w:val="single" w:sz="8" w:color="auto"/>
              <w:right w:val="single" w:sz="8" w:color="auto"/>
            </w:tcBorders>
          </w:tcPr>
          <w:p>
            <w:pPr>
              <w:spacing w:after="0"/>
              <w:rPr>
                <w:sz w:val="12"/>
                <w:szCs w:val="12"/>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0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6"/>
              </w:rPr>
              <w:t>Proposed</w:t>
            </w: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right w:val="single" w:sz="8" w:color="auto"/>
            </w:tcBorders>
            <w:vMerge w:val="restart"/>
          </w:tcPr>
          <w:p>
            <w:pPr>
              <w:jc w:val="right"/>
              <w:ind w:right="1662"/>
              <w:spacing w:after="0"/>
              <w:rPr>
                <w:sz w:val="20"/>
                <w:szCs w:val="20"/>
                <w:color w:val="auto"/>
              </w:rPr>
            </w:pPr>
            <w:r>
              <w:rPr>
                <w:rFonts w:ascii="Arial" w:cs="Arial" w:eastAsia="Arial" w:hAnsi="Arial"/>
                <w:sz w:val="14"/>
                <w:szCs w:val="14"/>
                <w:b w:val="1"/>
                <w:bCs w:val="1"/>
                <w:color w:val="auto"/>
              </w:rPr>
              <w:t>Title of Securities</w:t>
            </w:r>
          </w:p>
        </w:tc>
        <w:tc>
          <w:tcPr>
            <w:tcW w:w="19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40" w:type="dxa"/>
            <w:vAlign w:val="bottom"/>
            <w:tcBorders>
              <w:bottom w:val="single" w:sz="8" w:color="auto"/>
              <w:right w:val="single" w:sz="8" w:color="auto"/>
            </w:tcBorders>
          </w:tcPr>
          <w:p>
            <w:pPr>
              <w:jc w:val="right"/>
              <w:ind w:right="1722"/>
              <w:spacing w:after="0"/>
              <w:rPr>
                <w:sz w:val="20"/>
                <w:szCs w:val="20"/>
                <w:color w:val="auto"/>
              </w:rPr>
            </w:pPr>
            <w:r>
              <w:rPr>
                <w:rFonts w:ascii="Arial" w:cs="Arial" w:eastAsia="Arial" w:hAnsi="Arial"/>
                <w:sz w:val="14"/>
                <w:szCs w:val="14"/>
                <w:b w:val="1"/>
                <w:bCs w:val="1"/>
                <w:color w:val="auto"/>
              </w:rPr>
              <w:t>to be Registered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jc w:val="right"/>
              <w:ind w:right="1362"/>
              <w:spacing w:after="0"/>
              <w:rPr>
                <w:sz w:val="20"/>
                <w:szCs w:val="20"/>
                <w:color w:val="auto"/>
              </w:rPr>
            </w:pPr>
            <w:r>
              <w:rPr>
                <w:rFonts w:ascii="Arial" w:cs="Arial" w:eastAsia="Arial" w:hAnsi="Arial"/>
                <w:sz w:val="18"/>
                <w:szCs w:val="18"/>
                <w:color w:val="auto"/>
                <w:w w:val="88"/>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1,650,000 shares (2)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$3.40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$5,610,000 (4)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$679.93</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right w:val="single" w:sz="8" w:color="auto"/>
            </w:tcBorders>
            <w:gridSpan w:val="2"/>
          </w:tcPr>
          <w:p>
            <w:pPr>
              <w:jc w:val="right"/>
              <w:ind w:right="1362"/>
              <w:spacing w:after="0"/>
              <w:rPr>
                <w:sz w:val="20"/>
                <w:szCs w:val="20"/>
                <w:color w:val="auto"/>
              </w:rPr>
            </w:pPr>
            <w:r>
              <w:rPr>
                <w:rFonts w:ascii="Arial" w:cs="Arial" w:eastAsia="Arial" w:hAnsi="Arial"/>
                <w:sz w:val="18"/>
                <w:szCs w:val="18"/>
                <w:color w:val="auto"/>
                <w:w w:val="89"/>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225,000 shares (3)</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$6.46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$1,453,500 (4)</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$176.16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63" w:gutter="0" w:footer="0" w:header="0"/>
          <w:type w:val="continuous"/>
        </w:sectPr>
      </w:pPr>
    </w:p>
    <w:bookmarkStart w:id="1" w:name="page2"/>
    <w:bookmarkEnd w:id="1"/>
    <w:p>
      <w:pPr>
        <w:ind w:left="436" w:hanging="436"/>
        <w:spacing w:after="0" w:line="253"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on Form S-8 (this “Registration Statement”) shall also cover any additional shares of common stock, par value $0.001 per share (the “Common Stock”), of Zafgen, Inc. (the “Registrant”) that may from time to time be offered or issued by reason of any stock dividend, stock split, recapitalization or any other similar transaction effected without the receipt of consideration which results in an increase in the number of the Registrant’s outstanding shares of Common Stock.</w:t>
      </w:r>
    </w:p>
    <w:p>
      <w:pPr>
        <w:spacing w:after="0" w:line="3" w:lineRule="exact"/>
        <w:rPr>
          <w:rFonts w:ascii="Arial" w:cs="Arial" w:eastAsia="Arial" w:hAnsi="Arial"/>
          <w:sz w:val="18"/>
          <w:szCs w:val="18"/>
          <w:color w:val="auto"/>
        </w:rPr>
      </w:pPr>
    </w:p>
    <w:p>
      <w:pPr>
        <w:ind w:left="436" w:right="100" w:hanging="436"/>
        <w:spacing w:after="0" w:line="250"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Registrant’s Common Stock available for future issuance upon the exercise of stock option awards granted on October 9, 2017 outside of the Registrant’s employee equity compensation plans to certain individuals to induce such individuals to accept employment with the Registrant.</w:t>
      </w:r>
    </w:p>
    <w:p>
      <w:pPr>
        <w:spacing w:after="0" w:line="1" w:lineRule="exact"/>
        <w:rPr>
          <w:rFonts w:ascii="Arial" w:cs="Arial" w:eastAsia="Arial" w:hAnsi="Arial"/>
          <w:sz w:val="18"/>
          <w:szCs w:val="18"/>
          <w:color w:val="auto"/>
        </w:rPr>
      </w:pPr>
    </w:p>
    <w:p>
      <w:pPr>
        <w:ind w:left="436" w:right="100" w:hanging="436"/>
        <w:spacing w:after="0" w:line="250"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Registrant’s Common Stock available for future issuance upon the exercise of stock option awards granted on May 29, 2018 outside of the Registrant’s employee equity compensation plans to certain individuals to induce such individuals to accept employment with the Registrant.</w:t>
      </w:r>
    </w:p>
    <w:p>
      <w:pPr>
        <w:spacing w:after="0" w:line="1" w:lineRule="exact"/>
        <w:rPr>
          <w:rFonts w:ascii="Arial" w:cs="Arial" w:eastAsia="Arial" w:hAnsi="Arial"/>
          <w:sz w:val="18"/>
          <w:szCs w:val="18"/>
          <w:color w:val="auto"/>
        </w:rPr>
      </w:pPr>
    </w:p>
    <w:p>
      <w:pPr>
        <w:ind w:left="436" w:right="520" w:hanging="436"/>
        <w:spacing w:after="0" w:line="323"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457(h) under the Securities Act, the proposed maximum aggregate offering prices for the shares of the Registrant’s Common Stock have been computed based upon the prices at which the inducement options described above may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16"/>
          </w:cols>
          <w:pgMar w:left="444" w:top="13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Registration Statement on Form S-8 is being filed for the purpose of registering 1,875,000 shares of the Registrant’s Common Stock issuable under previously announced inducement stock option awards granted on October 9, 2017 and May 29, 2018.</w:t>
      </w:r>
    </w:p>
    <w:p>
      <w:pPr>
        <w:sectPr>
          <w:pgSz w:w="11900" w:h="16838" w:orient="portrait"/>
          <w:cols w:equalWidth="0" w:num="1">
            <w:col w:w="10960"/>
          </w:cols>
          <w:pgMar w:left="440" w:top="270" w:right="4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500" w:firstLine="881"/>
        <w:spacing w:after="0" w:line="308" w:lineRule="auto"/>
        <w:rPr>
          <w:sz w:val="20"/>
          <w:szCs w:val="20"/>
          <w:color w:val="auto"/>
        </w:rPr>
      </w:pPr>
      <w:r>
        <w:rPr>
          <w:rFonts w:ascii="Arial" w:cs="Arial" w:eastAsia="Arial" w:hAnsi="Arial"/>
          <w:sz w:val="17"/>
          <w:szCs w:val="17"/>
          <w:color w:val="auto"/>
        </w:rPr>
        <w:t>The information called for in Part I of Form S-8 is not being filed with or included in this Registration Statement (by incorporation by reference or otherwise) in accordance with the rules and regulations of the Securities and Exchange Commission (the “Commission”).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jc w:val="both"/>
        <w:ind w:right="200" w:firstLine="881"/>
        <w:spacing w:after="0" w:line="264" w:lineRule="auto"/>
        <w:rPr>
          <w:sz w:val="20"/>
          <w:szCs w:val="20"/>
          <w:color w:val="auto"/>
        </w:rPr>
      </w:pPr>
      <w:r>
        <w:rPr>
          <w:rFonts w:ascii="Arial" w:cs="Arial" w:eastAsia="Arial" w:hAnsi="Arial"/>
          <w:sz w:val="18"/>
          <w:szCs w:val="18"/>
          <w:color w:val="auto"/>
        </w:rPr>
        <w:t>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w:t>
      </w:r>
    </w:p>
    <w:p>
      <w:pPr>
        <w:spacing w:after="0" w:line="87"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for the year ended December 31, 2017, filed with the Commission on March 9, 2018.</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Proxy Statement on Schedule 14A, filed with the Commission on April 18, 2018.</w:t>
      </w:r>
    </w:p>
    <w:p>
      <w:pPr>
        <w:spacing w:after="0" w:line="130" w:lineRule="exact"/>
        <w:rPr>
          <w:rFonts w:ascii="Arial" w:cs="Arial" w:eastAsia="Arial" w:hAnsi="Arial"/>
          <w:sz w:val="18"/>
          <w:szCs w:val="18"/>
          <w:color w:val="auto"/>
        </w:rPr>
      </w:pPr>
    </w:p>
    <w:p>
      <w:pPr>
        <w:ind w:left="860" w:right="240" w:hanging="316"/>
        <w:spacing w:after="0" w:line="31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March 31, 2018, filed with the Commission on May 10, 2018, the Registrant’s Quarterly Report on Form 10-Q for the quarter ended June 30, 2018, filed with the Commission on August 9, 2018 and the Registrant’s Quarterly Report on Form 10-Q for the quarter ended September 30, 2018, filed with the Commission on November 9, 2018.</w:t>
      </w:r>
    </w:p>
    <w:p>
      <w:pPr>
        <w:spacing w:after="0" w:line="52" w:lineRule="exact"/>
        <w:rPr>
          <w:rFonts w:ascii="Arial" w:cs="Arial" w:eastAsia="Arial" w:hAnsi="Arial"/>
          <w:sz w:val="16"/>
          <w:szCs w:val="16"/>
          <w:color w:val="auto"/>
        </w:rPr>
      </w:pPr>
    </w:p>
    <w:p>
      <w:pPr>
        <w:ind w:left="860" w:right="24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January 5, 2018, May 30, 2018, June 7, 2018, June 28, 2018, and August 2, 2018.</w:t>
      </w:r>
    </w:p>
    <w:p>
      <w:pPr>
        <w:spacing w:after="0" w:line="75" w:lineRule="exact"/>
        <w:rPr>
          <w:rFonts w:ascii="Arial" w:cs="Arial" w:eastAsia="Arial" w:hAnsi="Arial"/>
          <w:sz w:val="18"/>
          <w:szCs w:val="18"/>
          <w:color w:val="auto"/>
        </w:rPr>
      </w:pPr>
    </w:p>
    <w:p>
      <w:pPr>
        <w:ind w:left="860" w:right="440" w:hanging="316"/>
        <w:spacing w:after="0" w:line="34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its Registration Statement on Form 8-A, filed with the Commission on June 18, 2014, and any amendment or report filed with the Commission for the purpose of updating the description.</w:t>
      </w:r>
    </w:p>
    <w:p>
      <w:pPr>
        <w:spacing w:after="0" w:line="124"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All documents subsequently filed by the Registrant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The Registrant is not, however, incorporating by reference any documents or portions thereof, whether specifically listed above or filed in the future, that are not deemed “filed” with the Commission, including the Registrant’s Compensation Committee report and performance graph or any information furnished pursuant to Items 2.02 or 7.01 of Form 8-K or related exhibits furnished pursuant to Item 9.01 of Form 8-K.</w:t>
      </w:r>
    </w:p>
    <w:p>
      <w:pPr>
        <w:spacing w:after="0" w:line="189" w:lineRule="exact"/>
        <w:rPr>
          <w:sz w:val="20"/>
          <w:szCs w:val="20"/>
          <w:color w:val="auto"/>
        </w:rPr>
      </w:pPr>
    </w:p>
    <w:p>
      <w:pPr>
        <w:ind w:right="60" w:firstLine="881"/>
        <w:spacing w:after="0" w:line="255"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Under no circumstances will any information furnished under Items 2.02 or 7.01 of Form 8-K be deemed incorporated herein by reference unless such Current Report on Form 8-K expressly provides to the contrary.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0" w:firstLine="881"/>
        <w:spacing w:after="0" w:line="342" w:lineRule="auto"/>
        <w:rPr>
          <w:sz w:val="20"/>
          <w:szCs w:val="20"/>
          <w:color w:val="auto"/>
        </w:rPr>
      </w:pPr>
      <w:r>
        <w:rPr>
          <w:rFonts w:ascii="Arial" w:cs="Arial" w:eastAsia="Arial" w:hAnsi="Arial"/>
          <w:sz w:val="16"/>
          <w:szCs w:val="16"/>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w:t>
      </w:r>
    </w:p>
    <w:p>
      <w:pPr>
        <w:spacing w:after="0" w:line="124" w:lineRule="exact"/>
        <w:rPr>
          <w:sz w:val="20"/>
          <w:szCs w:val="20"/>
          <w:color w:val="auto"/>
        </w:rPr>
      </w:pPr>
    </w:p>
    <w:p>
      <w:pPr>
        <w:ind w:right="680" w:firstLine="881"/>
        <w:spacing w:after="0" w:line="277" w:lineRule="auto"/>
        <w:rPr>
          <w:sz w:val="20"/>
          <w:szCs w:val="20"/>
          <w:color w:val="auto"/>
        </w:rPr>
      </w:pPr>
      <w:r>
        <w:rPr>
          <w:rFonts w:ascii="Arial" w:cs="Arial" w:eastAsia="Arial" w:hAnsi="Arial"/>
          <w:sz w:val="18"/>
          <w:szCs w:val="18"/>
          <w:color w:val="auto"/>
        </w:rPr>
        <w:t>The Registrant’s amended and restated certificate of incorporation provides for the indemnification of directors to the fullest extent permissible under Delaware law.</w:t>
      </w:r>
    </w:p>
    <w:p>
      <w:pPr>
        <w:spacing w:after="0" w:line="170" w:lineRule="exact"/>
        <w:rPr>
          <w:sz w:val="20"/>
          <w:szCs w:val="20"/>
          <w:color w:val="auto"/>
        </w:rPr>
      </w:pPr>
    </w:p>
    <w:p>
      <w:pPr>
        <w:ind w:right="140" w:firstLine="881"/>
        <w:spacing w:after="0" w:line="286" w:lineRule="auto"/>
        <w:rPr>
          <w:sz w:val="20"/>
          <w:szCs w:val="20"/>
          <w:color w:val="auto"/>
        </w:rPr>
      </w:pPr>
      <w:r>
        <w:rPr>
          <w:rFonts w:ascii="Arial" w:cs="Arial" w:eastAsia="Arial" w:hAnsi="Arial"/>
          <w:sz w:val="17"/>
          <w:szCs w:val="17"/>
          <w:color w:val="auto"/>
        </w:rPr>
        <w:t>The Registrant’s amended and restated by-laws provide for the indemnification of officers, directors and third parties acting on the Registrant’s behalf if such persons act in good faith and in a manner reasonably believed to be in and not opposed to the Registrant’s best interest, and, with respect to any criminal action or proceeding, such indemnified party had no reason to believe his or her conduct was unlawful.</w:t>
      </w:r>
    </w:p>
    <w:p>
      <w:pPr>
        <w:spacing w:after="0" w:line="166" w:lineRule="exact"/>
        <w:rPr>
          <w:sz w:val="20"/>
          <w:szCs w:val="20"/>
          <w:color w:val="auto"/>
        </w:rPr>
      </w:pPr>
    </w:p>
    <w:p>
      <w:pPr>
        <w:ind w:right="400" w:firstLine="881"/>
        <w:spacing w:after="0" w:line="302" w:lineRule="auto"/>
        <w:rPr>
          <w:sz w:val="20"/>
          <w:szCs w:val="20"/>
          <w:color w:val="auto"/>
        </w:rPr>
      </w:pPr>
      <w:r>
        <w:rPr>
          <w:rFonts w:ascii="Arial" w:cs="Arial" w:eastAsia="Arial" w:hAnsi="Arial"/>
          <w:sz w:val="16"/>
          <w:szCs w:val="16"/>
          <w:color w:val="auto"/>
        </w:rPr>
        <w:t>The Registrant has entered into indemnification agreements with each of its directors and executive officers, in addition to the indemnification provisions provided for in its charter documents, and the Registrant intends to enter into indemnification agreements with any new directors and executive officers in the future. These agreements provide for indemnification for all reasonable expenses and liabilities incurred in connection with any action or proceeding brought against them by reason of the fact that they are or were agents of the Registrant.</w:t>
      </w:r>
    </w:p>
    <w:p>
      <w:pPr>
        <w:spacing w:after="0" w:line="154"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The Registrant has purchased and maintains insurance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Exhibit Index preceding the exhibits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860" w:hanging="425"/>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860" w:hanging="425"/>
        <w:spacing w:after="0" w:line="312" w:lineRule="auto"/>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1860"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4" w:lineRule="exact"/>
        <w:rPr>
          <w:sz w:val="20"/>
          <w:szCs w:val="20"/>
          <w:color w:val="auto"/>
        </w:rPr>
      </w:pPr>
    </w:p>
    <w:p>
      <w:pPr>
        <w:ind w:left="1860" w:right="640" w:hanging="425"/>
        <w:spacing w:after="0" w:line="277" w:lineRule="auto"/>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provided, however, that paragraphs (1)(i) and (1)(ii)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7" w:lineRule="exact"/>
        <w:rPr>
          <w:sz w:val="20"/>
          <w:szCs w:val="20"/>
          <w:color w:val="auto"/>
        </w:rPr>
      </w:pPr>
    </w:p>
    <w:p>
      <w:pPr>
        <w:jc w:val="both"/>
        <w:ind w:left="860" w:hanging="424"/>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120" w:firstLine="881"/>
        <w:spacing w:after="0" w:line="257" w:lineRule="auto"/>
        <w:rPr>
          <w:sz w:val="20"/>
          <w:szCs w:val="20"/>
          <w:color w:val="auto"/>
        </w:rPr>
      </w:pPr>
      <w:r>
        <w:rPr>
          <w:rFonts w:ascii="Arial" w:cs="Arial" w:eastAsia="Arial" w:hAnsi="Arial"/>
          <w:sz w:val="18"/>
          <w:szCs w:val="18"/>
          <w:color w:val="auto"/>
        </w:rPr>
        <w:t>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directors, officers and controlling persons of the Registrant pursuant to the provisions described in Item 6 hereof,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0" w:type="dxa"/>
            <w:vAlign w:val="bottom"/>
            <w:gridSpan w:val="12"/>
          </w:tcPr>
          <w:p>
            <w:pPr>
              <w:ind w:left="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20" w:type="dxa"/>
            <w:vAlign w:val="bottom"/>
            <w:gridSpan w:val="11"/>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7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Form of Common Stock certificate of the Registrant (incorporated by reference to Exhibit 4.1 to the Registrant’s Registration Statement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Form S-1, as amended (File No. 333-195391)).</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Ninth Amended and Restated Certificate of Incorporation of the Registrant, as currently in effect (incorporated by reference to Exhibit 3.1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of the Registrant’s Form 8-K filed on June 24, 2014 (File No. 001-36510)).</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Amended and Restated By-laws of the Registrant, as currently in effect (incorporated by reference to Exhibit 3.2 of the Registrant’s Form</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8-K filed on June 24, 2014 (File No. 001-36510)).</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Third Amended and Restated Investors’ Rights Agreement by and among the Registrant and certain of its stockholders, dated as of</w:t>
              </w:r>
            </w:hyperlink>
          </w:p>
        </w:tc>
        <w:tc>
          <w:tcPr>
            <w:tcW w:w="5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November 25, 2013 (incorporated by reference to Exhibit 4.2 to the Registrant’s Registration Statement on Form S-1, as amended (File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No. 333-195391)).</w:t>
              </w:r>
            </w:hyperlink>
          </w:p>
        </w:tc>
        <w:tc>
          <w:tcPr>
            <w:tcW w:w="8380" w:type="dxa"/>
            <w:vAlign w:val="bottom"/>
            <w:tcBorders>
              <w:top w:val="single" w:sz="8" w:color="0000EE"/>
            </w:tcBorders>
            <w:gridSpan w:val="12"/>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rPr>
              <w:t>5.1*</w:t>
            </w:r>
          </w:p>
        </w:tc>
        <w:tc>
          <w:tcPr>
            <w:tcW w:w="10020" w:type="dxa"/>
            <w:vAlign w:val="bottom"/>
            <w:gridSpan w:val="18"/>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980" w:type="dxa"/>
            <w:vAlign w:val="bottom"/>
            <w:gridSpan w:val="3"/>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w w:val="90"/>
              </w:rPr>
              <w:t>23.1*</w:t>
            </w:r>
          </w:p>
        </w:tc>
        <w:tc>
          <w:tcPr>
            <w:tcW w:w="10020" w:type="dxa"/>
            <w:vAlign w:val="bottom"/>
            <w:gridSpan w:val="18"/>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304"/>
        </w:trPr>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w w:val="90"/>
              </w:rPr>
              <w:t>23.2*</w:t>
            </w:r>
          </w:p>
        </w:tc>
        <w:tc>
          <w:tcPr>
            <w:tcW w:w="43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Goodwin Procter LLP (included in Exhibit 5.1).</w:t>
            </w:r>
          </w:p>
        </w:tc>
        <w:tc>
          <w:tcPr>
            <w:tcW w:w="2120" w:type="dxa"/>
            <w:vAlign w:val="bottom"/>
            <w:tcBorders>
              <w:top w:val="single" w:sz="8" w:color="0000EE"/>
            </w:tcBorders>
            <w:gridSpan w:val="4"/>
          </w:tcPr>
          <w:p>
            <w:pPr>
              <w:spacing w:after="0"/>
              <w:rPr>
                <w:sz w:val="24"/>
                <w:szCs w:val="24"/>
                <w:color w:val="auto"/>
              </w:rPr>
            </w:pPr>
          </w:p>
        </w:tc>
        <w:tc>
          <w:tcPr>
            <w:tcW w:w="3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gridSpan w:val="3"/>
          </w:tcPr>
          <w:p>
            <w:pPr>
              <w:jc w:val="right"/>
              <w:ind w:right="580"/>
              <w:spacing w:after="0"/>
              <w:rPr>
                <w:sz w:val="20"/>
                <w:szCs w:val="20"/>
                <w:color w:val="auto"/>
              </w:rPr>
            </w:pPr>
            <w:r>
              <w:rPr>
                <w:rFonts w:ascii="Arial" w:cs="Arial" w:eastAsia="Arial" w:hAnsi="Arial"/>
                <w:sz w:val="18"/>
                <w:szCs w:val="18"/>
                <w:color w:val="auto"/>
                <w:w w:val="90"/>
              </w:rPr>
              <w:t>24.1*</w:t>
            </w:r>
          </w:p>
        </w:tc>
        <w:tc>
          <w:tcPr>
            <w:tcW w:w="100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99.1</w:t>
            </w:r>
          </w:p>
        </w:tc>
        <w:tc>
          <w:tcPr>
            <w:tcW w:w="64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Non-Qualified Stock Option Agreement Inducement Award by and between Registrant and Jeffrey S. Hatfield granted on October 9, 2017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(incorporated by reference to Exhibit 10.23 to the Registrant’s Annual Report on Form 10-K for the fiscal year ended December 31, 2017,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filed on March 9, 2018 (File No. 001-36510)).</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99.2</w:t>
            </w:r>
          </w:p>
        </w:tc>
        <w:tc>
          <w:tcPr>
            <w:tcW w:w="64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Non-Qualified Stock Option Agreement Inducement Award by and between Registrant and Jeffrey S. Hatfield granted on October 9, 2017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(incorporated by reference to Exhibit 10.24 to the Registrant’s Annual Report on Form 10-K for the fiscal year ended December 31, 2017,</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filed on March 9, 2018 (File No. 001-36510)).</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99.3</w:t>
            </w:r>
          </w:p>
        </w:tc>
        <w:tc>
          <w:tcPr>
            <w:tcW w:w="64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Non-Qualified Stock Option Agreement Inducement Award by and between Registrant and Brian P. McVeigh granted on May 29, 2018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9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20" w:type="dxa"/>
            <w:vAlign w:val="bottom"/>
            <w:gridSpan w:val="18"/>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(incorporated by reference to Exhibit 10.3 to the Registrant’s Quarterly Report on Form 10-Q for the quarter ended June 30, 2018, filed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August 9, 2018 (File No. 001-36510)).</w:t>
              </w:r>
            </w:hyperlink>
          </w:p>
        </w:tc>
        <w:tc>
          <w:tcPr>
            <w:tcW w:w="718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9 day of November, 2018.</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Jeffrey Hatfield and Patricia L. Allen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tcPr>
          <w:p>
            <w:pPr>
              <w:ind w:left="2420"/>
              <w:spacing w:after="0"/>
              <w:rPr>
                <w:sz w:val="20"/>
                <w:szCs w:val="20"/>
                <w:color w:val="auto"/>
              </w:rPr>
            </w:pPr>
            <w:r>
              <w:rPr>
                <w:rFonts w:ascii="Arial" w:cs="Arial" w:eastAsia="Arial" w:hAnsi="Arial"/>
                <w:sz w:val="14"/>
                <w:szCs w:val="14"/>
                <w:b w:val="1"/>
                <w:bCs w:val="1"/>
                <w:color w:val="auto"/>
              </w:rPr>
              <w:t>Title</w:t>
            </w:r>
          </w:p>
        </w:tc>
        <w:tc>
          <w:tcPr>
            <w:tcW w:w="2360" w:type="dxa"/>
            <w:vAlign w:val="bottom"/>
          </w:tcPr>
          <w:p>
            <w:pPr>
              <w:jc w:val="center"/>
              <w:ind w:left="9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20" w:type="dxa"/>
            <w:vAlign w:val="bottom"/>
            <w:gridSpan w:val="2"/>
          </w:tcPr>
          <w:p>
            <w:pPr>
              <w:spacing w:after="0"/>
              <w:rPr>
                <w:sz w:val="20"/>
                <w:szCs w:val="20"/>
                <w:color w:val="auto"/>
              </w:rPr>
            </w:pPr>
            <w:r>
              <w:rPr>
                <w:rFonts w:ascii="Arial" w:cs="Arial" w:eastAsia="Arial" w:hAnsi="Arial"/>
                <w:sz w:val="18"/>
                <w:szCs w:val="18"/>
                <w:color w:val="auto"/>
              </w:rPr>
              <w:t>/s/ Jeffrey S. Hatfield</w:t>
            </w:r>
          </w:p>
        </w:tc>
        <w:tc>
          <w:tcPr>
            <w:tcW w:w="438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Jeffrey S. Hatfield</w:t>
            </w: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Patricia L. Allen</w:t>
            </w:r>
          </w:p>
        </w:tc>
        <w:tc>
          <w:tcPr>
            <w:tcW w:w="43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Patricia L. Allen</w:t>
            </w: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Peter Barrett</w:t>
            </w:r>
          </w:p>
        </w:tc>
        <w:tc>
          <w:tcPr>
            <w:tcW w:w="438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Peter Barrett, Ph.D.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Thomas O. Daniel</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Thomas O. Daniel, M.D.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Wendy Everett</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Wendy Everett, Sc.D.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John L. LaMattina</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John L. LaMattina, Ph.D.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Cameron Geoffrey McDonough</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Robert J. Perez</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Robert J. Perez</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120" w:type="dxa"/>
            <w:vAlign w:val="bottom"/>
            <w:gridSpan w:val="2"/>
          </w:tcPr>
          <w:p>
            <w:pPr>
              <w:spacing w:after="0"/>
              <w:rPr>
                <w:sz w:val="20"/>
                <w:szCs w:val="20"/>
                <w:color w:val="auto"/>
              </w:rPr>
            </w:pPr>
            <w:r>
              <w:rPr>
                <w:rFonts w:ascii="Arial" w:cs="Arial" w:eastAsia="Arial" w:hAnsi="Arial"/>
                <w:sz w:val="18"/>
                <w:szCs w:val="18"/>
                <w:color w:val="auto"/>
              </w:rPr>
              <w:t>/s/ Frank E. Thomas</w:t>
            </w:r>
          </w:p>
        </w:tc>
        <w:tc>
          <w:tcPr>
            <w:tcW w:w="43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ind w:left="932"/>
              <w:spacing w:after="0"/>
              <w:rPr>
                <w:sz w:val="20"/>
                <w:szCs w:val="20"/>
                <w:color w:val="auto"/>
              </w:rPr>
            </w:pPr>
            <w:r>
              <w:rPr>
                <w:rFonts w:ascii="Arial" w:cs="Arial" w:eastAsia="Arial" w:hAnsi="Arial"/>
                <w:sz w:val="18"/>
                <w:szCs w:val="18"/>
                <w:color w:val="auto"/>
                <w:w w:val="90"/>
              </w:rPr>
              <w:t>November 9, 2018</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Frank E. Thomas</w:t>
            </w:r>
          </w:p>
        </w:tc>
        <w:tc>
          <w:tcPr>
            <w:tcW w:w="43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8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80" w:type="dxa"/>
            <w:vAlign w:val="bottom"/>
          </w:tcPr>
          <w:p>
            <w:pPr>
              <w:ind w:left="1340"/>
              <w:spacing w:after="0"/>
              <w:rPr>
                <w:sz w:val="20"/>
                <w:szCs w:val="20"/>
                <w:color w:val="auto"/>
              </w:rPr>
            </w:pPr>
            <w:r>
              <w:rPr>
                <w:rFonts w:ascii="Arial" w:cs="Arial" w:eastAsia="Arial" w:hAnsi="Arial"/>
                <w:sz w:val="18"/>
                <w:szCs w:val="18"/>
                <w:color w:val="auto"/>
              </w:rPr>
              <w:t>5</w:t>
            </w:r>
          </w:p>
        </w:tc>
        <w:tc>
          <w:tcPr>
            <w:tcW w:w="236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175 Portland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1,875,000 shares (the “Shares”) of Common Stock, $0.001 par value per share, of Zafgen, Inc., a Delaware corporation (the “Company”), that may be issued pursuant to Inducement Stock Option Agreements, between the Company and certain of its employees, for awards granted on October 9, 2017 and May 29, 2018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8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Awards,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Zafgen, Inc. of our report dated March 9, 2018 relating to the financial statements, which appears in Zafgen, Inc.’s Annual Report on Form 10-K for the year ended December 31, 2017.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Roman"/>
      <w:start w:val="1"/>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21" Type="http://schemas.openxmlformats.org/officeDocument/2006/relationships/hyperlink" Target="http://www.sec.gov/Archives/edgar/data/1374690/000119312514222253/d642727dex41.htm" TargetMode="External"/><Relationship Id="rId22" Type="http://schemas.openxmlformats.org/officeDocument/2006/relationships/hyperlink" Target="http://www.sec.gov/Archives/edgar/data/1374690/000119312514247362/d747935dex31.htm" TargetMode="External"/><Relationship Id="rId23" Type="http://schemas.openxmlformats.org/officeDocument/2006/relationships/hyperlink" Target="http://www.sec.gov/Archives/edgar/data/1374690/000119312514247362/d747935dex32.htm" TargetMode="External"/><Relationship Id="rId24" Type="http://schemas.openxmlformats.org/officeDocument/2006/relationships/hyperlink" Target="http://www.sec.gov/Archives/edgar/data/1374690/000119312514149201/d642727dex42.htm" TargetMode="External"/><Relationship Id="rId25" Type="http://schemas.openxmlformats.org/officeDocument/2006/relationships/hyperlink" Target="http://www.sec.gov/Archives/edgar/data/1374690/000119312518077456/d537290dex1023.htm" TargetMode="External"/><Relationship Id="rId26" Type="http://schemas.openxmlformats.org/officeDocument/2006/relationships/hyperlink" Target="http://www.sec.gov/Archives/edgar/data/1374690/000119312518077456/d537290dex1024.htm" TargetMode="External"/><Relationship Id="rId27" Type="http://schemas.openxmlformats.org/officeDocument/2006/relationships/hyperlink" Target="http://www.sec.gov/Archives/edgar/data/1374690/000119312518244422/d58525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2019-12-07T06:18:12Z</dcterms:created>
  <dcterms:modified xsi:type="dcterms:W3CDTF">2019-12-07T06:18:12Z</dcterms:modified>
</cp:coreProperties>
</file>