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January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187960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Larimar Therapeutics,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305" w:type="dxa"/>
        <w:tblCellMar>
          <w:top w:w="0" w:type="dxa"/>
          <w:left w:w="0" w:type="dxa"/>
          <w:bottom w:w="0" w:type="dxa"/>
          <w:right w:w="0" w:type="dxa"/>
        </w:tblCellMar>
      </w:tblPr>
      <w:tr>
        <w:trPr>
          <w:trHeight w:val="19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6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001-36510</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20-3857670</w:t>
            </w:r>
          </w:p>
        </w:tc>
      </w:tr>
      <w:tr>
        <w:trPr>
          <w:trHeight w:val="130"/>
        </w:trPr>
        <w:tc>
          <w:tcPr>
            <w:tcW w:w="2840" w:type="dxa"/>
            <w:vAlign w:val="bottom"/>
          </w:tcPr>
          <w:p>
            <w:pPr>
              <w:jc w:val="center"/>
              <w:ind w:right="771"/>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260" w:type="dxa"/>
            <w:vAlign w:val="bottom"/>
          </w:tcPr>
          <w:p>
            <w:pPr>
              <w:jc w:val="center"/>
              <w:ind w:right="21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48"/>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6"/>
                <w:szCs w:val="16"/>
                <w:b w:val="1"/>
                <w:bCs w:val="1"/>
                <w:color w:val="auto"/>
                <w:w w:val="98"/>
              </w:rPr>
              <w:t>Three Bala Plaza East</w:t>
            </w:r>
          </w:p>
        </w:tc>
        <w:tc>
          <w:tcPr>
            <w:tcW w:w="3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9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Bala Cynwyd, Pennsylvania</w:t>
            </w:r>
          </w:p>
        </w:tc>
        <w:tc>
          <w:tcPr>
            <w:tcW w:w="3260" w:type="dxa"/>
            <w:vAlign w:val="bottom"/>
          </w:tcPr>
          <w:p>
            <w:pPr>
              <w:spacing w:after="0"/>
              <w:rPr>
                <w:sz w:val="16"/>
                <w:szCs w:val="16"/>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19004</w:t>
            </w:r>
          </w:p>
        </w:tc>
      </w:tr>
      <w:tr>
        <w:trPr>
          <w:trHeight w:val="155"/>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59"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(844) 511-9056</w:t>
      </w:r>
    </w:p>
    <w:p>
      <w:pPr>
        <w:spacing w:after="0" w:line="200" w:lineRule="exact"/>
        <w:rPr>
          <w:sz w:val="24"/>
          <w:szCs w:val="24"/>
          <w:color w:val="auto"/>
        </w:rPr>
      </w:pPr>
    </w:p>
    <w:p>
      <w:pPr>
        <w:spacing w:after="0" w:line="331"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220980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00"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tbl>
      <w:tblPr>
        <w:tblLayout w:type="fixed"/>
        <w:tblInd w:w="5" w:type="dxa"/>
        <w:tblCellMar>
          <w:top w:w="0" w:type="dxa"/>
          <w:left w:w="0" w:type="dxa"/>
          <w:bottom w:w="0" w:type="dxa"/>
          <w:right w:w="0" w:type="dxa"/>
        </w:tblCellMar>
      </w:tblPr>
      <w:tr>
        <w:trPr>
          <w:trHeight w:val="208"/>
        </w:trPr>
        <w:tc>
          <w:tcPr>
            <w:tcW w:w="3600" w:type="dxa"/>
            <w:vAlign w:val="bottom"/>
          </w:tcPr>
          <w:p>
            <w:pPr>
              <w:spacing w:after="0"/>
              <w:rPr>
                <w:sz w:val="18"/>
                <w:szCs w:val="18"/>
                <w:color w:val="auto"/>
              </w:rPr>
            </w:pPr>
          </w:p>
        </w:tc>
        <w:tc>
          <w:tcPr>
            <w:tcW w:w="766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312"/>
        </w:trPr>
        <w:tc>
          <w:tcPr>
            <w:tcW w:w="3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2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208"/>
        </w:trPr>
        <w:tc>
          <w:tcPr>
            <w:tcW w:w="3600" w:type="dxa"/>
            <w:vAlign w:val="bottom"/>
            <w:tcBorders>
              <w:bottom w:val="single" w:sz="8" w:color="auto"/>
            </w:tcBorders>
          </w:tcPr>
          <w:p>
            <w:pPr>
              <w:jc w:val="center"/>
              <w:ind w:left="581"/>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98"/>
        </w:trPr>
        <w:tc>
          <w:tcPr>
            <w:tcW w:w="3600" w:type="dxa"/>
            <w:vAlign w:val="bottom"/>
          </w:tcPr>
          <w:p>
            <w:pPr>
              <w:jc w:val="center"/>
              <w:ind w:left="581"/>
              <w:spacing w:after="0"/>
              <w:rPr>
                <w:sz w:val="20"/>
                <w:szCs w:val="20"/>
                <w:color w:val="auto"/>
              </w:rPr>
            </w:pPr>
            <w:r>
              <w:rPr>
                <w:rFonts w:ascii="Times New Roman" w:cs="Times New Roman" w:eastAsia="Times New Roman" w:hAnsi="Times New Roman"/>
                <w:sz w:val="16"/>
                <w:szCs w:val="16"/>
                <w:color w:val="auto"/>
                <w:w w:val="98"/>
              </w:rPr>
              <w:t>Common Stock, par value $0.001 per share</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LRMR</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Nasdaq Global Market</w:t>
            </w:r>
          </w:p>
        </w:tc>
      </w:tr>
    </w:tbl>
    <w:p>
      <w:pPr>
        <w:spacing w:after="0" w:line="155"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5" w:right="30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535305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1265"/>
          </w:cols>
          <w:pgMar w:left="315" w:top="1079" w:right="319" w:bottom="1440" w:gutter="0" w:footer="0" w:header="0"/>
        </w:sectPr>
      </w:pPr>
    </w:p>
    <w:bookmarkStart w:id="1" w:name="page2"/>
    <w:bookmarkEnd w:id="1"/>
    <w:p>
      <w:pPr>
        <w:ind w:left="5"/>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98" w:lineRule="exact"/>
        <w:rPr>
          <w:sz w:val="20"/>
          <w:szCs w:val="20"/>
          <w:color w:val="auto"/>
        </w:rPr>
      </w:pPr>
    </w:p>
    <w:p>
      <w:pPr>
        <w:ind w:left="5" w:right="40"/>
        <w:spacing w:after="0" w:line="251" w:lineRule="auto"/>
        <w:rPr>
          <w:sz w:val="20"/>
          <w:szCs w:val="20"/>
          <w:color w:val="auto"/>
        </w:rPr>
      </w:pPr>
      <w:r>
        <w:rPr>
          <w:rFonts w:ascii="Times New Roman" w:cs="Times New Roman" w:eastAsia="Times New Roman" w:hAnsi="Times New Roman"/>
          <w:sz w:val="16"/>
          <w:szCs w:val="16"/>
          <w:color w:val="auto"/>
        </w:rPr>
        <w:t>On January 12, 2026, Larimar Therapeutics, Inc.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disclosed in an updated slide presentation, posted on its website, that, as of December 31, 2025, the Company had approximately $136.9 million of cash, cash equivalents and marketable securities. The Company has not yet completed its quarter-end or year-end financial close processes for the quarter and year ended December 31, 2025. This unaudited, preliminary amount has been prepared by and is the responsibility of management. This amount is based upon information available to management as of the date of this Current Report on Form 8-K and subject to completion of financial closing procedures that could result in changes to the amount. Furthermore, this amount does not present all information necessary for an understanding of the Company’s financial condition as of December 31, 2025. The Company’s independent registered public accounting firm, PricewaterhouseCoopers LLP, has not audited, reviewed, compiled or performed any procedures with respect to this preliminary financial data and, accordingly, PricewaterhouseCoopers LLP does not express an opinion or any other form of assurance with respect thereto. The Company’s actual results for the year ended December 31, 2025 will be included in the Company’s Annual Report on Form 10-K for the year ended December 31, 2025 and may differ materially from the above estimate.</w:t>
      </w:r>
    </w:p>
    <w:p>
      <w:pPr>
        <w:spacing w:after="0" w:line="164" w:lineRule="exact"/>
        <w:rPr>
          <w:sz w:val="20"/>
          <w:szCs w:val="20"/>
          <w:color w:val="auto"/>
        </w:rPr>
      </w:pPr>
    </w:p>
    <w:p>
      <w:pPr>
        <w:ind w:left="5" w:right="160"/>
        <w:spacing w:after="0" w:line="261" w:lineRule="auto"/>
        <w:rPr>
          <w:sz w:val="20"/>
          <w:szCs w:val="20"/>
          <w:color w:val="auto"/>
        </w:rPr>
      </w:pPr>
      <w:r>
        <w:rPr>
          <w:rFonts w:ascii="Times New Roman" w:cs="Times New Roman" w:eastAsia="Times New Roman" w:hAnsi="Times New Roman"/>
          <w:sz w:val="16"/>
          <w:szCs w:val="16"/>
          <w:color w:val="auto"/>
        </w:rPr>
        <w:t>The information furnished pursuant to this Item 2.02 is intended to be furnished and shall not be deemed “filed” for purposes of Section 18 of the Securities Exchange Act of 1934, as amended (the “</w:t>
      </w:r>
      <w:r>
        <w:rPr>
          <w:rFonts w:ascii="Times New Roman" w:cs="Times New Roman" w:eastAsia="Times New Roman" w:hAnsi="Times New Roman"/>
          <w:sz w:val="16"/>
          <w:szCs w:val="16"/>
          <w:b w:val="1"/>
          <w:bCs w:val="1"/>
          <w:i w:val="1"/>
          <w:iCs w:val="1"/>
          <w:color w:val="auto"/>
        </w:rPr>
        <w:t>Exchange Act</w:t>
      </w:r>
      <w:r>
        <w:rPr>
          <w:rFonts w:ascii="Times New Roman" w:cs="Times New Roman" w:eastAsia="Times New Roman" w:hAnsi="Times New Roman"/>
          <w:sz w:val="16"/>
          <w:szCs w:val="16"/>
          <w:color w:val="auto"/>
        </w:rPr>
        <w: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24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102" w:lineRule="exact"/>
        <w:rPr>
          <w:sz w:val="20"/>
          <w:szCs w:val="20"/>
          <w:color w:val="auto"/>
        </w:rPr>
      </w:pPr>
    </w:p>
    <w:p>
      <w:pPr>
        <w:ind w:left="5" w:right="100"/>
        <w:spacing w:after="0" w:line="276" w:lineRule="auto"/>
        <w:rPr>
          <w:sz w:val="20"/>
          <w:szCs w:val="20"/>
          <w:color w:val="auto"/>
        </w:rPr>
      </w:pPr>
      <w:r>
        <w:rPr>
          <w:rFonts w:ascii="Times New Roman" w:cs="Times New Roman" w:eastAsia="Times New Roman" w:hAnsi="Times New Roman"/>
          <w:sz w:val="16"/>
          <w:szCs w:val="16"/>
          <w:color w:val="auto"/>
        </w:rPr>
        <w:t>On January 12, 2026, the Company posted on its website an updated slide presentation, which is attached as Exhibit 99.1 to this Current Report on Form 8-K and is incorporated herein by reference. Representatives of the Company will use the presentation in various meetings with investors, analysts and other parties from time to time.</w:t>
      </w:r>
    </w:p>
    <w:p>
      <w:pPr>
        <w:spacing w:after="0" w:line="23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286" w:lineRule="exact"/>
        <w:rPr>
          <w:sz w:val="20"/>
          <w:szCs w:val="20"/>
          <w:color w:val="auto"/>
        </w:rPr>
      </w:pPr>
    </w:p>
    <w:tbl>
      <w:tblPr>
        <w:tblLayout w:type="fixed"/>
        <w:tblInd w:w="5" w:type="dxa"/>
        <w:tblCellMar>
          <w:top w:w="0" w:type="dxa"/>
          <w:left w:w="0" w:type="dxa"/>
          <w:bottom w:w="0" w:type="dxa"/>
          <w:right w:w="0" w:type="dxa"/>
        </w:tblCellMar>
      </w:tblPr>
      <w:tr>
        <w:trPr>
          <w:trHeight w:val="152"/>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bottom w:val="single" w:sz="8" w:color="auto"/>
            </w:tcBorders>
            <w:gridSpan w:val="3"/>
          </w:tcPr>
          <w:p>
            <w:pPr>
              <w:ind w:left="4620"/>
              <w:spacing w:after="0"/>
              <w:rPr>
                <w:sz w:val="20"/>
                <w:szCs w:val="20"/>
                <w:color w:val="auto"/>
              </w:rPr>
            </w:pPr>
            <w:r>
              <w:rPr>
                <w:rFonts w:ascii="Times New Roman" w:cs="Times New Roman" w:eastAsia="Times New Roman" w:hAnsi="Times New Roman"/>
                <w:sz w:val="13"/>
                <w:szCs w:val="13"/>
                <w:b w:val="1"/>
                <w:bCs w:val="1"/>
                <w:color w:val="auto"/>
              </w:rPr>
              <w:t>Document</w:t>
            </w:r>
          </w:p>
        </w:tc>
      </w:tr>
      <w:tr>
        <w:trPr>
          <w:trHeight w:val="146"/>
        </w:trPr>
        <w:tc>
          <w:tcPr>
            <w:tcW w:w="11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99.1</w:t>
            </w:r>
          </w:p>
        </w:tc>
        <w:tc>
          <w:tcPr>
            <w:tcW w:w="320" w:type="dxa"/>
            <w:vAlign w:val="bottom"/>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4780" w:type="dxa"/>
            <w:vAlign w:val="bottom"/>
            <w:tcBorders>
              <w:bottom w:val="single" w:sz="8" w:color="0000FF"/>
            </w:tcBorders>
          </w:tcPr>
          <w:p>
            <w:pPr>
              <w:spacing w:after="0" w:line="145" w:lineRule="exact"/>
              <w:rPr>
                <w:sz w:val="20"/>
                <w:szCs w:val="20"/>
                <w:color w:val="auto"/>
              </w:rPr>
            </w:pPr>
            <w:r>
              <w:rPr>
                <w:rFonts w:ascii="Times New Roman" w:cs="Times New Roman" w:eastAsia="Times New Roman" w:hAnsi="Times New Roman"/>
                <w:sz w:val="16"/>
                <w:szCs w:val="16"/>
                <w:color w:val="0000FF"/>
                <w:w w:val="97"/>
              </w:rPr>
              <w:t>Larimar Therapeutics, Inc. Corporate Presentation, dated January 12, 2026*</w:t>
            </w:r>
          </w:p>
        </w:tc>
        <w:tc>
          <w:tcPr>
            <w:tcW w:w="20" w:type="dxa"/>
            <w:vAlign w:val="bottom"/>
            <w:tcBorders>
              <w:bottom w:val="single" w:sz="8" w:color="0000EE"/>
            </w:tcBorders>
          </w:tcPr>
          <w:p>
            <w:pPr>
              <w:spacing w:after="0"/>
              <w:rPr>
                <w:sz w:val="12"/>
                <w:szCs w:val="12"/>
                <w:color w:val="auto"/>
              </w:rPr>
            </w:pPr>
          </w:p>
        </w:tc>
        <w:tc>
          <w:tcPr>
            <w:tcW w:w="5000" w:type="dxa"/>
            <w:vAlign w:val="bottom"/>
          </w:tcPr>
          <w:p>
            <w:pPr>
              <w:spacing w:after="0"/>
              <w:rPr>
                <w:sz w:val="12"/>
                <w:szCs w:val="12"/>
                <w:color w:val="auto"/>
              </w:rPr>
            </w:pPr>
          </w:p>
        </w:tc>
      </w:tr>
    </w:tbl>
    <w:p>
      <w:pPr>
        <w:spacing w:after="0" w:line="7" w:lineRule="exact"/>
        <w:rPr>
          <w:sz w:val="20"/>
          <w:szCs w:val="20"/>
          <w:color w:val="auto"/>
        </w:rPr>
      </w:pPr>
    </w:p>
    <w:p>
      <w:pPr>
        <w:ind w:left="1445" w:hanging="1445"/>
        <w:spacing w:after="0"/>
        <w:tabs>
          <w:tab w:leader="none" w:pos="1445"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w:t>
      </w:r>
    </w:p>
    <w:p>
      <w:pPr>
        <w:spacing w:after="0" w:line="99" w:lineRule="exact"/>
        <w:rPr>
          <w:rFonts w:ascii="Times New Roman" w:cs="Times New Roman" w:eastAsia="Times New Roman" w:hAnsi="Times New Roman"/>
          <w:sz w:val="16"/>
          <w:szCs w:val="16"/>
          <w:color w:val="auto"/>
        </w:rPr>
      </w:pPr>
    </w:p>
    <w:p>
      <w:pPr>
        <w:ind w:left="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972" w:right="31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0720"/>
          </w:cols>
          <w:pgMar w:left="320" w:top="689"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660" w:val="left"/>
          <w:tab w:leader="none" w:pos="562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January 12, 2026</w:t>
      </w:r>
      <w:r>
        <w:rPr>
          <w:sz w:val="20"/>
          <w:szCs w:val="20"/>
          <w:color w:val="auto"/>
        </w:rPr>
        <w:tab/>
      </w:r>
      <w:r>
        <w:rPr>
          <w:rFonts w:ascii="Times New Roman" w:cs="Times New Roman" w:eastAsia="Times New Roman" w:hAnsi="Times New Roman"/>
          <w:sz w:val="15"/>
          <w:szCs w:val="15"/>
          <w:color w:val="auto"/>
        </w:rPr>
        <w:t>By:</w:t>
      </w:r>
    </w:p>
    <w:p>
      <w:pPr>
        <w:spacing w:after="0" w:line="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i w:val="1"/>
          <w:iCs w:val="1"/>
          <w:color w:val="auto"/>
        </w:rPr>
        <w:t>Name:</w:t>
      </w:r>
    </w:p>
    <w:p>
      <w:pPr>
        <w:spacing w:after="0" w:line="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i w:val="1"/>
          <w:i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628650</wp:posOffset>
            </wp:positionV>
            <wp:extent cx="717486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Larimar Therapeutics, Inc.</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wp:posOffset>
            </wp:positionV>
            <wp:extent cx="313880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38805" cy="7620"/>
                    </a:xfrm>
                    <a:prstGeom prst="rect">
                      <a:avLst/>
                    </a:prstGeom>
                    <a:noFill/>
                  </pic:spPr>
                </pic:pic>
              </a:graphicData>
            </a:graphic>
          </wp:anchor>
        </w:drawing>
      </w:r>
    </w:p>
    <w:p>
      <w:pPr>
        <w:spacing w:after="0" w:line="7" w:lineRule="exact"/>
        <w:rPr>
          <w:sz w:val="20"/>
          <w:szCs w:val="20"/>
          <w:color w:val="auto"/>
        </w:rPr>
      </w:pPr>
    </w:p>
    <w:p>
      <w:pPr>
        <w:ind w:right="2020"/>
        <w:spacing w:after="0" w:line="313" w:lineRule="auto"/>
        <w:rPr>
          <w:sz w:val="20"/>
          <w:szCs w:val="20"/>
          <w:color w:val="auto"/>
        </w:rPr>
      </w:pPr>
      <w:r>
        <w:rPr>
          <w:rFonts w:ascii="Times New Roman" w:cs="Times New Roman" w:eastAsia="Times New Roman" w:hAnsi="Times New Roman"/>
          <w:sz w:val="15"/>
          <w:szCs w:val="15"/>
          <w:i w:val="1"/>
          <w:iCs w:val="1"/>
          <w:color w:val="auto"/>
        </w:rPr>
        <w:t>Carole S. Ben-Maimon, M.D. President and Chief Executive Officer</w:t>
      </w:r>
    </w:p>
    <w:p>
      <w:pPr>
        <w:sectPr>
          <w:pgSz w:w="11900" w:h="16838" w:orient="portrait"/>
          <w:cols w:equalWidth="0" w:num="2">
            <w:col w:w="6060" w:space="260"/>
            <w:col w:w="4400"/>
          </w:cols>
          <w:pgMar w:left="320" w:top="689" w:right="859" w:bottom="1440" w:gutter="0" w:footer="0" w:header="0"/>
          <w:type w:val="continuous"/>
        </w:sectPr>
      </w:pPr>
    </w:p>
    <w:bookmarkStart w:id="3" w:name="page4"/>
    <w:bookmarkEnd w:id="3"/>
    <w:p>
      <w:pPr>
        <w:spacing w:after="0" w:line="31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31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31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31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31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31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31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31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31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31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31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31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31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31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31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31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31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31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31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31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31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31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31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31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31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31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31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31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31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31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31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31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31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31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31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31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31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31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31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31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31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31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31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31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31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31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31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31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31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31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31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31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31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31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2026-01-12T15:25:06Z</dcterms:created>
  <dcterms:modified xsi:type="dcterms:W3CDTF">2026-01-12T15:25:06Z</dcterms:modified>
</cp:coreProperties>
</file>