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lrmr-20230331.htm"/>
      <w:bookmarkStart w:id="1" w:name="kslrmr20230331"/>
      <w:bookmarkEnd w:id="0"/>
      <w:bookmarkEnd w:id="1"/>
      <w:r>
        <w:rPr/>
        <w:t> </w:t>
      </w:r>
    </w:p>
    <w:p>
      <w:pPr>
        <w:pStyle w:val="TextBody"/>
        <w:bidi w:val="0"/>
        <w:spacing w:before="0" w:after="0"/>
        <w:jc w:val="center"/>
        <w:rPr>
          <w:rFonts w:ascii="Times New Roman" w:hAnsi="Times New Roman"/>
          <w:sz w:val="20"/>
        </w:rPr>
      </w:pPr>
      <w:r>
        <w:rPr>
          <w:rFonts w:ascii="Times New Roman;serif" w:hAnsi="Times New Roman;serif"/>
          <w:b/>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4"/>
        </w:rPr>
        <w:t>Washington, D.C. 20549</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36"/>
        </w:rPr>
        <w:t>Form 10-Q</w:t>
      </w:r>
      <w:r>
        <w:rPr>
          <w:rFonts w:ascii="Times New Roman" w:hAnsi="Times New Roman"/>
          <w:sz w:val="20"/>
        </w:rPr>
        <w:t xml:space="preserve"> </w:t>
      </w:r>
    </w:p>
    <w:p>
      <w:pPr>
        <w:pStyle w:val="TextBody"/>
        <w:bidi w:val="0"/>
        <w:spacing w:before="60" w:after="0"/>
        <w:jc w:val="left"/>
        <w:rPr>
          <w:rFonts w:ascii="Times New Roman" w:hAnsi="Times New Roman"/>
          <w:sz w:val="20"/>
        </w:rPr>
      </w:pPr>
      <w:r>
        <w:rPr>
          <w:rFonts w:ascii="Times New Roman;serif" w:hAnsi="Times New Roman;serif"/>
          <w:b/>
          <w:sz w:val="18"/>
        </w:rPr>
        <w:t>(Mark One)</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QUARTERLY REPORT PURSUANT TO SECTION 13 OR 15(d) OF THE SECURITIES EXCHANGE ACT OF 1934</w:t>
            </w:r>
            <w:r>
              <w:rPr>
                <w:rFonts w:ascii="Times New Roman" w:hAnsi="Times New Roman"/>
                <w:sz w:val="20"/>
              </w:rPr>
              <w:t xml:space="preserve"> </w:t>
            </w:r>
          </w:p>
        </w:tc>
      </w:tr>
    </w:tbl>
    <w:p>
      <w:pPr>
        <w:pStyle w:val="TextBody"/>
        <w:bidi w:val="0"/>
        <w:spacing w:before="6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bidi w:val="0"/>
        <w:spacing w:before="60" w:after="0"/>
        <w:jc w:val="center"/>
        <w:rPr>
          <w:rFonts w:ascii="Times New Roman" w:hAnsi="Times New Roman"/>
          <w:sz w:val="20"/>
        </w:rPr>
      </w:pPr>
      <w:r>
        <w:rPr>
          <w:rFonts w:ascii="Times New Roman;serif" w:hAnsi="Times New Roman;serif"/>
          <w:b/>
          <w:sz w:val="20"/>
        </w:rPr>
        <w:t>or</w:t>
      </w:r>
      <w:r>
        <w:rPr>
          <w:rFonts w:ascii="Times New Roman" w:hAnsi="Times New Roman"/>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0"/>
              <w:ind w:left="0" w:right="0" w:hanging="0"/>
              <w:jc w:val="left"/>
              <w:rPr/>
            </w:pPr>
            <w:r>
              <w:rPr/>
              <w:t>☐</w:t>
            </w:r>
          </w:p>
        </w:tc>
        <w:tc>
          <w:tcPr>
            <w:tcW w:w="9874" w:type="dxa"/>
            <w:tcBorders/>
            <w:tcMar>
              <w:top w:w="0" w:type="dxa"/>
              <w:left w:w="0" w:type="dxa"/>
              <w:bottom w:w="0" w:type="dxa"/>
              <w:right w:w="0" w:type="dxa"/>
            </w:tcMar>
            <w:vAlign w:val="center"/>
          </w:tcPr>
          <w:p>
            <w:pPr>
              <w:pStyle w:val="TableContents"/>
              <w:bidi w:val="0"/>
              <w:spacing w:before="60" w:after="0"/>
              <w:ind w:left="0" w:right="0" w:hanging="0"/>
              <w:jc w:val="left"/>
              <w:rPr>
                <w:rFonts w:ascii="Times New Roman" w:hAnsi="Times New Roman"/>
                <w:sz w:val="20"/>
              </w:rPr>
            </w:pPr>
            <w:r>
              <w:rPr>
                <w:rFonts w:ascii="Times New Roman;serif" w:hAnsi="Times New Roman;serif"/>
                <w:b/>
                <w:sz w:val="20"/>
              </w:rPr>
              <w:t>TRANSITION REPORT PURSUANT TO SECTION 13 OR 15(d) OF THE SECURITIES EXCHANGE ACT OF 1934</w:t>
            </w:r>
            <w:r>
              <w:rPr>
                <w:rFonts w:ascii="Times New Roman" w:hAnsi="Times New Roman"/>
                <w:sz w:val="20"/>
              </w:rPr>
              <w:t xml:space="preserve"> </w:t>
            </w:r>
          </w:p>
        </w:tc>
      </w:tr>
    </w:tbl>
    <w:p>
      <w:pPr>
        <w:pStyle w:val="TextBody"/>
        <w:bidi w:val="0"/>
        <w:spacing w:before="60" w:after="0"/>
        <w:jc w:val="center"/>
        <w:rPr>
          <w:rFonts w:ascii="Times New Roman;serif" w:hAnsi="Times New Roman;serif"/>
          <w:b/>
          <w:sz w:val="20"/>
        </w:rPr>
      </w:pPr>
      <w:r>
        <w:rPr>
          <w:rFonts w:ascii="Times New Roman;serif" w:hAnsi="Times New Roman;serif"/>
          <w:b/>
          <w:sz w:val="20"/>
        </w:rPr>
        <w:t>For the transition period from ___ to ____</w:t>
      </w:r>
    </w:p>
    <w:p>
      <w:pPr>
        <w:pStyle w:val="TextBody"/>
        <w:bidi w:val="0"/>
        <w:spacing w:before="120" w:after="0"/>
        <w:jc w:val="center"/>
        <w:rPr>
          <w:rFonts w:ascii="Times New Roman" w:hAnsi="Times New Roman"/>
          <w:sz w:val="20"/>
        </w:rPr>
      </w:pPr>
      <w:r>
        <w:rPr>
          <w:rFonts w:ascii="Times New Roman;serif" w:hAnsi="Times New Roman;serif"/>
          <w:b/>
          <w:sz w:val="20"/>
        </w:rPr>
        <w:t>Commission File Number: 001-36510</w:t>
      </w:r>
      <w:r>
        <w:rPr>
          <w:rFonts w:ascii="Times New Roman" w:hAnsi="Times New Roman"/>
          <w:sz w:val="20"/>
        </w:rPr>
        <w:t xml:space="preserve"> </w:t>
      </w:r>
    </w:p>
    <w:p>
      <w:pPr>
        <w:pStyle w:val="TextBody"/>
        <w:bidi w:val="0"/>
        <w:spacing w:before="120" w:after="0"/>
        <w:jc w:val="center"/>
        <w:rPr>
          <w:rFonts w:ascii="Times New Roman" w:hAnsi="Times New Roman"/>
          <w:sz w:val="20"/>
        </w:rPr>
      </w:pPr>
      <w:r>
        <w:rPr>
          <w:rFonts w:ascii="Times New Roman;serif" w:hAnsi="Times New Roman;serif"/>
          <w:b/>
          <w:sz w:val="36"/>
        </w:rPr>
        <w:t>LARIMAR THERAPEUTICS,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(Exact name of registrant as specified in its charter)</w:t>
      </w:r>
      <w:r>
        <w:rPr>
          <w:rFonts w:ascii="Times New Roman" w:hAnsi="Times New Roman"/>
          <w:sz w:val="20"/>
        </w:rPr>
        <w:t xml:space="preserve"> </w:t>
      </w:r>
    </w:p>
    <w:p>
      <w:pPr>
        <w:pStyle w:val="TextBody"/>
        <w:bidi w:val="0"/>
        <w:spacing w:before="0" w:after="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20-3857670</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(State or other jurisdiction of</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(I.R.S. Employer</w:t>
            </w:r>
          </w:p>
          <w:p>
            <w:pPr>
              <w:pStyle w:val="TableContents"/>
              <w:bidi w:val="0"/>
              <w:spacing w:before="0" w:after="2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Three Bala Plaza East, Suite 506</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19004</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 w:hAnsi="Times New Roman"/>
                <w:sz w:val="20"/>
              </w:rPr>
            </w:pPr>
            <w:r>
              <w:rPr>
                <w:rFonts w:ascii="Times New Roman;serif" w:hAnsi="Times New Roman;serif"/>
                <w:b/>
                <w:sz w:val="20"/>
              </w:rPr>
              <w:t>Bala Cynwyd, PA</w:t>
            </w:r>
            <w:r>
              <w:rPr>
                <w:rFonts w:ascii="Times New Roman" w:hAnsi="Times New Roman"/>
                <w:sz w:val="20"/>
              </w:rPr>
              <w:t xml:space="preserve"> </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r>
        <w:trPr/>
        <w:tc>
          <w:tcPr>
            <w:tcW w:w="2926"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(844) 511-9056</w:t>
      </w:r>
      <w:r>
        <w:rPr>
          <w:rFonts w:ascii="Times New Roman" w:hAnsi="Times New Roman"/>
          <w:sz w:val="20"/>
        </w:rPr>
        <w:t xml:space="preserve"> </w:t>
      </w:r>
    </w:p>
    <w:p>
      <w:pPr>
        <w:pStyle w:val="TextBody"/>
        <w:bidi w:val="0"/>
        <w:spacing w:before="0" w:after="0"/>
        <w:jc w:val="center"/>
        <w:rPr>
          <w:rFonts w:ascii="Times New Roman;serif" w:hAnsi="Times New Roman;serif"/>
          <w:b/>
          <w:sz w:val="16"/>
        </w:rPr>
      </w:pPr>
      <w:r>
        <w:rPr>
          <w:rFonts w:ascii="Times New Roman;serif" w:hAnsi="Times New Roman;serif"/>
          <w:b/>
          <w:sz w:val="16"/>
        </w:rPr>
        <w:t>(Registrant’s telephone number, including area code)</w:t>
      </w:r>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serif" w:hAnsi="Times New Roman;serif"/>
          <w:b/>
          <w:sz w:val="14"/>
        </w:rPr>
        <w:t>Securities registered pursuant to Section 12(b) of the Act:</w:t>
      </w:r>
      <w:r>
        <w:rPr>
          <w:rFonts w:ascii="Times New Roman" w:hAnsi="Times New Roman"/>
          <w:sz w:val="20"/>
        </w:rPr>
        <w:t xml:space="preserve"> </w:t>
      </w:r>
    </w:p>
    <w:p>
      <w:pPr>
        <w:pStyle w:val="TextBody"/>
        <w:bidi w:val="0"/>
        <w:spacing w:before="0" w:after="0"/>
        <w:jc w:val="left"/>
        <w:rPr/>
      </w:pPr>
      <w:r>
        <w:rPr/>
        <w:t> </w:t>
      </w:r>
    </w:p>
    <w:tbl>
      <w:tblPr>
        <w:tblW w:w="7803" w:type="dxa"/>
        <w:jc w:val="left"/>
        <w:tblInd w:w="0" w:type="dxa"/>
        <w:tblLayout w:type="fixed"/>
        <w:tblCellMar>
          <w:top w:w="28" w:type="dxa"/>
          <w:left w:w="28" w:type="dxa"/>
          <w:bottom w:w="28" w:type="dxa"/>
          <w:right w:w="28" w:type="dxa"/>
        </w:tblCellMar>
      </w:tblPr>
      <w:tblGrid>
        <w:gridCol w:w="3151"/>
        <w:gridCol w:w="1426"/>
        <w:gridCol w:w="3226"/>
      </w:tblGrid>
      <w:tr>
        <w:trPr/>
        <w:tc>
          <w:tcPr>
            <w:tcW w:w="315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15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Title of each class</w:t>
            </w:r>
          </w:p>
        </w:tc>
        <w:tc>
          <w:tcPr>
            <w:tcW w:w="14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Trading Symbol(s)</w:t>
            </w:r>
          </w:p>
        </w:tc>
        <w:tc>
          <w:tcPr>
            <w:tcW w:w="322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Name of each exchange on which registered</w:t>
            </w:r>
          </w:p>
        </w:tc>
      </w:tr>
      <w:tr>
        <w:trPr/>
        <w:tc>
          <w:tcPr>
            <w:tcW w:w="3151"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Common Stock, par value $0.001 per share</w:t>
            </w:r>
          </w:p>
        </w:tc>
        <w:tc>
          <w:tcPr>
            <w:tcW w:w="1426" w:type="dxa"/>
            <w:tcBorders>
              <w:bottom w:val="single" w:sz="6" w:space="0" w:color="000000"/>
              <w:right w:val="single" w:sz="6"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LRMR</w:t>
            </w:r>
          </w:p>
        </w:tc>
        <w:tc>
          <w:tcPr>
            <w:tcW w:w="3226" w:type="dxa"/>
            <w:tcBorders>
              <w:bottom w:val="single" w:sz="6" w:space="0" w:color="000000"/>
              <w:right w:val="single" w:sz="6" w:space="0" w:color="000000"/>
            </w:tcBorders>
            <w:tcMar>
              <w:top w:w="0" w:type="dxa"/>
              <w:left w:w="0" w:type="dxa"/>
            </w:tcMar>
            <w:vAlign w:val="center"/>
          </w:tcPr>
          <w:p>
            <w:pPr>
              <w:pStyle w:val="TableContents"/>
              <w:bidi w:val="0"/>
              <w:spacing w:before="0" w:after="0"/>
              <w:ind w:left="0" w:right="0" w:hanging="0"/>
              <w:jc w:val="center"/>
              <w:rPr>
                <w:rFonts w:ascii="Times New Roman;serif" w:hAnsi="Times New Roman;serif"/>
                <w:b w:val="false"/>
                <w:sz w:val="16"/>
              </w:rPr>
            </w:pPr>
            <w:r>
              <w:rPr>
                <w:rFonts w:ascii="Times New Roman;serif" w:hAnsi="Times New Roman;serif"/>
                <w:b w:val="false"/>
                <w:sz w:val="16"/>
              </w:rPr>
              <w:t>The Nasdaq Global Market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r>
        <w:trPr/>
        <w:tc>
          <w:tcPr>
            <w:tcW w:w="166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204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0"/>
              <w:ind w:left="0" w:right="0" w:hanging="0"/>
              <w:jc w:val="left"/>
              <w:rPr/>
            </w:pPr>
            <w:r>
              <w:rPr/>
              <w:t>☐</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18"/>
        </w:rPr>
        <w:t>As of May 12, 2023, there were 43,269,200</w:t>
      </w:r>
      <w:r>
        <w:rPr>
          <w:rFonts w:ascii="Times New Roman" w:hAnsi="Times New Roman"/>
          <w:sz w:val="20"/>
        </w:rPr>
        <w:t xml:space="preserve"> </w:t>
      </w:r>
      <w:r>
        <w:rPr>
          <w:rFonts w:ascii="Times New Roman;serif" w:hAnsi="Times New Roman;serif"/>
          <w:b w:val="false"/>
          <w:sz w:val="18"/>
        </w:rPr>
        <w:t>shares of the registrant’s Common Stock, $0.001 par value per share, outstanding.</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CAUTIONARY NOTE REGARDING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You should understand that the following important factors could affect our future results and could cause those results or other outcomes to differ materially from those expressed or implied in our forward-looking statements: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successfully engage with, and satisfactorily respond to questions from the U.S. Food and Drug Administration ("FDA") regarding recently submitted unblinded data from the 25 mg cohort 1 of our phase 2 dose exploration trial l, and the FDA’s agreement to allow us to perform additional cohorts and/or initiate other clinical trials for CTI-1601 and the timing and outcomes of such interactions;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delays in patient recruitment for our clinical trials (including as a result of the impact of FDA approval of competitive products for the treatment of Friedreich's ataxia ("FA"),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CTI-1601;</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uncertainties associated with the clinical development and regulatory approval for CTI-1601 or any other product candidate that we may develop in the future, including potential delays in the commencement, enrollment and completion of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difficulties and expenses associated with obtaining and maintaining regulatory approval for CTI-1601 or any other product candidate we may develop in the future, and the indication and labeling under any such approval;</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estimates regarding future results of operations, financial position, research and development costs, capital requirements and our access and needs for additional financing;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how long we can continue to fund our operations with our existing cash and cash equivalents;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and the ability of third-party manufacturers we engage, to optimize and scale CTI-1601 or any other product candidate’s manufacturing process and to manufacture sufficient quantities of clinical supplies, and, if approved, commercial supplies of CTI-1601 or any other product candidate that we may develop in the future;</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realize any value from CTI-1601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comply with regulatory requirements applicable to our business and other regulatory developments in the United States and other countries;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size and growth of the potential markets for CTI-1601. if approved, or any other product candidate that we may develop in the future, the rate and degree of market acceptance of CTI-1601 or any other product candidate, if approved, that we may develop in the future and our ability to serve those markets;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given competing therapies and products for the treatment of Friedreich's ataxia, our ability to obtain and maintain designations or eligibility for expedited regulatory programs, and to commercialize current and future candidates, if approved, (including the impact of potential barriers to entry if a competitor is able to establish a strong market position before we are able to commercialize our products);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and maintain patent protection and defend our intellectual property rights against third-parties;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performance and compliance with the rules and regulations of the FDA (and all other regulatory authorities) of third parties upon which we depend, including third-party contract research organizations ("CROs"), consultants, and third-party suppliers, manufacturers, distributors, and logistics providers;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our relationships, and contracts with our key vendors and to identify and contract with alternate or secondary key vendors;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recruit and retain key scientific, technical, commercial, and management personnel and to retain our executive officers;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maintain proper functionality and security of our internal computer and information systems and prevent or avoid cyber-attacks, malicious intrusion, breakdown, destruction, loss of data privacy or other significant disruption;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extent to which geopolitical tensions, adverse macroeconomic events, including those due to inflationary pressures, banking instability and the ability of the U.S. government to manage federal debt limits, health epidemics, unforeseen emergencies and other outbreaks of communicable diseases could disrupt our operations, the operations of third parties on which we rely or the operations of regulatory agencies we interact with in the development of CTI-1601;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potential impact of healthcare reform in the United States, including the Inflation Reduction Act of</w:t>
        <w:br/>
        <w:t>2022, and measures being taken worldwide designed to reduce healthcare costs and limit the overall level of government expenditures.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14, 2023.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serif" w:hAnsi="Times New Roman;serif"/>
          <w:b/>
          <w:sz w:val="20"/>
        </w:rPr>
        <w:t>INDEX</w:t>
      </w:r>
      <w:r>
        <w:rPr>
          <w:rFonts w:ascii="Times New Roman" w:hAnsi="Times New Roman"/>
          <w:sz w:val="20"/>
        </w:rPr>
        <w:t xml:space="preserve"> </w:t>
      </w:r>
    </w:p>
    <w:p>
      <w:pPr>
        <w:pStyle w:val="TextBody"/>
        <w:bidi w:val="0"/>
        <w:spacing w:before="40" w:after="0"/>
        <w:jc w:val="left"/>
        <w:rPr/>
      </w:pPr>
      <w:r>
        <w:rPr/>
        <w:t> </w:t>
      </w:r>
    </w:p>
    <w:tbl>
      <w:tblPr>
        <w:tblW w:w="10205" w:type="dxa"/>
        <w:jc w:val="left"/>
        <w:tblInd w:w="0" w:type="dxa"/>
        <w:tblLayout w:type="fixed"/>
        <w:tblCellMar>
          <w:top w:w="28" w:type="dxa"/>
          <w:left w:w="28" w:type="dxa"/>
          <w:bottom w:w="28" w:type="dxa"/>
          <w:right w:w="28" w:type="dxa"/>
        </w:tblCellMar>
      </w:tblPr>
      <w:tblGrid>
        <w:gridCol w:w="739"/>
        <w:gridCol w:w="146"/>
        <w:gridCol w:w="8662"/>
        <w:gridCol w:w="146"/>
        <w:gridCol w:w="512"/>
      </w:tblGrid>
      <w:tr>
        <w:trPr/>
        <w:tc>
          <w:tcPr>
            <w:tcW w:w="7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9547"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9547" w:type="dxa"/>
            <w:gridSpan w:val="3"/>
            <w:tcBorders/>
            <w:tcMar>
              <w:top w:w="0" w:type="dxa"/>
              <w:left w:w="0" w:type="dxa"/>
              <w:bottom w:w="0" w:type="dxa"/>
              <w:right w:w="0" w:type="dxa"/>
            </w:tcMar>
            <w:vAlign w:val="center"/>
          </w:tcPr>
          <w:p>
            <w:pPr>
              <w:pStyle w:val="TableContents"/>
              <w:bidi w:val="0"/>
              <w:spacing w:before="0" w:after="0"/>
              <w:ind w:left="0" w:right="0" w:hanging="0"/>
              <w:jc w:val="center"/>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financial_information">
              <w:r>
                <w:rPr>
                  <w:rStyle w:val="InternetLink"/>
                  <w:rFonts w:ascii="Times New Roman;serif" w:hAnsi="Times New Roman;serif"/>
                  <w:b/>
                  <w:sz w:val="20"/>
                  <w:u w:val="single"/>
                </w:rPr>
                <w:t>PART I - FINANCIAL INFORMATION</w:t>
              </w:r>
            </w:hyperlink>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financial_statements">
              <w:r>
                <w:rPr>
                  <w:rStyle w:val="InternetLink"/>
                  <w:rFonts w:ascii="Times New Roman;serif" w:hAnsi="Times New Roman;serif"/>
                  <w:b w:val="false"/>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balance_sheets">
              <w:r>
                <w:rPr>
                  <w:rStyle w:val="InternetLink"/>
                  <w:rFonts w:ascii="Times New Roman;serif" w:hAnsi="Times New Roman;serif"/>
                  <w:b w:val="false"/>
                  <w:sz w:val="20"/>
                  <w:u w:val="single"/>
                </w:rPr>
                <w:t>Condensed Consolidated Balance Sheets as of March 31, 2023 and December 31,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operat">
              <w:r>
                <w:rPr>
                  <w:rStyle w:val="InternetLink"/>
                  <w:rFonts w:ascii="Times New Roman;serif" w:hAnsi="Times New Roman;serif"/>
                  <w:b w:val="false"/>
                  <w:sz w:val="20"/>
                  <w:u w:val="single"/>
                </w:rPr>
                <w:t>Condensed Consolidated Statements of Operations and Comprehensive Loss for the three months ended March 31,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hange">
              <w:r>
                <w:rPr>
                  <w:rStyle w:val="InternetLink"/>
                  <w:rFonts w:ascii="Times New Roman;serif" w:hAnsi="Times New Roman;serif"/>
                  <w:b w:val="false"/>
                  <w:sz w:val="20"/>
                  <w:u w:val="single"/>
                </w:rPr>
                <w:t>Condensed Consolidated Statements of Changes in Stockholders' Equity for the three months ended March 31,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 for the three months ended March 31, 2023 and 2022</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notes_to_condensed_consolidated_financia">
              <w:r>
                <w:rPr>
                  <w:rStyle w:val="InternetLink"/>
                  <w:rFonts w:ascii="Times New Roman;serif" w:hAnsi="Times New Roman;serif"/>
                  <w:b w:val="false"/>
                  <w:sz w:val="20"/>
                  <w:u w:val="single"/>
                </w:rPr>
                <w:t>Notes to Condensed Consolidated Financial Statements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managements_discussion_analysis_f">
              <w:r>
                <w:rPr>
                  <w:rStyle w:val="InternetLink"/>
                  <w:rFonts w:ascii="Times New Roman;serif" w:hAnsi="Times New Roman;serif"/>
                  <w:b w:val="false"/>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quantitative_qualitative_disclosu">
              <w:r>
                <w:rPr>
                  <w:rStyle w:val="InternetLink"/>
                  <w:rFonts w:ascii="Times New Roman;serif" w:hAnsi="Times New Roman;serif"/>
                  <w:b w:val="false"/>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0"/>
              <w:ind w:left="0" w:right="0" w:hanging="0"/>
              <w:jc w:val="center"/>
              <w:rPr/>
            </w:pPr>
            <w:hyperlink w:anchor="part_ii_or_information">
              <w:r>
                <w:rPr>
                  <w:rStyle w:val="InternetLink"/>
                  <w:rFonts w:ascii="Times New Roman;serif" w:hAnsi="Times New Roman;serif"/>
                  <w:b/>
                  <w:sz w:val="20"/>
                  <w:u w:val="single"/>
                </w:rPr>
                <w:t>PART II - OTHER INFORMATION</w:t>
              </w:r>
            </w:hyperlink>
            <w:hyperlink w:anchor="part_ii_or_information">
              <w:r>
                <w:rPr>
                  <w:rStyle w:val="InternetLink"/>
                  <w:rFonts w:ascii="Times New Roman" w:hAnsi="Times New Roman"/>
                  <w:sz w:val="20"/>
                </w:rPr>
                <w:t xml:space="preserve"> </w:t>
              </w:r>
            </w:hyperlink>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14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r>
        <w:trPr/>
        <w:tc>
          <w:tcPr>
            <w:tcW w:w="739"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8662"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pPr>
            <w:r>
              <w:rPr/>
              <w:t> </w:t>
            </w:r>
          </w:p>
        </w:tc>
      </w:tr>
      <w:tr>
        <w:trPr/>
        <w:tc>
          <w:tcPr>
            <w:tcW w:w="9547"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hyperlink w:anchor="signatures">
              <w:r>
                <w:rPr>
                  <w:rStyle w:val="InternetLink"/>
                  <w:rFonts w:ascii="Times New Roman;serif" w:hAnsi="Times New Roman;serif"/>
                  <w:b/>
                  <w:sz w:val="20"/>
                  <w:u w:val="single"/>
                </w:rPr>
                <w:t>Signatures</w:t>
              </w:r>
            </w:hyperlink>
            <w:r>
              <w:rPr>
                <w:rFonts w:ascii="Times New Roman" w:hAnsi="Times New Roman"/>
                <w:sz w:val="20"/>
              </w:rPr>
              <w:t xml:space="preserve">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512"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2" w:name="part_ifinancial_information"/>
      <w:bookmarkEnd w:id="2"/>
      <w:r>
        <w:rPr>
          <w:rFonts w:ascii="Times New Roman;serif" w:hAnsi="Times New Roman;serif"/>
          <w:b/>
          <w:sz w:val="20"/>
        </w:rPr>
        <w:t>PART I-FINANCIAL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3" w:name="item_1_financial_statements"/>
      <w:bookmarkEnd w:id="3"/>
      <w:r>
        <w:rPr>
          <w:rFonts w:ascii="Times New Roman;serif" w:hAnsi="Times New Roman;serif"/>
          <w:b/>
          <w:sz w:val="20"/>
        </w:rPr>
        <w:t>Item 1. Financial Statements</w:t>
      </w:r>
      <w:r>
        <w:rPr>
          <w:rFonts w:ascii="Times New Roman" w:hAnsi="Times New Roman"/>
          <w:sz w:val="20"/>
        </w:rPr>
        <w:t xml:space="preserve"> </w:t>
      </w:r>
    </w:p>
    <w:p>
      <w:pPr>
        <w:pStyle w:val="TextBody"/>
        <w:bidi w:val="0"/>
        <w:spacing w:before="36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4" w:name="condensed_consolidated_balance_sheets"/>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9137" w:type="dxa"/>
        <w:jc w:val="left"/>
        <w:tblInd w:w="0" w:type="dxa"/>
        <w:tblLayout w:type="fixed"/>
        <w:tblCellMar>
          <w:top w:w="28" w:type="dxa"/>
          <w:left w:w="28" w:type="dxa"/>
          <w:bottom w:w="28" w:type="dxa"/>
          <w:right w:w="28" w:type="dxa"/>
        </w:tblCellMar>
      </w:tblPr>
      <w:tblGrid>
        <w:gridCol w:w="5941"/>
        <w:gridCol w:w="146"/>
        <w:gridCol w:w="211"/>
        <w:gridCol w:w="841"/>
        <w:gridCol w:w="166"/>
        <w:gridCol w:w="146"/>
        <w:gridCol w:w="219"/>
        <w:gridCol w:w="876"/>
        <w:gridCol w:w="59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591" w:type="dxa"/>
            <w:tcBorders/>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111,524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26,825</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1,940</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113,464</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120,739</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right-of-use assets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2,719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2,858</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1,339</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638</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126,405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1,686</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8,408</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 current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589</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8,010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10,705</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4,797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941"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liabilities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12,666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15,502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Commitments and contingencies (See Note 8)</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Stockholders’ equity:</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9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Preferred stock; $0.001</w:t>
            </w:r>
            <w:r>
              <w:rPr>
                <w:rFonts w:ascii="Times New Roman" w:hAnsi="Times New Roman"/>
                <w:sz w:val="20"/>
              </w:rPr>
              <w:t> </w:t>
            </w:r>
            <w:r>
              <w:rPr>
                <w:rFonts w:ascii="Times New Roman;serif" w:hAnsi="Times New Roman;serif"/>
                <w:b w:val="false"/>
                <w:sz w:val="20"/>
              </w:rPr>
              <w:t>par value per share; 5,000,000</w:t>
            </w:r>
            <w:r>
              <w:rPr>
                <w:rFonts w:ascii="Times New Roman" w:hAnsi="Times New Roman"/>
                <w:sz w:val="20"/>
              </w:rPr>
              <w:t> </w:t>
            </w:r>
            <w:r>
              <w:rPr>
                <w:rFonts w:ascii="Times New Roman;serif" w:hAnsi="Times New Roman;serif"/>
                <w:b w:val="false"/>
                <w:sz w:val="20"/>
              </w:rPr>
              <w:t>shares authorized</w:t>
              <w:br/>
              <w:t>   as of March 31, 2023 and December 31, 2022; no</w:t>
            </w:r>
            <w:r>
              <w:rPr>
                <w:rFonts w:ascii="Times New Roman" w:hAnsi="Times New Roman"/>
                <w:sz w:val="20"/>
              </w:rPr>
              <w:t> </w:t>
            </w:r>
            <w:r>
              <w:rPr>
                <w:rFonts w:ascii="Times New Roman;serif" w:hAnsi="Times New Roman;serif"/>
                <w:b w:val="false"/>
                <w:sz w:val="20"/>
              </w:rPr>
              <w:t>shares issued and</w:t>
              <w:br/>
              <w:t>   outstanding as of March 31,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firstLine="200"/>
              <w:jc w:val="left"/>
              <w:rPr/>
            </w:pPr>
            <w:r>
              <w:rPr/>
              <w:t> </w:t>
            </w:r>
          </w:p>
        </w:tc>
      </w:tr>
      <w:tr>
        <w:trPr/>
        <w:tc>
          <w:tcPr>
            <w:tcW w:w="5941" w:type="dxa"/>
            <w:tcBorders/>
            <w:vAlign w:val="center"/>
          </w:tcPr>
          <w:p>
            <w:pPr>
              <w:pStyle w:val="TableContents"/>
              <w:bidi w:val="0"/>
              <w:spacing w:before="0" w:after="0"/>
              <w:ind w:left="200" w:right="0" w:hanging="0"/>
              <w:jc w:val="left"/>
              <w:rPr>
                <w:rFonts w:ascii="Times New Roman" w:hAnsi="Times New Roman"/>
                <w:sz w:val="20"/>
              </w:rPr>
            </w:pPr>
            <w:r>
              <w:rPr>
                <w:rFonts w:ascii="Times New Roman;serif" w:hAnsi="Times New Roman;serif"/>
                <w:b w:val="false"/>
                <w:sz w:val="20"/>
              </w:rPr>
              <w:t>Common stock, $0.001</w:t>
            </w:r>
            <w:r>
              <w:rPr>
                <w:rFonts w:ascii="Times New Roman" w:hAnsi="Times New Roman"/>
                <w:sz w:val="20"/>
              </w:rPr>
              <w:t> </w:t>
            </w:r>
            <w:r>
              <w:rPr>
                <w:rFonts w:ascii="Times New Roman;serif" w:hAnsi="Times New Roman;serif"/>
                <w:b w:val="false"/>
                <w:sz w:val="20"/>
              </w:rPr>
              <w:t>par value per share; 115,000,000</w:t>
            </w:r>
            <w:r>
              <w:rPr>
                <w:rFonts w:ascii="Times New Roman" w:hAnsi="Times New Roman"/>
                <w:sz w:val="20"/>
              </w:rPr>
              <w:t> </w:t>
            </w:r>
            <w:r>
              <w:rPr>
                <w:rFonts w:ascii="Times New Roman;serif" w:hAnsi="Times New Roman;serif"/>
                <w:b w:val="false"/>
                <w:sz w:val="20"/>
              </w:rPr>
              <w:t>shares</w:t>
              <w:br/>
              <w:t xml:space="preserve">   authorized as of March 31, 2023 and December 31, 2022; </w:t>
              <w:br/>
              <w:t>   43,269,200</w:t>
            </w:r>
            <w:r>
              <w:rPr>
                <w:rFonts w:ascii="Times New Roman" w:hAnsi="Times New Roman"/>
                <w:sz w:val="20"/>
              </w:rPr>
              <w:t> </w:t>
            </w:r>
            <w:r>
              <w:rPr>
                <w:rFonts w:ascii="Times New Roman;serif" w:hAnsi="Times New Roman;serif"/>
                <w:b w:val="false"/>
                <w:sz w:val="20"/>
              </w:rPr>
              <w:t xml:space="preserve">shares issued and outstanding as of </w:t>
              <w:br/>
              <w:t>   March 31, 2023 and December 31, 2022</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264,329</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262,496</w:t>
            </w:r>
          </w:p>
        </w:tc>
        <w:tc>
          <w:tcPr>
            <w:tcW w:w="591" w:type="dxa"/>
            <w:tcBorders/>
            <w:vAlign w:val="center"/>
          </w:tcPr>
          <w:p>
            <w:pPr>
              <w:pStyle w:val="TableContents"/>
              <w:bidi w:val="0"/>
              <w:spacing w:before="0" w:after="0"/>
              <w:ind w:left="0" w:right="0" w:hanging="0"/>
              <w:jc w:val="left"/>
              <w:rPr/>
            </w:pPr>
            <w:r>
              <w:rPr/>
              <w:t> </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9" w:type="dxa"/>
            <w:tcBorders/>
            <w:vAlign w:val="center"/>
          </w:tcPr>
          <w:p>
            <w:pPr>
              <w:pStyle w:val="TableContents"/>
              <w:bidi w:val="0"/>
              <w:spacing w:before="0" w:after="0"/>
              <w:ind w:left="0" w:right="0" w:hanging="0"/>
              <w:jc w:val="left"/>
              <w:rPr/>
            </w:pPr>
            <w:r>
              <w:rPr/>
              <w:t> </w:t>
            </w:r>
          </w:p>
        </w:tc>
        <w:tc>
          <w:tcPr>
            <w:tcW w:w="8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(151,605</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9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other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r>
      <w:tr>
        <w:trPr/>
        <w:tc>
          <w:tcPr>
            <w:tcW w:w="59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106,241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110,903</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5941"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Total liabilities and stockholders’ equity</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118,907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126,405</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5" w:name="condensed_consolidated_statements_operat"/>
      <w:bookmarkEnd w:id="5"/>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OPERATIONS AND COMPREHENSIVE LOSS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8929" w:type="dxa"/>
        <w:jc w:val="left"/>
        <w:tblInd w:w="0" w:type="dxa"/>
        <w:tblLayout w:type="fixed"/>
        <w:tblCellMar>
          <w:top w:w="28" w:type="dxa"/>
          <w:left w:w="28" w:type="dxa"/>
          <w:bottom w:w="28" w:type="dxa"/>
          <w:right w:w="28" w:type="dxa"/>
        </w:tblCellMar>
      </w:tblPr>
      <w:tblGrid>
        <w:gridCol w:w="5386"/>
        <w:gridCol w:w="146"/>
        <w:gridCol w:w="211"/>
        <w:gridCol w:w="1036"/>
        <w:gridCol w:w="166"/>
        <w:gridCol w:w="146"/>
        <w:gridCol w:w="211"/>
        <w:gridCol w:w="1036"/>
        <w:gridCol w:w="591"/>
      </w:tblGrid>
      <w:tr>
        <w:trPr/>
        <w:tc>
          <w:tcPr>
            <w:tcW w:w="5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80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5,806</w:t>
            </w:r>
          </w:p>
        </w:tc>
        <w:tc>
          <w:tcPr>
            <w:tcW w:w="591" w:type="dxa"/>
            <w:tcBorders/>
            <w:vAlign w:val="center"/>
          </w:tcPr>
          <w:p>
            <w:pPr>
              <w:pStyle w:val="TableContents"/>
              <w:bidi w:val="0"/>
              <w:spacing w:before="0" w:after="0"/>
              <w:ind w:left="0" w:right="0" w:firstLine="200"/>
              <w:jc w:val="lef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3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8,887</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(8,887</w:t>
            </w:r>
          </w:p>
        </w:tc>
        <w:tc>
          <w:tcPr>
            <w:tcW w:w="59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share,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(0.49</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common shares outstanding, basic and diluted</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43,897,603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18,338,853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5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gain:</w:t>
            </w:r>
          </w:p>
        </w:tc>
        <w:tc>
          <w:tcPr>
            <w:tcW w:w="146" w:type="dxa"/>
            <w:tcBorders/>
            <w:vAlign w:val="center"/>
          </w:tcPr>
          <w:p>
            <w:pPr>
              <w:pStyle w:val="TableContents"/>
              <w:bidi w:val="0"/>
              <w:spacing w:before="0" w:after="0"/>
              <w:ind w:left="0" w:right="0" w:hanging="0"/>
              <w:jc w:val="lef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247"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200"/>
              <w:jc w:val="right"/>
              <w:rPr/>
            </w:pPr>
            <w:r>
              <w:rPr/>
              <w:t> </w:t>
            </w:r>
          </w:p>
        </w:tc>
      </w:tr>
      <w:tr>
        <w:trPr/>
        <w:tc>
          <w:tcPr>
            <w:tcW w:w="5386"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on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r>
      <w:tr>
        <w:trPr/>
        <w:tc>
          <w:tcPr>
            <w:tcW w:w="538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comprehensive gain</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53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comprehensive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(6,495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5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6" w:name="condensed_consolidated_statements_change"/>
      <w:bookmarkEnd w:id="6"/>
      <w:r>
        <w:rPr>
          <w:rFonts w:ascii="Times New Roman;serif" w:hAnsi="Times New Roman;serif"/>
          <w:b/>
          <w:sz w:val="20"/>
        </w:rPr>
        <w:t>CONDENSED CONSOLIDATED STATEMENTS OF CHANGES IN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STOCKHOLDERS’ 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 except share data)</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2169"/>
        <w:gridCol w:w="146"/>
        <w:gridCol w:w="146"/>
        <w:gridCol w:w="1036"/>
        <w:gridCol w:w="146"/>
        <w:gridCol w:w="146"/>
        <w:gridCol w:w="255"/>
        <w:gridCol w:w="420"/>
        <w:gridCol w:w="146"/>
        <w:gridCol w:w="146"/>
        <w:gridCol w:w="211"/>
        <w:gridCol w:w="781"/>
        <w:gridCol w:w="146"/>
        <w:gridCol w:w="146"/>
        <w:gridCol w:w="211"/>
        <w:gridCol w:w="841"/>
        <w:gridCol w:w="166"/>
        <w:gridCol w:w="146"/>
        <w:gridCol w:w="436"/>
        <w:gridCol w:w="780"/>
        <w:gridCol w:w="166"/>
        <w:gridCol w:w="146"/>
        <w:gridCol w:w="225"/>
        <w:gridCol w:w="835"/>
        <w:gridCol w:w="213"/>
      </w:tblGrid>
      <w:tr>
        <w:trPr/>
        <w:tc>
          <w:tcPr>
            <w:tcW w:w="2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214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3" w:type="dxa"/>
            <w:tcBorders/>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67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Gain (Loss)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43,269,200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262,496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(151,605</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110,903</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19"/>
              </w:rPr>
            </w:pPr>
            <w:r>
              <w:rPr>
                <w:rFonts w:ascii="Times New Roman;serif" w:hAnsi="Times New Roman;serif"/>
                <w:b w:val="false"/>
                <w:sz w:val="19"/>
              </w:rPr>
              <w:t>Unrealized gain on marketable securities</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left"/>
              <w:rPr/>
            </w:pPr>
            <w:r>
              <w:rPr/>
              <w:t> </w:t>
            </w:r>
          </w:p>
        </w:tc>
        <w:tc>
          <w:tcPr>
            <w:tcW w:w="4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left"/>
              <w:rPr/>
            </w:pPr>
            <w:r>
              <w:rPr/>
              <w:t> </w:t>
            </w:r>
          </w:p>
        </w:tc>
        <w:tc>
          <w:tcPr>
            <w:tcW w:w="78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 </w:t>
            </w:r>
          </w:p>
        </w:tc>
        <w:tc>
          <w:tcPr>
            <w:tcW w:w="83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3" w:type="dxa"/>
            <w:tcBorders/>
            <w:vAlign w:val="center"/>
          </w:tcPr>
          <w:p>
            <w:pPr>
              <w:pStyle w:val="TableContents"/>
              <w:bidi w:val="0"/>
              <w:spacing w:before="0" w:after="0"/>
              <w:ind w:left="0" w:right="0" w:hanging="0"/>
              <w:jc w:val="left"/>
              <w:rPr/>
            </w:pPr>
            <w:r>
              <w:rPr/>
              <w:t> </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2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3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6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43,269,200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2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264,329</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(158,131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106,241</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tbl>
      <w:tblPr>
        <w:tblW w:w="10205" w:type="dxa"/>
        <w:jc w:val="left"/>
        <w:tblInd w:w="0" w:type="dxa"/>
        <w:tblLayout w:type="fixed"/>
        <w:tblCellMar>
          <w:top w:w="28" w:type="dxa"/>
          <w:left w:w="28" w:type="dxa"/>
          <w:bottom w:w="28" w:type="dxa"/>
          <w:right w:w="28" w:type="dxa"/>
        </w:tblCellMar>
      </w:tblPr>
      <w:tblGrid>
        <w:gridCol w:w="2156"/>
        <w:gridCol w:w="146"/>
        <w:gridCol w:w="146"/>
        <w:gridCol w:w="1036"/>
        <w:gridCol w:w="146"/>
        <w:gridCol w:w="146"/>
        <w:gridCol w:w="266"/>
        <w:gridCol w:w="436"/>
        <w:gridCol w:w="146"/>
        <w:gridCol w:w="146"/>
        <w:gridCol w:w="211"/>
        <w:gridCol w:w="781"/>
        <w:gridCol w:w="146"/>
        <w:gridCol w:w="146"/>
        <w:gridCol w:w="211"/>
        <w:gridCol w:w="841"/>
        <w:gridCol w:w="166"/>
        <w:gridCol w:w="146"/>
        <w:gridCol w:w="460"/>
        <w:gridCol w:w="756"/>
        <w:gridCol w:w="146"/>
        <w:gridCol w:w="146"/>
        <w:gridCol w:w="253"/>
        <w:gridCol w:w="813"/>
        <w:gridCol w:w="213"/>
      </w:tblGrid>
      <w:tr>
        <w:trPr/>
        <w:tc>
          <w:tcPr>
            <w:tcW w:w="2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pPr>
            <w:r>
              <w:rPr/>
              <w:t> </w:t>
            </w:r>
          </w:p>
        </w:tc>
        <w:tc>
          <w:tcPr>
            <w:tcW w:w="213" w:type="dxa"/>
            <w:tcBorders/>
            <w:vAlign w:val="center"/>
          </w:tcPr>
          <w:p>
            <w:pPr>
              <w:pStyle w:val="TableContents"/>
              <w:bidi w:val="0"/>
              <w:spacing w:before="0" w:after="0"/>
              <w:ind w:left="0" w:right="0" w:hanging="0"/>
              <w:jc w:val="center"/>
              <w:rPr/>
            </w:pPr>
            <w:r>
              <w:rPr/>
              <w:t> </w:t>
            </w:r>
          </w:p>
        </w:tc>
      </w:tr>
      <w:tr>
        <w:trPr/>
        <w:tc>
          <w:tcPr>
            <w:tcW w:w="2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2" w:type="dxa"/>
            <w:gridSpan w:val="2"/>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Other</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3" w:type="dxa"/>
            <w:tcBorders/>
            <w:vAlign w:val="center"/>
          </w:tcPr>
          <w:p>
            <w:pPr>
              <w:pStyle w:val="TableContents"/>
              <w:bidi w:val="0"/>
              <w:spacing w:before="0" w:after="0"/>
              <w:ind w:left="0" w:right="0" w:hanging="0"/>
              <w:jc w:val="center"/>
              <w:rPr/>
            </w:pPr>
            <w:r>
              <w:rPr/>
              <w:t> </w:t>
            </w:r>
          </w:p>
        </w:tc>
      </w:tr>
      <w:tr>
        <w:trPr/>
        <w:tc>
          <w:tcPr>
            <w:tcW w:w="2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2176"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Accumulated</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Comprehensive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Stockholders’</w:t>
            </w:r>
          </w:p>
        </w:tc>
        <w:tc>
          <w:tcPr>
            <w:tcW w:w="213" w:type="dxa"/>
            <w:tcBorders/>
            <w:vAlign w:val="center"/>
          </w:tcPr>
          <w:p>
            <w:pPr>
              <w:pStyle w:val="TableContents"/>
              <w:bidi w:val="0"/>
              <w:spacing w:before="0" w:after="0"/>
              <w:ind w:left="0" w:right="0" w:hanging="0"/>
              <w:jc w:val="center"/>
              <w:rPr/>
            </w:pPr>
            <w:r>
              <w:rPr/>
              <w:t> </w:t>
            </w:r>
          </w:p>
        </w:tc>
      </w:tr>
      <w:tr>
        <w:trPr/>
        <w:tc>
          <w:tcPr>
            <w:tcW w:w="215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18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0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Par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Deficit</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21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Loss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Equity</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1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December 31, 2021</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17,710,450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180,645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(116,250</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64,413</w:t>
            </w:r>
          </w:p>
        </w:tc>
        <w:tc>
          <w:tcPr>
            <w:tcW w:w="213" w:type="dxa"/>
            <w:tcBorders/>
            <w:vAlign w:val="center"/>
          </w:tcPr>
          <w:p>
            <w:pPr>
              <w:pStyle w:val="TableContents"/>
              <w:bidi w:val="0"/>
              <w:spacing w:before="0" w:after="0"/>
              <w:ind w:left="0" w:right="0" w:hanging="0"/>
              <w:jc w:val="left"/>
              <w:rPr/>
            </w:pPr>
            <w:r>
              <w:rPr/>
              <w:t> </w:t>
            </w:r>
          </w:p>
        </w:tc>
      </w:tr>
      <w:tr>
        <w:trPr/>
        <w:tc>
          <w:tcPr>
            <w:tcW w:w="2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60"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vAlign w:val="center"/>
          </w:tcPr>
          <w:p>
            <w:pPr>
              <w:pStyle w:val="TableContents"/>
              <w:bidi w:val="0"/>
              <w:spacing w:before="0" w:after="0"/>
              <w:ind w:left="0" w:right="0" w:hanging="0"/>
              <w:jc w:val="left"/>
              <w:rPr/>
            </w:pPr>
            <w:r>
              <w:rPr/>
              <w:t> </w:t>
            </w:r>
          </w:p>
        </w:tc>
        <w:tc>
          <w:tcPr>
            <w:tcW w:w="813"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w:t>
            </w:r>
          </w:p>
        </w:tc>
        <w:tc>
          <w:tcPr>
            <w:tcW w:w="213" w:type="dxa"/>
            <w:tcBorders/>
            <w:vAlign w:val="center"/>
          </w:tcPr>
          <w:p>
            <w:pPr>
              <w:pStyle w:val="TableContents"/>
              <w:bidi w:val="0"/>
              <w:spacing w:before="0" w:after="0"/>
              <w:ind w:left="0" w:right="0" w:hanging="0"/>
              <w:jc w:val="left"/>
              <w:rPr/>
            </w:pPr>
            <w:r>
              <w:rPr/>
              <w:t> </w:t>
            </w:r>
          </w:p>
        </w:tc>
      </w:tr>
      <w:tr>
        <w:trPr/>
        <w:tc>
          <w:tcPr>
            <w:tcW w:w="215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213"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5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Balances as of March 31, 2022</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17,710,450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4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182,280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(125,193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46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5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57,105</w:t>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serif" w:hAnsi="Times New Roman;serif"/>
          <w:b w:val="false"/>
          <w:sz w:val="20"/>
        </w:rPr>
      </w:pPr>
      <w:r>
        <w:rPr>
          <w:rFonts w:ascii="Times New Roman;serif" w:hAnsi="Times New Roman;serif"/>
          <w:b w:val="false"/>
          <w:sz w:val="20"/>
        </w:rPr>
        <w:t>The accompanying notes are an integral part of these condensed consolidated financial statements.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7" w:name="condensed_consolidated_statements_cash_f"/>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6457"/>
        <w:gridCol w:w="346"/>
        <w:gridCol w:w="211"/>
        <w:gridCol w:w="781"/>
        <w:gridCol w:w="566"/>
        <w:gridCol w:w="346"/>
        <w:gridCol w:w="211"/>
        <w:gridCol w:w="676"/>
        <w:gridCol w:w="611"/>
      </w:tblGrid>
      <w:tr>
        <w:trPr/>
        <w:tc>
          <w:tcPr>
            <w:tcW w:w="645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457"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2791"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57"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283"/>
              <w:ind w:left="0" w:right="0" w:hanging="0"/>
              <w:jc w:val="left"/>
              <w:rPr>
                <w:sz w:val="4"/>
                <w:szCs w:val="4"/>
              </w:rPr>
            </w:pPr>
            <w:r>
              <w:rPr>
                <w:sz w:val="4"/>
                <w:szCs w:val="4"/>
              </w:rPr>
            </w:r>
          </w:p>
        </w:tc>
        <w:tc>
          <w:tcPr>
            <w:tcW w:w="5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5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firstLine="200"/>
              <w:jc w:val="left"/>
              <w:rPr/>
            </w:pPr>
            <w:r>
              <w:rPr/>
              <w:t> </w:t>
            </w:r>
          </w:p>
        </w:tc>
      </w:tr>
      <w:tr>
        <w:trPr/>
        <w:tc>
          <w:tcPr>
            <w:tcW w:w="64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56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w:t>
            </w:r>
          </w:p>
        </w:tc>
        <w:tc>
          <w:tcPr>
            <w:tcW w:w="611" w:type="dxa"/>
            <w:tcBorders/>
            <w:vAlign w:val="center"/>
          </w:tcPr>
          <w:p>
            <w:pPr>
              <w:pStyle w:val="TableContents"/>
              <w:bidi w:val="0"/>
              <w:spacing w:before="0" w:after="0"/>
              <w:ind w:left="0" w:right="0" w:firstLine="200"/>
              <w:jc w:val="left"/>
              <w:rPr/>
            </w:pPr>
            <w:r>
              <w:rPr/>
              <w:t> </w:t>
            </w:r>
          </w:p>
        </w:tc>
      </w:tr>
      <w:tr>
        <w:trPr/>
        <w:tc>
          <w:tcPr>
            <w:tcW w:w="64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lease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56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c>
          <w:tcPr>
            <w:tcW w:w="6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4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 expense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56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w:t>
            </w:r>
          </w:p>
        </w:tc>
        <w:tc>
          <w:tcPr>
            <w:tcW w:w="611" w:type="dxa"/>
            <w:tcBorders/>
            <w:vAlign w:val="center"/>
          </w:tcPr>
          <w:p>
            <w:pPr>
              <w:pStyle w:val="TableContents"/>
              <w:bidi w:val="0"/>
              <w:spacing w:before="0" w:after="0"/>
              <w:ind w:left="0" w:right="0" w:firstLine="200"/>
              <w:jc w:val="left"/>
              <w:rPr/>
            </w:pPr>
            <w:r>
              <w:rPr/>
              <w:t> </w:t>
            </w:r>
          </w:p>
        </w:tc>
      </w:tr>
      <w:tr>
        <w:trPr/>
        <w:tc>
          <w:tcPr>
            <w:tcW w:w="6457"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Amortization of premium on marketable securities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(616</w:t>
            </w:r>
          </w:p>
        </w:tc>
        <w:tc>
          <w:tcPr>
            <w:tcW w:w="566"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2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200"/>
              <w:jc w:val="left"/>
              <w:rPr/>
            </w:pPr>
            <w:r>
              <w:rPr/>
              <w:t> </w:t>
            </w:r>
          </w:p>
        </w:tc>
      </w:tr>
      <w:tr>
        <w:trPr/>
        <w:tc>
          <w:tcPr>
            <w:tcW w:w="6457" w:type="dxa"/>
            <w:tcBorders/>
            <w:vAlign w:val="center"/>
          </w:tcPr>
          <w:p>
            <w:pPr>
              <w:pStyle w:val="TableContents"/>
              <w:bidi w:val="0"/>
              <w:spacing w:before="0" w:after="0"/>
              <w:ind w:left="200" w:right="0" w:hanging="0"/>
              <w:jc w:val="left"/>
              <w:rPr>
                <w:rFonts w:ascii="Times New Roman;serif" w:hAnsi="Times New Roman;serif"/>
                <w:b/>
                <w:sz w:val="20"/>
              </w:rPr>
            </w:pPr>
            <w:r>
              <w:rPr>
                <w:rFonts w:ascii="Times New Roman;serif" w:hAnsi="Times New Roman;serif"/>
                <w:b/>
                <w:sz w:val="20"/>
              </w:rPr>
              <w:t>Changes in operating assets and liabilities:</w:t>
            </w:r>
          </w:p>
        </w:tc>
        <w:tc>
          <w:tcPr>
            <w:tcW w:w="346" w:type="dxa"/>
            <w:tcBorders/>
            <w:vAlign w:val="center"/>
          </w:tcPr>
          <w:p>
            <w:pPr>
              <w:pStyle w:val="TableContents"/>
              <w:bidi w:val="0"/>
              <w:spacing w:before="0" w:after="0"/>
              <w:ind w:left="0" w:right="0" w:firstLine="200"/>
              <w:jc w:val="left"/>
              <w:rPr/>
            </w:pPr>
            <w:r>
              <w:rPr/>
              <w:t> </w:t>
            </w:r>
          </w:p>
        </w:tc>
        <w:tc>
          <w:tcPr>
            <w:tcW w:w="992" w:type="dxa"/>
            <w:gridSpan w:val="2"/>
            <w:tcBorders/>
            <w:vAlign w:val="center"/>
          </w:tcPr>
          <w:p>
            <w:pPr>
              <w:pStyle w:val="TableContents"/>
              <w:bidi w:val="0"/>
              <w:spacing w:before="0" w:after="0"/>
              <w:ind w:left="200" w:right="0" w:hanging="0"/>
              <w:jc w:val="left"/>
              <w:rPr/>
            </w:pPr>
            <w:r>
              <w:rPr/>
              <w:t> </w:t>
            </w:r>
          </w:p>
        </w:tc>
        <w:tc>
          <w:tcPr>
            <w:tcW w:w="566" w:type="dxa"/>
            <w:tcBorders/>
            <w:vAlign w:val="center"/>
          </w:tcPr>
          <w:p>
            <w:pPr>
              <w:pStyle w:val="TableContents"/>
              <w:bidi w:val="0"/>
              <w:spacing w:before="0" w:after="0"/>
              <w:ind w:left="0" w:right="0" w:firstLine="200"/>
              <w:jc w:val="left"/>
              <w:rPr/>
            </w:pPr>
            <w:r>
              <w:rPr/>
              <w:t> </w:t>
            </w:r>
          </w:p>
        </w:tc>
        <w:tc>
          <w:tcPr>
            <w:tcW w:w="346" w:type="dxa"/>
            <w:tcBorders/>
            <w:vAlign w:val="center"/>
          </w:tcPr>
          <w:p>
            <w:pPr>
              <w:pStyle w:val="TableContents"/>
              <w:bidi w:val="0"/>
              <w:spacing w:before="0" w:after="0"/>
              <w:ind w:left="0" w:right="0" w:firstLine="200"/>
              <w:jc w:val="left"/>
              <w:rPr/>
            </w:pPr>
            <w:r>
              <w:rPr/>
              <w:t> </w:t>
            </w:r>
          </w:p>
        </w:tc>
        <w:tc>
          <w:tcPr>
            <w:tcW w:w="887" w:type="dxa"/>
            <w:gridSpan w:val="2"/>
            <w:tcBorders/>
            <w:vAlign w:val="center"/>
          </w:tcPr>
          <w:p>
            <w:pPr>
              <w:pStyle w:val="TableContents"/>
              <w:bidi w:val="0"/>
              <w:spacing w:before="0" w:after="0"/>
              <w:ind w:left="200" w:right="0" w:hanging="0"/>
              <w:jc w:val="left"/>
              <w:rPr/>
            </w:pPr>
            <w:r>
              <w:rPr/>
              <w:t> </w:t>
            </w:r>
          </w:p>
        </w:tc>
        <w:tc>
          <w:tcPr>
            <w:tcW w:w="611" w:type="dxa"/>
            <w:tcBorders/>
            <w:vAlign w:val="center"/>
          </w:tcPr>
          <w:p>
            <w:pPr>
              <w:pStyle w:val="TableContents"/>
              <w:bidi w:val="0"/>
              <w:spacing w:before="0" w:after="0"/>
              <w:ind w:left="0" w:right="0" w:firstLine="400"/>
              <w:jc w:val="left"/>
              <w:rPr/>
            </w:pPr>
            <w:r>
              <w:rPr/>
              <w:t> </w:t>
            </w:r>
          </w:p>
        </w:tc>
      </w:tr>
      <w:tr>
        <w:trPr/>
        <w:tc>
          <w:tcPr>
            <w:tcW w:w="64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371</w:t>
            </w:r>
          </w:p>
        </w:tc>
        <w:tc>
          <w:tcPr>
            <w:tcW w:w="566" w:type="dxa"/>
            <w:tcBorders/>
            <w:vAlign w:val="center"/>
          </w:tcPr>
          <w:p>
            <w:pPr>
              <w:pStyle w:val="TableContents"/>
              <w:bidi w:val="0"/>
              <w:spacing w:before="0" w:after="0"/>
              <w:ind w:left="0" w:right="0" w:firstLine="400"/>
              <w:jc w:val="left"/>
              <w:rPr/>
            </w:pPr>
            <w:r>
              <w:rPr/>
              <w:t> </w:t>
            </w:r>
          </w:p>
        </w:tc>
        <w:tc>
          <w:tcPr>
            <w:tcW w:w="3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(208</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(991</w:t>
            </w:r>
          </w:p>
        </w:tc>
        <w:tc>
          <w:tcPr>
            <w:tcW w:w="56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657</w:t>
            </w:r>
          </w:p>
        </w:tc>
        <w:tc>
          <w:tcPr>
            <w:tcW w:w="611" w:type="dxa"/>
            <w:tcBorders/>
            <w:vAlign w:val="center"/>
          </w:tcPr>
          <w:p>
            <w:pPr>
              <w:pStyle w:val="TableContents"/>
              <w:bidi w:val="0"/>
              <w:spacing w:before="0" w:after="0"/>
              <w:ind w:left="0" w:right="0" w:firstLine="400"/>
              <w:jc w:val="left"/>
              <w:rPr/>
            </w:pPr>
            <w:r>
              <w:rPr/>
              <w:t> </w:t>
            </w:r>
          </w:p>
        </w:tc>
      </w:tr>
      <w:tr>
        <w:trPr/>
        <w:tc>
          <w:tcPr>
            <w:tcW w:w="64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(1,682</w:t>
            </w:r>
          </w:p>
        </w:tc>
        <w:tc>
          <w:tcPr>
            <w:tcW w:w="566"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40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(752</w:t>
            </w:r>
          </w:p>
        </w:tc>
        <w:tc>
          <w:tcPr>
            <w:tcW w:w="611" w:type="dxa"/>
            <w:tcBorders/>
            <w:vAlign w:val="center"/>
          </w:tcPr>
          <w:p>
            <w:pPr>
              <w:pStyle w:val="TableContents"/>
              <w:bidi w:val="0"/>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457"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assets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firstLine="400"/>
              <w:jc w:val="left"/>
              <w:rPr/>
            </w:pPr>
            <w:r>
              <w:rPr/>
              <w:t> </w:t>
            </w:r>
          </w:p>
        </w:tc>
        <w:tc>
          <w:tcPr>
            <w:tcW w:w="346" w:type="dxa"/>
            <w:tcBorders/>
            <w:vAlign w:val="center"/>
          </w:tcPr>
          <w:p>
            <w:pPr>
              <w:pStyle w:val="TableContents"/>
              <w:bidi w:val="0"/>
              <w:spacing w:before="0" w:after="0"/>
              <w:ind w:left="4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45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(7,551</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rFonts w:ascii="Times New Roman;serif" w:hAnsi="Times New Roman;serif"/>
                <w:b w:val="false"/>
                <w:sz w:val="20"/>
              </w:rPr>
            </w:pPr>
            <w:r>
              <w:rPr>
                <w:rFonts w:ascii="Times New Roman;serif" w:hAnsi="Times New Roman;serif"/>
                <w:b w:val="false"/>
                <w:sz w:val="20"/>
              </w:rPr>
              <w:t>)</w:t>
            </w:r>
          </w:p>
        </w:tc>
        <w:tc>
          <w:tcPr>
            <w:tcW w:w="3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283"/>
              <w:ind w:left="0" w:right="0" w:hanging="0"/>
              <w:jc w:val="left"/>
              <w:rPr>
                <w:sz w:val="4"/>
                <w:szCs w:val="4"/>
              </w:rPr>
            </w:pPr>
            <w:r>
              <w:rPr>
                <w:sz w:val="4"/>
                <w:szCs w:val="4"/>
              </w:rPr>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left"/>
              <w:rPr/>
            </w:pPr>
            <w:r>
              <w:rPr/>
              <w:t> </w:t>
            </w:r>
          </w:p>
        </w:tc>
        <w:tc>
          <w:tcPr>
            <w:tcW w:w="611" w:type="dxa"/>
            <w:tcBorders/>
            <w:vAlign w:val="center"/>
          </w:tcPr>
          <w:p>
            <w:pPr>
              <w:pStyle w:val="TableContents"/>
              <w:bidi w:val="0"/>
              <w:spacing w:before="0" w:after="0"/>
              <w:ind w:left="0" w:right="0" w:hanging="0"/>
              <w:jc w:val="left"/>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Maturities and sales of marketable debt securities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92,250</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r>
      <w:tr>
        <w:trPr/>
        <w:tc>
          <w:tcPr>
            <w:tcW w:w="645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92,250</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firstLine="100"/>
              <w:jc w:val="left"/>
              <w:rPr/>
            </w:pPr>
            <w:r>
              <w:rPr/>
              <w:t> </w:t>
            </w:r>
          </w:p>
        </w:tc>
        <w:tc>
          <w:tcPr>
            <w:tcW w:w="346" w:type="dxa"/>
            <w:tcBorders/>
            <w:vAlign w:val="center"/>
          </w:tcPr>
          <w:p>
            <w:pPr>
              <w:pStyle w:val="TableContents"/>
              <w:bidi w:val="0"/>
              <w:spacing w:before="0" w:after="0"/>
              <w:ind w:left="10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611" w:type="dxa"/>
            <w:tcBorders/>
            <w:vAlign w:val="center"/>
          </w:tcPr>
          <w:p>
            <w:pPr>
              <w:pStyle w:val="TableContents"/>
              <w:bidi w:val="0"/>
              <w:spacing w:before="0" w:after="0"/>
              <w:ind w:left="0" w:right="0" w:firstLine="100"/>
              <w:jc w:val="left"/>
              <w:rPr/>
            </w:pPr>
            <w:r>
              <w:rPr/>
              <w:t> </w:t>
            </w:r>
          </w:p>
        </w:tc>
      </w:tr>
      <w:tr>
        <w:trPr/>
        <w:tc>
          <w:tcPr>
            <w:tcW w:w="6457" w:type="dxa"/>
            <w:tcBorders/>
            <w:vAlign w:val="center"/>
          </w:tcPr>
          <w:p>
            <w:pPr>
              <w:pStyle w:val="TableContents"/>
              <w:bidi w:val="0"/>
              <w:spacing w:before="0" w:after="0"/>
              <w:ind w:left="1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3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5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firstLine="100"/>
              <w:jc w:val="left"/>
              <w:rPr/>
            </w:pPr>
            <w:r>
              <w:rPr/>
              <w:t> </w:t>
            </w:r>
          </w:p>
        </w:tc>
        <w:tc>
          <w:tcPr>
            <w:tcW w:w="346" w:type="dxa"/>
            <w:tcBorders/>
            <w:vAlign w:val="center"/>
          </w:tcPr>
          <w:p>
            <w:pPr>
              <w:pStyle w:val="TableContents"/>
              <w:bidi w:val="0"/>
              <w:spacing w:before="0" w:after="0"/>
              <w:ind w:left="10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7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6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increase in cash, cash equivalents and restricted cash</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84,699</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(7,533</w:t>
            </w:r>
          </w:p>
        </w:tc>
        <w:tc>
          <w:tcPr>
            <w:tcW w:w="6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beginning of period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28,164</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71,436</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at end of period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112,863</w:t>
            </w:r>
          </w:p>
        </w:tc>
        <w:tc>
          <w:tcPr>
            <w:tcW w:w="5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63,903</w:t>
            </w:r>
          </w:p>
        </w:tc>
        <w:tc>
          <w:tcPr>
            <w:tcW w:w="6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activities:</w:t>
            </w:r>
          </w:p>
        </w:tc>
        <w:tc>
          <w:tcPr>
            <w:tcW w:w="3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56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611" w:type="dxa"/>
            <w:tcBorders/>
            <w:vAlign w:val="center"/>
          </w:tcPr>
          <w:p>
            <w:pPr>
              <w:pStyle w:val="TableContents"/>
              <w:bidi w:val="0"/>
              <w:spacing w:before="0" w:after="0"/>
              <w:ind w:left="0" w:right="0" w:hanging="0"/>
              <w:jc w:val="right"/>
              <w:rPr/>
            </w:pPr>
            <w:r>
              <w:rPr/>
              <w:t> </w:t>
            </w:r>
          </w:p>
        </w:tc>
      </w:tr>
      <w:tr>
        <w:trPr/>
        <w:tc>
          <w:tcPr>
            <w:tcW w:w="6457"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accounts payable and accrued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pPr>
            <w:r>
              <w:rPr/>
              <w:t>—</w:t>
            </w:r>
          </w:p>
        </w:tc>
        <w:tc>
          <w:tcPr>
            <w:tcW w:w="566" w:type="dxa"/>
            <w:tcBorders/>
            <w:vAlign w:val="center"/>
          </w:tcPr>
          <w:p>
            <w:pPr>
              <w:pStyle w:val="TableContents"/>
              <w:bidi w:val="0"/>
              <w:spacing w:before="0" w:after="0"/>
              <w:ind w:left="0" w:right="0" w:hanging="0"/>
              <w:jc w:val="left"/>
              <w:rPr/>
            </w:pPr>
            <w:r>
              <w:rPr/>
              <w:t> </w:t>
            </w:r>
          </w:p>
        </w:tc>
        <w:tc>
          <w:tcPr>
            <w:tcW w:w="346" w:type="dxa"/>
            <w:tcBorders/>
            <w:vAlign w:val="center"/>
          </w:tcPr>
          <w:p>
            <w:pPr>
              <w:pStyle w:val="TableContents"/>
              <w:bidi w:val="0"/>
              <w:spacing w:before="0" w:after="0"/>
              <w:ind w:left="0" w:right="0" w:hanging="0"/>
              <w:jc w:val="righ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w:t>
            </w:r>
          </w:p>
        </w:tc>
        <w:tc>
          <w:tcPr>
            <w:tcW w:w="611" w:type="dxa"/>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val="false"/>
          <w:sz w:val="20"/>
        </w:rPr>
        <w:t>The accompanying notes are an integral part of these condensed consolidated financial statements.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serif" w:hAnsi="Times New Roman;serif"/>
          <w:b/>
          <w:sz w:val="20"/>
        </w:rPr>
        <w:t>LARIMAR THERAPEUTICS, INC.</w:t>
      </w:r>
      <w:r>
        <w:rPr>
          <w:rFonts w:ascii="Times New Roman" w:hAnsi="Times New Roman"/>
          <w:sz w:val="20"/>
        </w:rPr>
        <w:t xml:space="preserve"> </w:t>
      </w:r>
    </w:p>
    <w:p>
      <w:pPr>
        <w:pStyle w:val="TextBody"/>
        <w:bidi w:val="0"/>
        <w:spacing w:before="240" w:after="0"/>
        <w:jc w:val="center"/>
        <w:rPr>
          <w:rFonts w:ascii="Times New Roman" w:hAnsi="Times New Roman"/>
          <w:sz w:val="20"/>
        </w:rPr>
      </w:pPr>
      <w:bookmarkStart w:id="8" w:name="notes_to_condensed_consolidated_financia"/>
      <w:bookmarkEnd w:id="8"/>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240" w:after="0"/>
        <w:jc w:val="left"/>
        <w:rPr>
          <w:rFonts w:ascii="Times New Roman" w:hAnsi="Times New Roman"/>
          <w:b/>
          <w:sz w:val="20"/>
        </w:rPr>
      </w:pPr>
      <w:r>
        <w:rPr>
          <w:rFonts w:ascii="Times New Roman" w:hAnsi="Times New Roman"/>
          <w:b/>
          <w:sz w:val="20"/>
        </w:rPr>
        <w:t>1.</w:t>
      </w:r>
    </w:p>
    <w:p>
      <w:pPr>
        <w:pStyle w:val="TextBody"/>
        <w:bidi w:val="0"/>
        <w:spacing w:before="240" w:after="283"/>
        <w:jc w:val="left"/>
        <w:rPr>
          <w:rFonts w:ascii="Times New Roman;serif" w:hAnsi="Times New Roman;serif"/>
          <w:b/>
          <w:sz w:val="20"/>
        </w:rPr>
      </w:pPr>
      <w:r>
        <w:rPr>
          <w:rFonts w:ascii="Times New Roman;serif" w:hAnsi="Times New Roman;serif"/>
          <w:b/>
          <w:sz w:val="20"/>
        </w:rPr>
        <w:t xml:space="preserve">Description of Business and Basis of Presentation </w:t>
      </w:r>
    </w:p>
    <w:p>
      <w:pPr>
        <w:pStyle w:val="TextBody"/>
        <w:bidi w:val="0"/>
        <w:spacing w:before="120" w:after="0"/>
        <w:jc w:val="left"/>
        <w:rPr>
          <w:rFonts w:ascii="Times New Roman" w:hAnsi="Times New Roman"/>
          <w:sz w:val="20"/>
        </w:rPr>
      </w:pPr>
      <w:r>
        <w:rPr>
          <w:rFonts w:ascii="Times New Roman;serif" w:hAnsi="Times New Roman;serif"/>
          <w:b w:val="false"/>
          <w:sz w:val="20"/>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2021, Larimar reported positive top-line data from its Phase 1 FA program after completing dosing of the single ascending dose ("SAD") trial in December 2020 and of the multiple ascending dose ("MAD") trial in March 2021.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Also in May 2021, the U.S. Food and Drug Administration ("FDA") placed a clinical hold on the Company's CTI-1601 clinical program after the Company notified the agency of mortalities at the highest dose levels of a 26-week non-human primate toxicology study that was designed to support extended dosing of patients with CTI-1601. At the time the hold was placed, Larimar had no interventional clinical trials with patients enrolling or enrolled.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2022, in response to the complete response the Company submitted, the FDA stated that it was maintaining the clinical hold and that additional data were needed to resolve the clinical hold. The Company subsequently submitted a request to the FDA for a Type C meeting, which was granted and was held in July 2022. The Company submitted a complete response to the FDA incorporating additional information requested by the FDA at the meeting as well as information on a proposed dose exploration study in August 2022.</w:t>
      </w:r>
    </w:p>
    <w:p>
      <w:pPr>
        <w:pStyle w:val="TextBody"/>
        <w:bidi w:val="0"/>
        <w:spacing w:before="120" w:after="0"/>
        <w:jc w:val="left"/>
        <w:rPr>
          <w:rFonts w:ascii="Times New Roman" w:hAnsi="Times New Roman"/>
          <w:sz w:val="20"/>
        </w:rPr>
      </w:pPr>
      <w:r>
        <w:rPr>
          <w:rFonts w:ascii="Times New Roman;serif" w:hAnsi="Times New Roman;serif"/>
          <w:b w:val="false"/>
          <w:sz w:val="20"/>
        </w:rPr>
        <w:t xml:space="preserve">In September 2022, following the Type C meeting and the submission of the Company's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clinical hold. The dose exploration trial is designed to further characterize CTI-1601’s safety, PD and PK profiles to provide information about the long-term dose and dose regimen. </w:t>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Larimar reported preliminary top-line data from the 25 mg cohort of its Phase 2 four-week, placebo controlled dose exploration trial of CTI-1601 in FA patients and announced that it had submitted this data to the FDA. Larimar has a meeting scheduled with the Agency later this quarter to discuss the information needed to gain clearance to initiate a 50 mg cohort in the Phase 2 trial. Larimar expects to provide an update on the next steps for the CTI-1601 program in the third quarter of 2023, after it has received feedback from the upcoming FDA meeting.</w:t>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subject to risks and uncertainties common to pre-commercial companies in the biotechnology industry, including, but not limited 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Product candidates currently under development will require extensive non-clinical and clinical testing and regulatory approval prior to commercialization. These efforts require significant amounts of additional capital, adequate personnel, infrastructure and extensive compliance-reporting capabilities. Even if the Company's drug development efforts are successful, it is uncertain when, if ever, it will realize significant revenue from product sales.</w:t>
        <w:br/>
      </w:r>
      <w:r>
        <w:rPr>
          <w:rFonts w:ascii="Times New Roman" w:hAnsi="Times New Roman"/>
          <w:sz w:val="20"/>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Basis of Presentation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Generally Accepted Accounting Principles ("GAAP").</w:t>
      </w:r>
    </w:p>
    <w:p>
      <w:pPr>
        <w:pStyle w:val="TextBody"/>
        <w:bidi w:val="0"/>
        <w:spacing w:before="120" w:after="0"/>
        <w:jc w:val="left"/>
        <w:rPr>
          <w:rFonts w:ascii="Times New Roman" w:hAnsi="Times New Roman"/>
          <w:sz w:val="20"/>
        </w:rPr>
      </w:pPr>
      <w:r>
        <w:rPr>
          <w:rFonts w:ascii="Times New Roman;serif" w:hAnsi="Times New Roman;serif"/>
          <w:b w:val="false"/>
          <w:sz w:val="20"/>
        </w:rPr>
        <w:t>The condensed consolidated balance sheet as of December 31, 2022 was derived from the Company’s audited financial statements but does not include all disclosures required by GAAP. The accompanying unaudited condensed consolidated financial statements as of March 31, 2023 and for the three months ended March 31, 2023</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and 2022,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2022 included in the Company’s Annual Report on Form 10-K filed with the SEC on March 14, 2023.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opinion of management, all adjustments, consisting only of normal recurring adjustments necessary for a fair statement of the Company’s condensed consolidated financial position as of March 31, 2023, condensed consolidated results of operations for the three months ended March 31, 2023 and condensed consolidated statement of cash flows for the three months ended March 31, 2023 have been made. The results of operations for the three months ended March 31, 2023 are not necessarily indicative of the results of operations that may be expected for the year ending December 31,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Liquidity and Capital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Company’s condensed consolidated financial statements have been presented on the basis that it will continue as a going concern, which contemplates the realization of assets and satisfaction of liabilities in the normal course of business.</w:t>
      </w:r>
    </w:p>
    <w:p>
      <w:pPr>
        <w:pStyle w:val="TextBody"/>
        <w:bidi w:val="0"/>
        <w:spacing w:before="120" w:after="0"/>
        <w:jc w:val="left"/>
        <w:rPr>
          <w:rFonts w:ascii="Times New Roman" w:hAnsi="Times New Roman"/>
          <w:sz w:val="20"/>
        </w:rPr>
      </w:pPr>
      <w:r>
        <w:rPr>
          <w:rFonts w:ascii="Times New Roman;serif" w:hAnsi="Times New Roman;serif"/>
          <w:b w:val="false"/>
          <w:sz w:val="20"/>
        </w:rPr>
        <w:t>Since its inception, the Company has incurred significant recurring operating losses and negative cash flows from operations. The Company has incurred net losses of $6.5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and $8.9</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for the three months ended March 31, 2023 and 2022, respectively. In addition, as of March 31, 2023, the Company had an accumulated deficit of $158.1</w:t>
      </w:r>
      <w:r>
        <w:rPr>
          <w:rFonts w:ascii="Times New Roman" w:hAnsi="Times New Roman"/>
          <w:sz w:val="20"/>
        </w:rPr>
        <w:t xml:space="preserve"> </w:t>
      </w:r>
      <w:r>
        <w:rPr>
          <w:rFonts w:ascii="Times New Roman;serif" w:hAnsi="Times New Roman;serif"/>
          <w:b w:val="false"/>
          <w:sz w:val="20"/>
        </w:rPr>
        <w:t>million. The Company expects to continue to generate operating losses for the foreseeable future. As of March 31, 2023, the Company had approximately $111.5</w:t>
      </w:r>
      <w:r>
        <w:rPr>
          <w:rFonts w:ascii="Times New Roman" w:hAnsi="Times New Roman"/>
          <w:sz w:val="20"/>
        </w:rPr>
        <w:t xml:space="preserve"> </w:t>
      </w:r>
      <w:r>
        <w:rPr>
          <w:rFonts w:ascii="Times New Roman;serif" w:hAnsi="Times New Roman;serif"/>
          <w:b w:val="false"/>
          <w:sz w:val="20"/>
        </w:rPr>
        <w:t>million</w:t>
      </w:r>
      <w:r>
        <w:rPr>
          <w:rFonts w:ascii="Times New Roman" w:hAnsi="Times New Roman"/>
          <w:sz w:val="20"/>
        </w:rPr>
        <w:t xml:space="preserve"> </w:t>
      </w:r>
      <w:r>
        <w:rPr>
          <w:rFonts w:ascii="Times New Roman;serif" w:hAnsi="Times New Roman;serif"/>
          <w:b w:val="false"/>
          <w:sz w:val="20"/>
        </w:rPr>
        <w:t>of cash and cash equivalents available for use to fund its operations and capital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funded its operations to date primarily with proceeds from sales of common stock and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p>
    <w:p>
      <w:pPr>
        <w:pStyle w:val="TextBody"/>
        <w:bidi w:val="0"/>
        <w:spacing w:before="120" w:after="0"/>
        <w:jc w:val="left"/>
        <w:rPr>
          <w:rFonts w:ascii="Times New Roman" w:hAnsi="Times New Roman"/>
          <w:sz w:val="20"/>
        </w:rPr>
      </w:pPr>
      <w:r>
        <w:rPr>
          <w:rFonts w:ascii="Times New Roman;serif" w:hAnsi="Times New Roman;serif"/>
          <w:b w:val="false"/>
          <w:sz w:val="20"/>
        </w:rPr>
        <w:t>In accordance with Accounting Standards Update (“ASU”) No. 2014-15, "</w:t>
      </w:r>
      <w:r>
        <w:rPr>
          <w:rFonts w:ascii="Times New Roman;serif" w:hAnsi="Times New Roman;serif"/>
          <w:b w:val="false"/>
          <w:i/>
          <w:sz w:val="20"/>
        </w:rPr>
        <w:t>Disclosure of Uncertainties about an Entity’s Ability to Continue as a Going Concern</w:t>
      </w:r>
      <w:r>
        <w:rPr>
          <w:rFonts w:ascii="Times New Roman;serif" w:hAnsi="Times New Roman;serif"/>
          <w:b w:val="false"/>
          <w:sz w:val="20"/>
        </w:rPr>
        <w:t>", the Company has evaluated whether there are certain conditions and events, considered in the aggregate, that raise substantial doubt about the Company’s ability to continue as a going concern within one year after the date that the condensed consolidated financial statements are issued. As of the issuance date of these condensed consolidated financial statements, the Company expects its cash and cash equivalents will be sufficient to fund its forecasted operating expenses and capital expenditure requirements, for at least twelve months from the issuance of these condensed consolidated financial statements. If the timing of the Company's clinical assumptions are delayed or if there are other forecasted assumption changes that negatively impact its operating plan, the Company could reduce expenditures in order to further extend cash resources.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Until the Company can generate substantial revenue, if ever, management continuously evaluates different strategies to obtain the required funding for future operations. These strategies include seeking additional funding through a combination of public or private equity offerings, debt financings, collaborations and licensing arrangements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tensions, volatility of capital markets, and other adverse macroeconomic events, including those due to inflationary pressures, bank instability and the ability of the U.S. government to manage federal debt limits as well as the potential impact of other health crises on the global financial markets may reduce the Company's ability to access capital, which could negatively affect its liquidity and ability to continue as a going concern.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pStyle w:val="TextBody"/>
        <w:bidi w:val="0"/>
        <w:spacing w:before="240" w:after="0"/>
        <w:jc w:val="left"/>
        <w:rPr>
          <w:rFonts w:ascii="Times New Roman" w:hAnsi="Times New Roman"/>
          <w:b/>
          <w:sz w:val="20"/>
        </w:rPr>
      </w:pPr>
      <w:r>
        <w:rPr>
          <w:rFonts w:ascii="Times New Roman" w:hAnsi="Times New Roman"/>
          <w:b/>
          <w:sz w:val="20"/>
        </w:rPr>
        <w:t>2.</w:t>
      </w:r>
    </w:p>
    <w:p>
      <w:pPr>
        <w:pStyle w:val="TextBody"/>
        <w:bidi w:val="0"/>
        <w:spacing w:before="240" w:after="283"/>
        <w:jc w:val="left"/>
        <w:rPr>
          <w:rFonts w:ascii="Times New Roman;serif" w:hAnsi="Times New Roman;serif"/>
          <w:b/>
          <w:sz w:val="20"/>
        </w:rPr>
      </w:pPr>
      <w:r>
        <w:rPr>
          <w:rFonts w:ascii="Times New Roman;serif" w:hAnsi="Times New Roman;serif"/>
          <w:b/>
          <w:sz w:val="20"/>
        </w:rPr>
        <w:t>Summary of Significant Accounting Policies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Use of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Research and Development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stock-based compensation, facility-related expenses, third-party license fees, laboratory supplies, and external costs of outside vendors engaged to conduct discovery, non-clinical and clinical development activities, and clinical trials as well as to manufacture clinical trial materials, depreciation and other costs. The Company recognizes external research and development costs based on an evaluation of the progress to completion of specific tasks using information provided to the Company by its service providers.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Upfront payments, milestone payments and annual maintenance fees under license agreements are currently expensed in the period in which they are incurred.</w:t>
      </w:r>
    </w:p>
    <w:p>
      <w:pPr>
        <w:pStyle w:val="TextBody"/>
        <w:bidi w:val="0"/>
        <w:spacing w:before="120" w:after="0"/>
        <w:jc w:val="left"/>
        <w:rPr>
          <w:rFonts w:ascii="Times New Roman;serif" w:hAnsi="Times New Roman;serif"/>
          <w:b/>
          <w:i/>
          <w:sz w:val="20"/>
        </w:rPr>
      </w:pPr>
      <w:r>
        <w:rPr>
          <w:rFonts w:ascii="Times New Roman;serif" w:hAnsi="Times New Roman;serif"/>
          <w:b/>
          <w:i/>
          <w:sz w:val="20"/>
        </w:rPr>
        <w:t>Patent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measures all stock-based awards granted to employees, directors and non-employee consultants based on the fair value on the date of grant using the Black-Scholes option-pricing model. Compensation expense of those awards is recognized over the requisite service period, which is the vesting period of the respective award. Typically, the Company issues awards with only service-based vesting conditions and records the expense for these awards using the straight-line method. The Company accounts for forfeitures as they occur.</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Prior to May 28, 2020, the Company had been a private company and lacked company-specific historical and implied volatility information for its common stock. Prior to January 1, 2023, the Company estimated its expected common stock price volatility solely based on the historical volatility of publicly traded peer companies. Beginning on January 1, 2023, based on the availability of sufficient historical trading data of the Company's own common stock on the Nasdaq Global Market was now available to calculate accurately its volatility, the Company began blending its volatility starting from June 2020 (following its merger with Zafgen in 2020) to the date of each stock-based award, and weighing the volatility of its peer group for the amount of time from May 31, 2020 backwards so that the blended volatility equals the expected term of the related stock-based award.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the Company has never paid cash dividends on common stock and does not expect to pay any cash dividends in the foreseeable future.</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Net Loss Per Share</w:t>
      </w:r>
    </w:p>
    <w:p>
      <w:pPr>
        <w:pStyle w:val="TextBody"/>
        <w:bidi w:val="0"/>
        <w:spacing w:before="120" w:after="0"/>
        <w:jc w:val="left"/>
        <w:rPr>
          <w:rFonts w:ascii="Times New Roman" w:hAnsi="Times New Roman"/>
          <w:sz w:val="20"/>
        </w:rPr>
      </w:pPr>
      <w:r>
        <w:rPr>
          <w:rFonts w:ascii="Times New Roman;serif" w:hAnsi="Times New Roman;serif"/>
          <w:b w:val="false"/>
          <w:sz w:val="20"/>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three months ended March 31, 2023 and 2022</w:t>
      </w:r>
      <w:r>
        <w:rPr>
          <w:rFonts w:ascii="Times New Roman" w:hAnsi="Times New Roman"/>
          <w:sz w:val="20"/>
        </w:rPr>
        <w:t xml:space="preserve"> </w:t>
      </w:r>
      <w:r>
        <w:rPr>
          <w:rFonts w:ascii="Times New Roman;serif" w:hAnsi="Times New Roman;serif"/>
          <w:b w:val="false"/>
          <w:sz w:val="20"/>
        </w:rPr>
        <w:t>includes the weighted average effect of 628,403</w:t>
      </w:r>
      <w:r>
        <w:rPr>
          <w:rFonts w:ascii="Times New Roman" w:hAnsi="Times New Roman"/>
          <w:sz w:val="20"/>
        </w:rPr>
        <w:t xml:space="preserve"> </w:t>
      </w:r>
      <w:r>
        <w:rPr>
          <w:rFonts w:ascii="Times New Roman;serif" w:hAnsi="Times New Roman;serif"/>
          <w:b w:val="false"/>
          <w:sz w:val="20"/>
        </w:rPr>
        <w:t>prefunded warrants for the purchase of shares of common stock, for which the remaining unfunded exercise price is $0.01</w:t>
      </w:r>
      <w:r>
        <w:rPr>
          <w:rFonts w:ascii="Times New Roman" w:hAnsi="Times New Roman"/>
          <w:sz w:val="20"/>
        </w:rPr>
        <w:t xml:space="preserve"> </w:t>
      </w:r>
      <w:r>
        <w:rPr>
          <w:rFonts w:ascii="Times New Roman;serif" w:hAnsi="Times New Roman;serif"/>
          <w:b w:val="false"/>
          <w:sz w:val="20"/>
        </w:rPr>
        <w:t>per share.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outstanding restricted stock units,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pStyle w:val="TextBody"/>
        <w:bidi w:val="0"/>
        <w:spacing w:before="120" w:after="0"/>
        <w:jc w:val="left"/>
        <w:rPr>
          <w:rFonts w:ascii="Times New Roman;serif" w:hAnsi="Times New Roman;serif"/>
          <w:sz w:val="20"/>
        </w:rPr>
      </w:pPr>
      <w:r>
        <w:rPr>
          <w:rFonts w:ascii="Times New Roman;serif" w:hAnsi="Times New Roman;serif"/>
          <w:b w:val="false"/>
          <w:sz w:val="20"/>
        </w:rPr>
        <w:t>The Company excluded 4,974,521</w:t>
      </w:r>
      <w:r>
        <w:rPr>
          <w:rFonts w:ascii="Times New Roman;serif" w:hAnsi="Times New Roman;serif"/>
          <w:sz w:val="20"/>
        </w:rPr>
        <w:t xml:space="preserve"> </w:t>
      </w:r>
      <w:r>
        <w:rPr>
          <w:rFonts w:ascii="Times New Roman;serif" w:hAnsi="Times New Roman;serif"/>
          <w:b w:val="false"/>
          <w:sz w:val="20"/>
        </w:rPr>
        <w:t>and 3,078,511</w:t>
      </w:r>
      <w:r>
        <w:rPr>
          <w:rFonts w:ascii="Times New Roman;serif" w:hAnsi="Times New Roman;serif"/>
          <w:sz w:val="20"/>
        </w:rPr>
        <w:t xml:space="preserve"> </w:t>
      </w:r>
      <w:r>
        <w:rPr>
          <w:rFonts w:ascii="Times New Roman;serif" w:hAnsi="Times New Roman;serif"/>
          <w:b w:val="false"/>
          <w:sz w:val="20"/>
        </w:rPr>
        <w:t>common stock equivalents outstanding as of March 31, 2023 and 2022, respectively, from the computation of diluted net loss per share for the three months ended March 31, 2023 and 2022</w:t>
      </w:r>
      <w:r>
        <w:rPr>
          <w:rFonts w:ascii="Times New Roman;serif" w:hAnsi="Times New Roman;serif"/>
          <w:sz w:val="20"/>
        </w:rPr>
        <w:t xml:space="preserve"> </w:t>
      </w:r>
      <w:r>
        <w:rPr>
          <w:rFonts w:ascii="Times New Roman;serif" w:hAnsi="Times New Roman;serif"/>
          <w:b w:val="false"/>
          <w:sz w:val="20"/>
        </w:rPr>
        <w:t xml:space="preserve">because they had an anti-dilutive impact due to the net loss incurred for the periods presented. </w:t>
      </w:r>
    </w:p>
    <w:p>
      <w:pPr>
        <w:pStyle w:val="TextBody"/>
        <w:bidi w:val="0"/>
        <w:spacing w:before="120" w:after="0"/>
        <w:jc w:val="left"/>
        <w:rPr>
          <w:rFonts w:ascii="Times New Roman" w:hAnsi="Times New Roman"/>
          <w:sz w:val="20"/>
        </w:rPr>
      </w:pPr>
      <w:r>
        <w:rPr>
          <w:rFonts w:ascii="Times New Roman;serif" w:hAnsi="Times New Roman;serif"/>
          <w:b/>
          <w:i/>
          <w:sz w:val="20"/>
        </w:rPr>
        <w:t>Recently Issued and Adopted Accounting Pronouncements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3.</w:t>
      </w:r>
    </w:p>
    <w:p>
      <w:pPr>
        <w:pStyle w:val="TextBody"/>
        <w:bidi w:val="0"/>
        <w:spacing w:before="120" w:after="283"/>
        <w:jc w:val="left"/>
        <w:rPr>
          <w:rFonts w:ascii="Times New Roman;serif" w:hAnsi="Times New Roman;serif"/>
          <w:b/>
          <w:sz w:val="20"/>
        </w:rPr>
      </w:pPr>
      <w:r>
        <w:rPr>
          <w:rFonts w:ascii="Times New Roman;serif" w:hAnsi="Times New Roman;serif"/>
          <w:b/>
          <w:sz w:val="20"/>
        </w:rPr>
        <w:t>Fair Value Measurements and Marketable debt securities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Fair Value Measurements</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Company’s assets and liabilities that are measured at fair value on a recurring basis as of March 31, 2023 and December 31, 2022 are measured in accordance with the standards of ASC 820, "</w:t>
      </w:r>
      <w:r>
        <w:rPr>
          <w:rFonts w:ascii="Times New Roman;serif" w:hAnsi="Times New Roman;serif"/>
          <w:b w:val="false"/>
          <w:i/>
          <w:sz w:val="20"/>
        </w:rPr>
        <w:t>Fair Value Measurements and Disclosures"</w:t>
      </w:r>
      <w:r>
        <w:rPr>
          <w:rFonts w:ascii="Times New Roman;serif" w:hAnsi="Times New Roman;serif"/>
          <w:b w:val="false"/>
          <w:sz w:val="20"/>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9490"/>
      </w:tblGrid>
      <w:tr>
        <w:trPr/>
        <w:tc>
          <w:tcPr>
            <w:tcW w:w="715" w:type="dxa"/>
            <w:tcBorders/>
            <w:vAlign w:val="center"/>
          </w:tcPr>
          <w:p>
            <w:pPr>
              <w:pStyle w:val="TableContents"/>
              <w:bidi w:val="0"/>
              <w:spacing w:before="0" w:after="283"/>
              <w:jc w:val="left"/>
              <w:rPr>
                <w:sz w:val="4"/>
                <w:szCs w:val="4"/>
              </w:rPr>
            </w:pPr>
            <w:r>
              <w:rPr>
                <w:sz w:val="4"/>
                <w:szCs w:val="4"/>
              </w:rPr>
            </w:r>
          </w:p>
        </w:tc>
        <w:tc>
          <w:tcPr>
            <w:tcW w:w="9490" w:type="dxa"/>
            <w:tcBorders/>
            <w:vAlign w:val="center"/>
          </w:tcPr>
          <w:p>
            <w:pPr>
              <w:pStyle w:val="TableContents"/>
              <w:bidi w:val="0"/>
              <w:spacing w:before="0" w:after="283"/>
              <w:jc w:val="left"/>
              <w:rPr>
                <w:sz w:val="4"/>
                <w:szCs w:val="4"/>
              </w:rPr>
            </w:pPr>
            <w:r>
              <w:rPr>
                <w:sz w:val="4"/>
                <w:szCs w:val="4"/>
              </w:rPr>
            </w:r>
          </w:p>
        </w:tc>
      </w:tr>
      <w:tr>
        <w:trPr/>
        <w:tc>
          <w:tcPr>
            <w:tcW w:w="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 1</w:t>
            </w:r>
          </w:p>
        </w:tc>
        <w:tc>
          <w:tcPr>
            <w:tcW w:w="94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to the valuation methodology are quoted prices (unadjusted) for identical assets or liabilities in active markets.</w:t>
            </w:r>
          </w:p>
        </w:tc>
      </w:tr>
      <w:tr>
        <w:trPr/>
        <w:tc>
          <w:tcPr>
            <w:tcW w:w="715" w:type="dxa"/>
            <w:tcBorders/>
            <w:vAlign w:val="center"/>
          </w:tcPr>
          <w:p>
            <w:pPr>
              <w:pStyle w:val="TableContents"/>
              <w:bidi w:val="0"/>
              <w:spacing w:before="0" w:after="0"/>
              <w:ind w:left="0" w:right="0" w:hanging="0"/>
              <w:jc w:val="left"/>
              <w:rPr/>
            </w:pPr>
            <w:r>
              <w:rPr/>
              <w:t> </w:t>
            </w:r>
          </w:p>
        </w:tc>
        <w:tc>
          <w:tcPr>
            <w:tcW w:w="9490" w:type="dxa"/>
            <w:tcBorders/>
            <w:vAlign w:val="center"/>
          </w:tcPr>
          <w:p>
            <w:pPr>
              <w:pStyle w:val="TableContents"/>
              <w:bidi w:val="0"/>
              <w:spacing w:before="0" w:after="0"/>
              <w:ind w:left="0" w:right="0" w:hanging="0"/>
              <w:jc w:val="left"/>
              <w:rPr/>
            </w:pPr>
            <w:r>
              <w:rPr/>
              <w:t> </w:t>
            </w:r>
          </w:p>
        </w:tc>
      </w:tr>
      <w:tr>
        <w:trPr/>
        <w:tc>
          <w:tcPr>
            <w:tcW w:w="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 2</w:t>
            </w:r>
          </w:p>
        </w:tc>
        <w:tc>
          <w:tcPr>
            <w:tcW w:w="94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to the valuation methodology include quoted prices for similar assets and liabilities in active markets, and inputs that are observable for the asset or liability, either directly or indirectly, for substantially the full term of the financial instrument.</w:t>
            </w:r>
          </w:p>
        </w:tc>
      </w:tr>
      <w:tr>
        <w:trPr/>
        <w:tc>
          <w:tcPr>
            <w:tcW w:w="715" w:type="dxa"/>
            <w:tcBorders/>
            <w:vAlign w:val="center"/>
          </w:tcPr>
          <w:p>
            <w:pPr>
              <w:pStyle w:val="TableContents"/>
              <w:bidi w:val="0"/>
              <w:spacing w:before="0" w:after="0"/>
              <w:ind w:left="0" w:right="0" w:hanging="0"/>
              <w:jc w:val="left"/>
              <w:rPr/>
            </w:pPr>
            <w:r>
              <w:rPr/>
              <w:t> </w:t>
            </w:r>
          </w:p>
        </w:tc>
        <w:tc>
          <w:tcPr>
            <w:tcW w:w="9490" w:type="dxa"/>
            <w:tcBorders/>
            <w:vAlign w:val="center"/>
          </w:tcPr>
          <w:p>
            <w:pPr>
              <w:pStyle w:val="TableContents"/>
              <w:bidi w:val="0"/>
              <w:spacing w:before="0" w:after="0"/>
              <w:ind w:left="0" w:right="0" w:hanging="0"/>
              <w:jc w:val="left"/>
              <w:rPr/>
            </w:pPr>
            <w:r>
              <w:rPr/>
              <w:t> </w:t>
            </w:r>
          </w:p>
        </w:tc>
      </w:tr>
      <w:tr>
        <w:trPr/>
        <w:tc>
          <w:tcPr>
            <w:tcW w:w="7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Level – 3</w:t>
            </w:r>
          </w:p>
        </w:tc>
        <w:tc>
          <w:tcPr>
            <w:tcW w:w="949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Inputs to the valuation methodology are unobservable and significant to the fair value measurement.</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Company’s financial instruments consist primarily of cash, cash equivalents, marketable securities, accounts payable and accrued liabilities. For accounts payable and accrued liabilities, the carrying amounts of these financial instruments as of March 31, 2023 and December 31, 2022 were considered representative of their fair values due to their short term to maturity.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following tables summarize the Company’s cash equivalents as of March 31, 2023 and its cash equivalents and marketable securities as of December 31, 2022</w:t>
      </w:r>
      <w:r>
        <w:rPr>
          <w:rFonts w:ascii="Times New Roman" w:hAnsi="Times New Roman"/>
          <w:sz w:val="20"/>
        </w:rPr>
        <w:t xml:space="preserve"> </w:t>
      </w:r>
      <w:r>
        <w:rPr>
          <w:rFonts w:ascii="Times New Roman;serif" w:hAnsi="Times New Roman;serif"/>
          <w:b w:val="false"/>
          <w:sz w:val="20"/>
        </w:rPr>
        <w:t>(The Company had no</w:t>
      </w:r>
      <w:r>
        <w:rPr>
          <w:rFonts w:ascii="Times New Roman" w:hAnsi="Times New Roman"/>
          <w:sz w:val="20"/>
        </w:rPr>
        <w:t xml:space="preserve"> </w:t>
      </w:r>
      <w:r>
        <w:rPr>
          <w:rFonts w:ascii="Times New Roman;serif" w:hAnsi="Times New Roman;serif"/>
          <w:b w:val="false"/>
          <w:sz w:val="20"/>
        </w:rPr>
        <w:t>marketable securities as of March 31, 2023):</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981"/>
        <w:gridCol w:w="146"/>
        <w:gridCol w:w="211"/>
        <w:gridCol w:w="781"/>
        <w:gridCol w:w="146"/>
        <w:gridCol w:w="146"/>
        <w:gridCol w:w="211"/>
        <w:gridCol w:w="781"/>
        <w:gridCol w:w="146"/>
        <w:gridCol w:w="146"/>
        <w:gridCol w:w="221"/>
        <w:gridCol w:w="710"/>
        <w:gridCol w:w="146"/>
        <w:gridCol w:w="146"/>
        <w:gridCol w:w="415"/>
        <w:gridCol w:w="681"/>
        <w:gridCol w:w="191"/>
      </w:tblGrid>
      <w:tr>
        <w:trPr/>
        <w:tc>
          <w:tcPr>
            <w:tcW w:w="4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92"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Quoted</w:t>
              <w:br/>
              <w:t>Prices in</w:t>
              <w:br/>
              <w:t>Active</w:t>
              <w:br/>
              <w:t xml:space="preserve">Markets </w:t>
              <w:br/>
              <w:t>(Level 1)</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1"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Other</w:t>
              <w:br/>
              <w:t>Observable</w:t>
              <w:br/>
              <w:t xml:space="preserve">Inputs </w:t>
              <w:br/>
              <w:t>(Level 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09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Significant</w:t>
              <w:br/>
              <w:t>Unobservable</w:t>
              <w:br/>
              <w:t xml:space="preserve">Inputs </w:t>
              <w:br/>
              <w:t>(Level 3)</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49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887"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March 31, 2023</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Money market funds invested in government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111,242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111,242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111,242</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1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equivalents: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Money market funds invested in government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equivalents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1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Marketable securities:</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096"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U.S Government and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pPr>
            <w:r>
              <w:rPr/>
              <w:t> </w:t>
            </w:r>
          </w:p>
        </w:tc>
        <w:tc>
          <w:tcPr>
            <w:tcW w:w="71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vAlign w:val="center"/>
          </w:tcPr>
          <w:p>
            <w:pPr>
              <w:pStyle w:val="TableContents"/>
              <w:bidi w:val="0"/>
              <w:spacing w:before="0" w:after="0"/>
              <w:ind w:left="0" w:right="0" w:hanging="0"/>
              <w:jc w:val="left"/>
              <w:rPr/>
            </w:pPr>
            <w:r>
              <w:rPr/>
              <w:t> </w:t>
            </w:r>
          </w:p>
        </w:tc>
        <w:tc>
          <w:tcPr>
            <w:tcW w:w="6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710"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68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right"/>
              <w:rPr/>
            </w:pPr>
            <w:r>
              <w:rPr/>
              <w:t>—</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r>
      <w:tr>
        <w:trPr/>
        <w:tc>
          <w:tcPr>
            <w:tcW w:w="498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cash equivalents and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113,787</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22,184</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val="false"/>
          <w:sz w:val="20"/>
        </w:rPr>
        <w:t>The accrued interest receivable related to the Company’s investments was $0.3</w:t>
      </w:r>
      <w:r>
        <w:rPr>
          <w:rFonts w:ascii="Times New Roman" w:hAnsi="Times New Roman"/>
          <w:sz w:val="20"/>
        </w:rPr>
        <w:t xml:space="preserve"> </w:t>
      </w:r>
      <w:r>
        <w:rPr>
          <w:rFonts w:ascii="Times New Roman;serif" w:hAnsi="Times New Roman;serif"/>
          <w:b w:val="false"/>
          <w:sz w:val="20"/>
        </w:rPr>
        <w:t>million and $0.1</w:t>
      </w:r>
      <w:r>
        <w:rPr>
          <w:rFonts w:ascii="Times New Roman" w:hAnsi="Times New Roman"/>
          <w:sz w:val="20"/>
        </w:rPr>
        <w:t xml:space="preserve"> </w:t>
      </w:r>
      <w:r>
        <w:rPr>
          <w:rFonts w:ascii="Times New Roman;serif" w:hAnsi="Times New Roman;serif"/>
          <w:b w:val="false"/>
          <w:sz w:val="20"/>
        </w:rPr>
        <w:t>million as of March 31, 2023 and December 31, 2022, respectively, and is included in prepaid expenses and other current assets on the condensed consolidated balance sheet.</w:t>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classifies its money market funds, which are valued based on quoted market prices in active markets with no valuation adjustment, as Level 1 assets within the fair value hierarchy.</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classifies its investments in U.S. treasury securities, corporate commercial paper, and corporate debt securities, if any,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the Company had no</w:t>
      </w:r>
      <w:r>
        <w:rPr>
          <w:rFonts w:ascii="Times New Roman" w:hAnsi="Times New Roman"/>
          <w:sz w:val="20"/>
        </w:rPr>
        <w:t xml:space="preserve"> </w:t>
      </w:r>
      <w:r>
        <w:rPr>
          <w:rFonts w:ascii="Times New Roman;serif" w:hAnsi="Times New Roman;serif"/>
          <w:b w:val="false"/>
          <w:sz w:val="20"/>
        </w:rPr>
        <w:t>unrealized gains or losses related to available-for-sale investments. As of December 31, 2022,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March 31, 2023 and December 31, 2022, no</w:t>
      </w:r>
      <w:r>
        <w:rPr>
          <w:rFonts w:ascii="Times New Roman" w:hAnsi="Times New Roman"/>
          <w:sz w:val="20"/>
        </w:rPr>
        <w:t xml:space="preserve"> </w:t>
      </w:r>
      <w:r>
        <w:rPr>
          <w:rFonts w:ascii="Times New Roman;serif" w:hAnsi="Times New Roman;serif"/>
          <w:b w:val="false"/>
          <w:sz w:val="20"/>
        </w:rPr>
        <w:t>allowances for credit losses for the Company’s investments were recorded. During the three months ended March 31, 2023 and 2022, the Company did not recognize any impairment losses related to investments.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Marketable securities</w:t>
      </w:r>
    </w:p>
    <w:p>
      <w:pPr>
        <w:pStyle w:val="TextBody"/>
        <w:bidi w:val="0"/>
        <w:spacing w:before="120" w:after="0"/>
        <w:jc w:val="left"/>
        <w:rPr>
          <w:rFonts w:ascii="Times New Roman" w:hAnsi="Times New Roman"/>
          <w:sz w:val="20"/>
        </w:rPr>
      </w:pPr>
      <w:r>
        <w:rPr>
          <w:rFonts w:ascii="Times New Roman;serif" w:hAnsi="Times New Roman;serif"/>
          <w:b w:val="false"/>
          <w:sz w:val="20"/>
        </w:rPr>
        <w:t>As stated above, the Company had no</w:t>
      </w:r>
      <w:r>
        <w:rPr>
          <w:rFonts w:ascii="Times New Roman" w:hAnsi="Times New Roman"/>
          <w:sz w:val="20"/>
        </w:rPr>
        <w:t xml:space="preserve"> </w:t>
      </w:r>
      <w:r>
        <w:rPr>
          <w:rFonts w:ascii="Times New Roman;serif" w:hAnsi="Times New Roman;serif"/>
          <w:b w:val="false"/>
          <w:sz w:val="20"/>
        </w:rPr>
        <w:t xml:space="preserve">marketable securities as of March 31, 2023. The following table summarizes the Company's marketable debt securities as of December 31, 2022. </w:t>
      </w:r>
    </w:p>
    <w:p>
      <w:pPr>
        <w:pStyle w:val="TextBody"/>
        <w:bidi w:val="0"/>
        <w:spacing w:before="0" w:after="0"/>
        <w:jc w:val="left"/>
        <w:rPr/>
      </w:pPr>
      <w:r>
        <w:rPr/>
        <w:t> </w:t>
      </w:r>
    </w:p>
    <w:tbl>
      <w:tblPr>
        <w:tblW w:w="8544" w:type="dxa"/>
        <w:jc w:val="left"/>
        <w:tblInd w:w="0" w:type="dxa"/>
        <w:tblLayout w:type="fixed"/>
        <w:tblCellMar>
          <w:top w:w="28" w:type="dxa"/>
          <w:left w:w="28" w:type="dxa"/>
          <w:bottom w:w="28" w:type="dxa"/>
          <w:right w:w="28" w:type="dxa"/>
        </w:tblCellMar>
      </w:tblPr>
      <w:tblGrid>
        <w:gridCol w:w="3721"/>
        <w:gridCol w:w="146"/>
        <w:gridCol w:w="211"/>
        <w:gridCol w:w="676"/>
        <w:gridCol w:w="146"/>
        <w:gridCol w:w="146"/>
        <w:gridCol w:w="354"/>
        <w:gridCol w:w="532"/>
        <w:gridCol w:w="146"/>
        <w:gridCol w:w="146"/>
        <w:gridCol w:w="334"/>
        <w:gridCol w:w="596"/>
        <w:gridCol w:w="166"/>
        <w:gridCol w:w="146"/>
        <w:gridCol w:w="211"/>
        <w:gridCol w:w="676"/>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86"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930"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Gross</w:t>
              <w:br/>
              <w:t xml:space="preserve">Unrealized </w:t>
              <w:br/>
              <w:t>Losses</w:t>
            </w:r>
          </w:p>
        </w:tc>
        <w:tc>
          <w:tcPr>
            <w:tcW w:w="16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c>
          <w:tcPr>
            <w:tcW w:w="146"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left"/>
              <w:rPr/>
            </w:pPr>
            <w:r>
              <w:rPr/>
              <w:t> </w:t>
            </w:r>
          </w:p>
        </w:tc>
        <w:tc>
          <w:tcPr>
            <w:tcW w:w="887" w:type="dxa"/>
            <w:gridSpan w:val="2"/>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91" w:type="dxa"/>
            <w:tcBorders>
              <w:top w:val="single" w:sz="4" w:space="0" w:color="000000"/>
              <w:bottom w:val="single" w:sz="4" w:space="0" w:color="000000"/>
            </w:tcBorders>
            <w:tcMar>
              <w:left w:w="0" w:type="dxa"/>
              <w:right w:w="0" w:type="dxa"/>
            </w:tcMar>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86" w:type="dxa"/>
            <w:gridSpan w:val="14"/>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December 31, 2022</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Assets:</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30"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87" w:type="dxa"/>
            <w:gridSpan w:val="2"/>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right"/>
              <w:rPr/>
            </w:pPr>
            <w:r>
              <w:rPr/>
              <w:t> </w:t>
            </w:r>
          </w:p>
        </w:tc>
      </w:tr>
      <w:tr>
        <w:trPr/>
        <w:tc>
          <w:tcPr>
            <w:tcW w:w="37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U.S Government and agency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91,634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91" w:type="dxa"/>
            <w:tcBorders/>
            <w:vAlign w:val="center"/>
          </w:tcPr>
          <w:p>
            <w:pPr>
              <w:pStyle w:val="TableContents"/>
              <w:bidi w:val="0"/>
              <w:spacing w:before="0" w:after="0"/>
              <w:ind w:left="0" w:right="0" w:hanging="0"/>
              <w:jc w:val="left"/>
              <w:rPr/>
            </w:pPr>
            <w:r>
              <w:rPr/>
              <w:t> </w:t>
            </w:r>
          </w:p>
        </w:tc>
      </w:tr>
      <w:tr>
        <w:trPr/>
        <w:tc>
          <w:tcPr>
            <w:tcW w:w="3721"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Total marketable securities</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91,634</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w:t>
            </w:r>
          </w:p>
        </w:tc>
        <w:tc>
          <w:tcPr>
            <w:tcW w:w="14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34"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9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91,603</w:t>
            </w:r>
          </w:p>
        </w:tc>
        <w:tc>
          <w:tcPr>
            <w:tcW w:w="191" w:type="dxa"/>
            <w:tcBorders>
              <w:top w:val="single" w:sz="4" w:space="0" w:color="000000"/>
              <w:bottom w:val="double" w:sz="6" w:space="0" w:color="000000"/>
            </w:tcBorders>
            <w:tcMar>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4.</w:t>
      </w:r>
    </w:p>
    <w:p>
      <w:pPr>
        <w:pStyle w:val="TextBody"/>
        <w:bidi w:val="0"/>
        <w:jc w:val="left"/>
        <w:rPr>
          <w:rFonts w:ascii="Times New Roman;serif" w:hAnsi="Times New Roman;serif"/>
          <w:b/>
          <w:sz w:val="20"/>
        </w:rPr>
      </w:pPr>
      <w:r>
        <w:rPr>
          <w:rFonts w:ascii="Times New Roman;serif" w:hAnsi="Times New Roman;serif"/>
          <w:b/>
          <w:sz w:val="20"/>
        </w:rPr>
        <w:t>Prepaid Expenses and Other Current Assets</w:t>
      </w:r>
    </w:p>
    <w:p>
      <w:pPr>
        <w:pStyle w:val="TextBody"/>
        <w:bidi w:val="0"/>
        <w:spacing w:before="120" w:after="0"/>
        <w:jc w:val="left"/>
        <w:rPr>
          <w:rFonts w:ascii="Times New Roman" w:hAnsi="Times New Roman"/>
          <w:sz w:val="20"/>
        </w:rPr>
      </w:pPr>
      <w:r>
        <w:rPr>
          <w:rFonts w:ascii="Times New Roman;serif" w:hAnsi="Times New Roman;serif"/>
          <w:b w:val="false"/>
          <w:sz w:val="20"/>
        </w:rPr>
        <w:t>Prepaid expenses and other current assets consisted of the following:</w:t>
      </w:r>
      <w:r>
        <w:rPr>
          <w:rFonts w:ascii="Times New Roman" w:hAnsi="Times New Roman"/>
          <w:sz w:val="20"/>
        </w:rPr>
        <w:t xml:space="preserve"> </w:t>
      </w:r>
    </w:p>
    <w:p>
      <w:pPr>
        <w:pStyle w:val="TextBody"/>
        <w:bidi w:val="0"/>
        <w:spacing w:before="0" w:after="0"/>
        <w:jc w:val="left"/>
        <w:rPr/>
      </w:pPr>
      <w:r>
        <w:rPr/>
        <w:t> </w:t>
      </w:r>
    </w:p>
    <w:tbl>
      <w:tblPr>
        <w:tblW w:w="6255" w:type="dxa"/>
        <w:jc w:val="left"/>
        <w:tblInd w:w="0" w:type="dxa"/>
        <w:tblLayout w:type="fixed"/>
        <w:tblCellMar>
          <w:top w:w="28" w:type="dxa"/>
          <w:left w:w="28" w:type="dxa"/>
          <w:bottom w:w="28" w:type="dxa"/>
          <w:right w:w="28" w:type="dxa"/>
        </w:tblCellMar>
      </w:tblPr>
      <w:tblGrid>
        <w:gridCol w:w="3676"/>
        <w:gridCol w:w="146"/>
        <w:gridCol w:w="230"/>
        <w:gridCol w:w="625"/>
        <w:gridCol w:w="146"/>
        <w:gridCol w:w="146"/>
        <w:gridCol w:w="294"/>
        <w:gridCol w:w="801"/>
        <w:gridCol w:w="191"/>
      </w:tblGrid>
      <w:tr>
        <w:trPr/>
        <w:tc>
          <w:tcPr>
            <w:tcW w:w="3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1,394</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insurance</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679</w:t>
            </w:r>
          </w:p>
        </w:tc>
        <w:tc>
          <w:tcPr>
            <w:tcW w:w="191" w:type="dxa"/>
            <w:tcBorders/>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prepaid expenses and other assets</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434</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238</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67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1,940</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2,311</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5.</w:t>
      </w:r>
    </w:p>
    <w:p>
      <w:pPr>
        <w:pStyle w:val="TextBody"/>
        <w:bidi w:val="0"/>
        <w:spacing w:before="120" w:after="283"/>
        <w:jc w:val="left"/>
        <w:rPr>
          <w:rFonts w:ascii="Times New Roman;serif" w:hAnsi="Times New Roman;serif"/>
          <w:b/>
          <w:sz w:val="20"/>
        </w:rPr>
      </w:pPr>
      <w:r>
        <w:rPr>
          <w:rFonts w:ascii="Times New Roman;serif" w:hAnsi="Times New Roman;serif"/>
          <w:b/>
          <w:sz w:val="20"/>
        </w:rPr>
        <w:t>Fixed Assets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Fixed assets, net consisted of the following:</w:t>
      </w:r>
    </w:p>
    <w:p>
      <w:pPr>
        <w:pStyle w:val="TextBody"/>
        <w:bidi w:val="0"/>
        <w:spacing w:before="0" w:after="0"/>
        <w:jc w:val="left"/>
        <w:rPr/>
      </w:pPr>
      <w:r>
        <w:rPr/>
        <w:t> </w:t>
      </w:r>
    </w:p>
    <w:tbl>
      <w:tblPr>
        <w:tblW w:w="6412" w:type="dxa"/>
        <w:jc w:val="left"/>
        <w:tblInd w:w="0" w:type="dxa"/>
        <w:tblLayout w:type="fixed"/>
        <w:tblCellMar>
          <w:top w:w="28" w:type="dxa"/>
          <w:left w:w="28" w:type="dxa"/>
          <w:bottom w:w="28" w:type="dxa"/>
          <w:right w:w="28" w:type="dxa"/>
        </w:tblCellMar>
      </w:tblPr>
      <w:tblGrid>
        <w:gridCol w:w="2731"/>
        <w:gridCol w:w="146"/>
        <w:gridCol w:w="916"/>
        <w:gridCol w:w="146"/>
        <w:gridCol w:w="230"/>
        <w:gridCol w:w="625"/>
        <w:gridCol w:w="166"/>
        <w:gridCol w:w="146"/>
        <w:gridCol w:w="294"/>
        <w:gridCol w:w="801"/>
        <w:gridCol w:w="21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11" w:type="dxa"/>
            <w:tcBorders/>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Useful Life</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6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66</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Lab equipment</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5 years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1,192</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7 years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lease term</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1,745</w:t>
            </w:r>
          </w:p>
        </w:tc>
        <w:tc>
          <w:tcPr>
            <w:tcW w:w="211" w:type="dxa"/>
            <w:tcBorders/>
            <w:vAlign w:val="center"/>
          </w:tcPr>
          <w:p>
            <w:pPr>
              <w:pStyle w:val="TableContents"/>
              <w:bidi w:val="0"/>
              <w:spacing w:before="0" w:after="0"/>
              <w:ind w:left="0" w:right="0" w:hanging="0"/>
              <w:jc w:val="left"/>
              <w:rPr/>
            </w:pPr>
            <w:r>
              <w:rPr/>
              <w:t> </w:t>
            </w:r>
          </w:p>
        </w:tc>
      </w:tr>
      <w:tr>
        <w:trPr/>
        <w:tc>
          <w:tcPr>
            <w:tcW w:w="273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(992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(914</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Depreciation expense was $0.1</w:t>
      </w:r>
      <w:r>
        <w:rPr>
          <w:rFonts w:ascii="Times New Roman" w:hAnsi="Times New Roman"/>
          <w:sz w:val="20"/>
        </w:rPr>
        <w:t xml:space="preserve"> </w:t>
      </w:r>
      <w:r>
        <w:rPr>
          <w:rFonts w:ascii="Times New Roman;serif" w:hAnsi="Times New Roman;serif"/>
          <w:b w:val="false"/>
          <w:sz w:val="20"/>
        </w:rPr>
        <w:t>million for the three months ended March 31, 2023 and 2022, respectively. In addition, for the three months ended March 31, 2023 and 2022, there was less than $0.1</w:t>
      </w:r>
      <w:r>
        <w:rPr>
          <w:rFonts w:ascii="Times New Roman" w:hAnsi="Times New Roman"/>
          <w:sz w:val="20"/>
        </w:rPr>
        <w:t xml:space="preserve"> </w:t>
      </w:r>
      <w:r>
        <w:rPr>
          <w:rFonts w:ascii="Times New Roman;serif" w:hAnsi="Times New Roman;serif"/>
          <w:b w:val="false"/>
          <w:sz w:val="20"/>
        </w:rPr>
        <w:t>million of depreciation related to sublet assets recorded as other expense.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6.</w:t>
      </w:r>
    </w:p>
    <w:p>
      <w:pPr>
        <w:pStyle w:val="TextBody"/>
        <w:bidi w:val="0"/>
        <w:jc w:val="left"/>
        <w:rPr>
          <w:rFonts w:ascii="Times New Roman;serif" w:hAnsi="Times New Roman;serif"/>
          <w:b/>
          <w:sz w:val="20"/>
        </w:rPr>
      </w:pPr>
      <w:r>
        <w:rPr>
          <w:rFonts w:ascii="Times New Roman;serif" w:hAnsi="Times New Roman;serif"/>
          <w:b/>
          <w:sz w:val="20"/>
        </w:rPr>
        <w:t>Accrued Expenses</w:t>
      </w:r>
    </w:p>
    <w:p>
      <w:pPr>
        <w:pStyle w:val="TextBody"/>
        <w:bidi w:val="0"/>
        <w:spacing w:before="0" w:after="0"/>
        <w:jc w:val="left"/>
        <w:rPr/>
      </w:pPr>
      <w:r>
        <w:rPr/>
        <w:t> </w:t>
      </w:r>
    </w:p>
    <w:tbl>
      <w:tblPr>
        <w:tblW w:w="6315" w:type="dxa"/>
        <w:jc w:val="left"/>
        <w:tblInd w:w="0" w:type="dxa"/>
        <w:tblLayout w:type="fixed"/>
        <w:tblCellMar>
          <w:top w:w="28" w:type="dxa"/>
          <w:left w:w="28" w:type="dxa"/>
          <w:bottom w:w="28" w:type="dxa"/>
          <w:right w:w="28" w:type="dxa"/>
        </w:tblCellMar>
      </w:tblPr>
      <w:tblGrid>
        <w:gridCol w:w="3736"/>
        <w:gridCol w:w="146"/>
        <w:gridCol w:w="230"/>
        <w:gridCol w:w="625"/>
        <w:gridCol w:w="146"/>
        <w:gridCol w:w="146"/>
        <w:gridCol w:w="294"/>
        <w:gridCol w:w="80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09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19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09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242"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vAlign w:val="center"/>
          </w:tcPr>
          <w:p>
            <w:pPr>
              <w:pStyle w:val="TableContents"/>
              <w:bidi w:val="0"/>
              <w:spacing w:before="0" w:after="0"/>
              <w:ind w:left="0" w:right="0" w:hanging="0"/>
              <w:jc w:val="center"/>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research and development expenses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5,685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5,921</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payroll and related expenses</w:t>
            </w:r>
          </w:p>
        </w:tc>
        <w:tc>
          <w:tcPr>
            <w:tcW w:w="146"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62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pPr>
            <w:r>
              <w:rPr/>
              <w:t> </w:t>
            </w:r>
          </w:p>
        </w:tc>
        <w:tc>
          <w:tcPr>
            <w:tcW w:w="80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2,046</w:t>
            </w:r>
          </w:p>
        </w:tc>
        <w:tc>
          <w:tcPr>
            <w:tcW w:w="191" w:type="dxa"/>
            <w:tcBorders/>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other</w:t>
            </w:r>
          </w:p>
        </w:tc>
        <w:tc>
          <w:tcPr>
            <w:tcW w:w="146" w:type="dxa"/>
            <w:tcBorders/>
            <w:vAlign w:val="center"/>
          </w:tcPr>
          <w:p>
            <w:pPr>
              <w:pStyle w:val="TableContents"/>
              <w:bidi w:val="0"/>
              <w:spacing w:before="0" w:after="0"/>
              <w:ind w:left="0" w:right="0" w:hanging="0"/>
              <w:jc w:val="left"/>
              <w:rPr/>
            </w:pPr>
            <w:r>
              <w:rPr/>
              <w:t> </w:t>
            </w:r>
          </w:p>
        </w:tc>
        <w:tc>
          <w:tcPr>
            <w:tcW w:w="230"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2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476</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80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441</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373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3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2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6,726</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8,408</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7.</w:t>
      </w:r>
    </w:p>
    <w:p>
      <w:pPr>
        <w:pStyle w:val="TextBody"/>
        <w:bidi w:val="0"/>
        <w:spacing w:before="120" w:after="283"/>
        <w:jc w:val="left"/>
        <w:rPr>
          <w:rFonts w:ascii="Times New Roman;serif" w:hAnsi="Times New Roman;serif"/>
          <w:b/>
          <w:sz w:val="20"/>
        </w:rPr>
      </w:pPr>
      <w:r>
        <w:rPr>
          <w:rFonts w:ascii="Times New Roman;serif" w:hAnsi="Times New Roman;serif"/>
          <w:b/>
          <w:sz w:val="20"/>
        </w:rPr>
        <w:t>Stockholders’ Equity and Stock Options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Common Stock and Prefunded Warrants</w:t>
      </w:r>
    </w:p>
    <w:p>
      <w:pPr>
        <w:pStyle w:val="TextBody"/>
        <w:bidi w:val="0"/>
        <w:spacing w:before="120" w:after="0"/>
        <w:jc w:val="left"/>
        <w:rPr>
          <w:rFonts w:ascii="Times New Roman" w:hAnsi="Times New Roman"/>
          <w:sz w:val="20"/>
        </w:rPr>
      </w:pPr>
      <w:r>
        <w:rPr>
          <w:rFonts w:ascii="Times New Roman;serif" w:hAnsi="Times New Roman;serif"/>
          <w:b w:val="false"/>
          <w:sz w:val="20"/>
        </w:rPr>
        <w:t>On May 28, 2020, the Company entered into a securities purchase agreement with certain accredited investors (the “Purchasers”) for the sale by the Company in a private placement of 6,105,359</w:t>
      </w:r>
      <w:r>
        <w:rPr>
          <w:rFonts w:ascii="Times New Roman" w:hAnsi="Times New Roman"/>
          <w:sz w:val="20"/>
        </w:rPr>
        <w:t xml:space="preserve"> </w:t>
      </w:r>
      <w:r>
        <w:rPr>
          <w:rFonts w:ascii="Times New Roman;serif" w:hAnsi="Times New Roman;serif"/>
          <w:b w:val="false"/>
          <w:sz w:val="20"/>
        </w:rPr>
        <w:t>shares of the Company’s common stock and prefunded warrants to purchase an aggregate of 628,403</w:t>
      </w:r>
      <w:r>
        <w:rPr>
          <w:rFonts w:ascii="Times New Roman" w:hAnsi="Times New Roman"/>
          <w:sz w:val="20"/>
        </w:rPr>
        <w:t xml:space="preserve"> </w:t>
      </w:r>
      <w:r>
        <w:rPr>
          <w:rFonts w:ascii="Times New Roman;serif" w:hAnsi="Times New Roman;serif"/>
          <w:b w:val="false"/>
          <w:sz w:val="20"/>
        </w:rPr>
        <w:t>shares of the Company’s common stock, for a price of $11.88</w:t>
      </w:r>
      <w:r>
        <w:rPr>
          <w:rFonts w:ascii="Times New Roman" w:hAnsi="Times New Roman"/>
          <w:sz w:val="20"/>
        </w:rPr>
        <w:t xml:space="preserve"> </w:t>
      </w:r>
      <w:r>
        <w:rPr>
          <w:rFonts w:ascii="Times New Roman;serif" w:hAnsi="Times New Roman;serif"/>
          <w:b w:val="false"/>
          <w:sz w:val="20"/>
        </w:rPr>
        <w:t>per share of the common stock and $11.87</w:t>
      </w:r>
      <w:r>
        <w:rPr>
          <w:rFonts w:ascii="Times New Roman" w:hAnsi="Times New Roman"/>
          <w:sz w:val="20"/>
        </w:rPr>
        <w:t xml:space="preserve"> </w:t>
      </w:r>
      <w:r>
        <w:rPr>
          <w:rFonts w:ascii="Times New Roman;serif" w:hAnsi="Times New Roman;serif"/>
          <w:b w:val="false"/>
          <w:sz w:val="20"/>
        </w:rPr>
        <w:t>per prefunded warrant. The prefunded warrants are exercisable at an exercise price of $0.01</w:t>
      </w:r>
      <w:r>
        <w:rPr>
          <w:rFonts w:ascii="Times New Roman" w:hAnsi="Times New Roman"/>
          <w:sz w:val="20"/>
        </w:rPr>
        <w:t xml:space="preserve"> </w:t>
      </w:r>
      <w:r>
        <w:rPr>
          <w:rFonts w:ascii="Times New Roman;serif" w:hAnsi="Times New Roman;serif"/>
          <w:b w:val="false"/>
          <w:sz w:val="20"/>
        </w:rPr>
        <w:t>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w:t>
      </w:r>
      <w:r>
        <w:rPr>
          <w:rFonts w:ascii="Times New Roman" w:hAnsi="Times New Roman"/>
          <w:sz w:val="20"/>
        </w:rPr>
        <w:t xml:space="preserve"> </w:t>
      </w:r>
      <w:r>
        <w:rPr>
          <w:rFonts w:ascii="Times New Roman;serif" w:hAnsi="Times New Roman;serif"/>
          <w:b w:val="false"/>
          <w:sz w:val="20"/>
        </w:rPr>
        <w:t>million; transaction costs totaled $4.6</w:t>
      </w:r>
      <w:r>
        <w:rPr>
          <w:rFonts w:ascii="Times New Roman" w:hAnsi="Times New Roman"/>
          <w:sz w:val="20"/>
        </w:rPr>
        <w:t xml:space="preserve"> </w:t>
      </w:r>
      <w:r>
        <w:rPr>
          <w:rFonts w:ascii="Times New Roman;serif" w:hAnsi="Times New Roman;serif"/>
          <w:b w:val="false"/>
          <w:sz w:val="20"/>
        </w:rPr>
        <w:t>million and resulted in net proceeds of $75.4</w:t>
      </w:r>
      <w:r>
        <w:rPr>
          <w:rFonts w:ascii="Times New Roman" w:hAnsi="Times New Roman"/>
          <w:sz w:val="20"/>
        </w:rPr>
        <w:t xml:space="preserve"> </w:t>
      </w:r>
      <w:r>
        <w:rPr>
          <w:rFonts w:ascii="Times New Roman;serif" w:hAnsi="Times New Roman;serif"/>
          <w:b w:val="false"/>
          <w:sz w:val="20"/>
        </w:rPr>
        <w:t>million. The Company’s Registration Statement on Form S-3, filed with the SEC on June 26, 2020, registered the resale of 6,105,359</w:t>
      </w:r>
      <w:r>
        <w:rPr>
          <w:rFonts w:ascii="Times New Roman" w:hAnsi="Times New Roman"/>
          <w:sz w:val="20"/>
        </w:rPr>
        <w:t xml:space="preserve"> </w:t>
      </w:r>
      <w:r>
        <w:rPr>
          <w:rFonts w:ascii="Times New Roman;serif" w:hAnsi="Times New Roman;serif"/>
          <w:b w:val="false"/>
          <w:sz w:val="20"/>
        </w:rPr>
        <w:t>shares of common stock sold and the 628,403</w:t>
      </w:r>
      <w:r>
        <w:rPr>
          <w:rFonts w:ascii="Times New Roman" w:hAnsi="Times New Roman"/>
          <w:sz w:val="20"/>
        </w:rPr>
        <w:t xml:space="preserve"> </w:t>
      </w:r>
      <w:r>
        <w:rPr>
          <w:rFonts w:ascii="Times New Roman;serif" w:hAnsi="Times New Roman;serif"/>
          <w:b w:val="false"/>
          <w:sz w:val="20"/>
        </w:rPr>
        <w:t>shares of common stock underlying the prefunded warrants. MTS Health Partners served as placement agent to the Company in connection with the private placement. As partial compensation for these services, the Company issued MTS Health Partners 35,260</w:t>
      </w:r>
      <w:r>
        <w:rPr>
          <w:rFonts w:ascii="Times New Roman" w:hAnsi="Times New Roman"/>
          <w:sz w:val="20"/>
        </w:rPr>
        <w:t xml:space="preserve"> </w:t>
      </w:r>
      <w:r>
        <w:rPr>
          <w:rFonts w:ascii="Times New Roman;serif" w:hAnsi="Times New Roman;serif"/>
          <w:b w:val="false"/>
          <w:sz w:val="20"/>
        </w:rPr>
        <w:t>shares of common stock.</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the Company’s Certificate of Incorporation, as amended and restated, authorized the Company to issue up to 115,000,000</w:t>
      </w:r>
      <w:r>
        <w:rPr>
          <w:rFonts w:ascii="Times New Roman" w:hAnsi="Times New Roman"/>
          <w:sz w:val="20"/>
        </w:rPr>
        <w:t xml:space="preserve"> </w:t>
      </w:r>
      <w:r>
        <w:rPr>
          <w:rFonts w:ascii="Times New Roman;serif" w:hAnsi="Times New Roman;serif"/>
          <w:b w:val="false"/>
          <w:sz w:val="20"/>
        </w:rPr>
        <w:t>shares of $0.001</w:t>
      </w:r>
      <w:r>
        <w:rPr>
          <w:rFonts w:ascii="Times New Roman" w:hAnsi="Times New Roman"/>
          <w:sz w:val="20"/>
        </w:rPr>
        <w:t xml:space="preserve"> </w:t>
      </w:r>
      <w:r>
        <w:rPr>
          <w:rFonts w:ascii="Times New Roman;serif" w:hAnsi="Times New Roman;serif"/>
          <w:b w:val="false"/>
          <w:sz w:val="20"/>
        </w:rPr>
        <w:t>par value common stock, of which 43,269,200</w:t>
      </w:r>
      <w:r>
        <w:rPr>
          <w:rFonts w:ascii="Times New Roman" w:hAnsi="Times New Roman"/>
          <w:sz w:val="20"/>
        </w:rPr>
        <w:t xml:space="preserve"> </w:t>
      </w:r>
      <w:r>
        <w:rPr>
          <w:rFonts w:ascii="Times New Roman;serif" w:hAnsi="Times New Roman;serif"/>
          <w:b w:val="false"/>
          <w:sz w:val="20"/>
        </w:rPr>
        <w:t>shares were issued and outstanding, and up to 5,000,000</w:t>
      </w:r>
      <w:r>
        <w:rPr>
          <w:rFonts w:ascii="Times New Roman" w:hAnsi="Times New Roman"/>
          <w:sz w:val="20"/>
        </w:rPr>
        <w:t xml:space="preserve"> </w:t>
      </w:r>
      <w:r>
        <w:rPr>
          <w:rFonts w:ascii="Times New Roman;serif" w:hAnsi="Times New Roman;serif"/>
          <w:b w:val="false"/>
          <w:sz w:val="20"/>
        </w:rPr>
        <w:t>shares of $0.001</w:t>
      </w:r>
      <w:r>
        <w:rPr>
          <w:rFonts w:ascii="Times New Roman" w:hAnsi="Times New Roman"/>
          <w:sz w:val="20"/>
        </w:rPr>
        <w:t xml:space="preserve"> </w:t>
      </w:r>
      <w:r>
        <w:rPr>
          <w:rFonts w:ascii="Times New Roman;serif" w:hAnsi="Times New Roman;serif"/>
          <w:b w:val="false"/>
          <w:sz w:val="20"/>
        </w:rPr>
        <w:t>par value undesignated preferred stock, of which no</w:t>
      </w:r>
      <w:r>
        <w:rPr>
          <w:rFonts w:ascii="Times New Roman" w:hAnsi="Times New Roman"/>
          <w:sz w:val="20"/>
        </w:rPr>
        <w:t xml:space="preserve"> </w:t>
      </w:r>
      <w:r>
        <w:rPr>
          <w:rFonts w:ascii="Times New Roman;serif" w:hAnsi="Times New Roman;serif"/>
          <w:b w:val="false"/>
          <w:sz w:val="20"/>
        </w:rPr>
        <w:t>shares were issued or outstanding. The voting, dividend, and liquidation rights of the holders of the Company’s common stock are subject to and qualified by the rights, powers, and preferences of the holders of the preferred stock, if any. Each share of common stock entitles the holder to one vote on all matters submitted to a vote of the Company’s stockholders. Common stockholders are entitled to receive dividends, as may be declared by the board of directors of the Company (the “Board”), if any. No</w:t>
      </w:r>
      <w:r>
        <w:rPr>
          <w:rFonts w:ascii="Times New Roman" w:hAnsi="Times New Roman"/>
          <w:sz w:val="20"/>
        </w:rPr>
        <w:t xml:space="preserve"> </w:t>
      </w:r>
      <w:r>
        <w:rPr>
          <w:rFonts w:ascii="Times New Roman;serif" w:hAnsi="Times New Roman;serif"/>
          <w:b w:val="false"/>
          <w:sz w:val="20"/>
        </w:rPr>
        <w:t>cash dividends have been declared or paid to date.</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2022, the Company sold 25,558,750</w:t>
      </w:r>
      <w:r>
        <w:rPr>
          <w:rFonts w:ascii="Times New Roman" w:hAnsi="Times New Roman"/>
          <w:sz w:val="20"/>
        </w:rPr>
        <w:t xml:space="preserve"> </w:t>
      </w:r>
      <w:r>
        <w:rPr>
          <w:rFonts w:ascii="Times New Roman;serif" w:hAnsi="Times New Roman;serif"/>
          <w:b w:val="false"/>
          <w:sz w:val="20"/>
        </w:rPr>
        <w:t>shares of common stock at a public offering price of $3.15</w:t>
      </w:r>
      <w:r>
        <w:rPr>
          <w:rFonts w:ascii="Times New Roman" w:hAnsi="Times New Roman"/>
          <w:sz w:val="20"/>
        </w:rPr>
        <w:t xml:space="preserve"> </w:t>
      </w:r>
      <w:r>
        <w:rPr>
          <w:rFonts w:ascii="Times New Roman;serif" w:hAnsi="Times New Roman;serif"/>
          <w:b w:val="false"/>
          <w:sz w:val="20"/>
        </w:rPr>
        <w:t>per share and received net proceeds, net of underwriting discounts and commissions and offering costs of $75.2</w:t>
      </w:r>
      <w:r>
        <w:rPr>
          <w:rFonts w:ascii="Times New Roman" w:hAnsi="Times New Roman"/>
          <w:sz w:val="20"/>
        </w:rPr>
        <w:t xml:space="preserve"> </w:t>
      </w:r>
      <w:r>
        <w:rPr>
          <w:rFonts w:ascii="Times New Roman;serif" w:hAnsi="Times New Roman;serif"/>
          <w:b w:val="false"/>
          <w:sz w:val="20"/>
        </w:rPr>
        <w:t>million.</w:t>
        <w:br/>
      </w:r>
      <w:r>
        <w:rPr>
          <w:rFonts w:ascii="Times New Roman" w:hAnsi="Times New Roman"/>
          <w:sz w:val="20"/>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2022 ATM Agreement</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10, 2022, the Company entered into a sales agreement (the "ATM Agreement") with Guggenheim Securities, LLC in connection with the establishment of an “at-the-market” offering program under which the Company may sell up to an aggregate of $50.0</w:t>
      </w:r>
      <w:r>
        <w:rPr>
          <w:rFonts w:ascii="Times New Roman" w:hAnsi="Times New Roman"/>
          <w:sz w:val="20"/>
        </w:rPr>
        <w:t xml:space="preserve"> </w:t>
      </w:r>
      <w:r>
        <w:rPr>
          <w:rFonts w:ascii="Times New Roman;serif" w:hAnsi="Times New Roman;serif"/>
          <w:b w:val="false"/>
          <w:sz w:val="20"/>
        </w:rPr>
        <w:t>million of shares of common stock (the “ATM Shares”) from time to time.</w:t>
      </w:r>
    </w:p>
    <w:p>
      <w:pPr>
        <w:pStyle w:val="TextBody"/>
        <w:bidi w:val="0"/>
        <w:spacing w:before="120" w:after="0"/>
        <w:jc w:val="left"/>
        <w:rPr>
          <w:rFonts w:ascii="Times New Roman" w:hAnsi="Times New Roman"/>
          <w:sz w:val="20"/>
        </w:rPr>
      </w:pPr>
      <w:r>
        <w:rPr>
          <w:rFonts w:ascii="Times New Roman;serif" w:hAnsi="Times New Roman;serif"/>
          <w:b w:val="false"/>
          <w:sz w:val="20"/>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 to be “at-the-market offerings” as defined in Rule 415 under the Securities Act. The Company pays its investment bank a commission equal to 3.0% of the gross proceeds of any ATM Shares sold through its investment bank under the ATM Agreement and reimburses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ATM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ATM Shares will be offered and sold pursuant to the Company’s Registration Statement on Form S-3, filed by the Company on November 10, 2022 and effective as of November 21, 2022 (the “Registration Statement”),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and the sales agreement prospectus that forms a part of such Registration Statement. As of the date of this Quarterly Report on Form 10-Q, no</w:t>
      </w:r>
      <w:r>
        <w:rPr>
          <w:rFonts w:ascii="Times New Roman" w:hAnsi="Times New Roman"/>
          <w:sz w:val="20"/>
        </w:rPr>
        <w:t xml:space="preserve"> </w:t>
      </w:r>
      <w:r>
        <w:rPr>
          <w:rFonts w:ascii="Times New Roman;serif" w:hAnsi="Times New Roman;serif"/>
          <w:b w:val="false"/>
          <w:sz w:val="20"/>
        </w:rPr>
        <w:t>ATM Shares have been sold pursuant to the ATM Agreement.</w:t>
      </w:r>
    </w:p>
    <w:p>
      <w:pPr>
        <w:pStyle w:val="TextBody"/>
        <w:bidi w:val="0"/>
        <w:spacing w:before="120" w:after="0"/>
        <w:jc w:val="left"/>
        <w:rPr>
          <w:rFonts w:ascii="Times New Roman;serif" w:hAnsi="Times New Roman;serif"/>
          <w:b/>
          <w:i/>
          <w:sz w:val="20"/>
        </w:rPr>
      </w:pPr>
      <w:r>
        <w:rPr>
          <w:rFonts w:ascii="Times New Roman;serif" w:hAnsi="Times New Roman;serif"/>
          <w:b/>
          <w:i/>
          <w:sz w:val="20"/>
        </w:rPr>
        <w:t>2020 Equity Incentive Plan</w:t>
      </w:r>
    </w:p>
    <w:p>
      <w:pPr>
        <w:pStyle w:val="TextBody"/>
        <w:bidi w:val="0"/>
        <w:spacing w:before="120" w:after="0"/>
        <w:jc w:val="left"/>
        <w:rPr>
          <w:rFonts w:ascii="Times New Roman" w:hAnsi="Times New Roman"/>
          <w:sz w:val="20"/>
        </w:rPr>
      </w:pPr>
      <w:r>
        <w:rPr>
          <w:rFonts w:ascii="Times New Roman;serif" w:hAnsi="Times New Roman;serif"/>
          <w:b w:val="false"/>
          <w:sz w:val="20"/>
        </w:rPr>
        <w:t>The Board adopted the 2020 Equity Incentive Plan (the "2020 Plan") on July 16, 2020 and the stockholders of the Company approved the 2020 Plan on September 29, 2020. The 2020 Plan replaces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2020 Plan provides for the grant of incentive stock options (“ISOs”), nonstatutory stock options, stock appreciation rights, restricted stock awards, restricted stock unit ("RSU") awards, and cash or other stock-based awards. ISOs may be granted only to the Company’s employees, including the Company’s officers, and the Company's employees, as well as officers and employees of its affiliates. All other awards may be granted to the Company’s employees, including the Company’s officers, the Company’s non-employee directors and consultants, and the employees and consultants of the Company’s affiliates.</w:t>
      </w:r>
    </w:p>
    <w:p>
      <w:pPr>
        <w:pStyle w:val="TextBody"/>
        <w:bidi w:val="0"/>
        <w:spacing w:before="120" w:after="0"/>
        <w:jc w:val="left"/>
        <w:rPr>
          <w:rFonts w:ascii="Times New Roman" w:hAnsi="Times New Roman"/>
          <w:sz w:val="20"/>
        </w:rPr>
      </w:pPr>
      <w:r>
        <w:rPr>
          <w:rFonts w:ascii="Times New Roman;serif" w:hAnsi="Times New Roman;serif"/>
          <w:b w:val="false"/>
          <w:sz w:val="20"/>
        </w:rPr>
        <w:t>The maximum number of shares that may be issued in respect of any awards under the 2020 Plan is the sum of: (i) 1,700,000</w:t>
      </w:r>
      <w:r>
        <w:rPr>
          <w:rFonts w:ascii="Times New Roman;serif" w:hAnsi="Times New Roman;serif"/>
          <w:sz w:val="20"/>
        </w:rPr>
        <w:t xml:space="preserve"> </w:t>
      </w:r>
      <w:r>
        <w:rPr>
          <w:rFonts w:ascii="Times New Roman;serif" w:hAnsi="Times New Roman;serif"/>
          <w:b w:val="false"/>
          <w:sz w:val="20"/>
        </w:rPr>
        <w:t>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w:t>
      </w:r>
      <w:r>
        <w:rPr>
          <w:rFonts w:ascii="Times New Roman" w:hAnsi="Times New Roman"/>
          <w:sz w:val="20"/>
        </w:rPr>
        <w:t xml:space="preserve"> </w:t>
      </w:r>
      <w:r>
        <w:rPr>
          <w:rFonts w:ascii="Times New Roman;serif" w:hAnsi="Times New Roman;serif"/>
          <w:b w:val="false"/>
          <w:sz w:val="20"/>
        </w:rPr>
        <w:t>The maximum aggregate number of shares that may be issued under the 2020 Plan is 8,000,000</w:t>
      </w:r>
      <w:r>
        <w:rPr>
          <w:rFonts w:ascii="Times New Roman" w:hAnsi="Times New Roman"/>
          <w:sz w:val="20"/>
        </w:rPr>
        <w:t xml:space="preserve"> </w:t>
      </w:r>
      <w:r>
        <w:rPr>
          <w:rFonts w:ascii="Times New Roman;serif" w:hAnsi="Times New Roman;serif"/>
          <w:b w:val="false"/>
          <w:sz w:val="20"/>
        </w:rPr>
        <w:t>over the ten-year</w:t>
      </w:r>
      <w:r>
        <w:rPr>
          <w:rFonts w:ascii="Times New Roman" w:hAnsi="Times New Roman"/>
          <w:sz w:val="20"/>
        </w:rPr>
        <w:t xml:space="preserve"> </w:t>
      </w:r>
      <w:r>
        <w:rPr>
          <w:rFonts w:ascii="Times New Roman;serif" w:hAnsi="Times New Roman;serif"/>
          <w:b w:val="false"/>
          <w:sz w:val="20"/>
        </w:rPr>
        <w:t>term of the 2020 Plan. During the twelve months ended December 31, 2022, options to purchase 148,623</w:t>
      </w:r>
      <w:r>
        <w:rPr>
          <w:rFonts w:ascii="Times New Roman" w:hAnsi="Times New Roman"/>
          <w:sz w:val="20"/>
        </w:rPr>
        <w:t xml:space="preserve"> </w:t>
      </w:r>
      <w:r>
        <w:rPr>
          <w:rFonts w:ascii="Times New Roman;serif" w:hAnsi="Times New Roman;serif"/>
          <w:b w:val="false"/>
          <w:sz w:val="20"/>
        </w:rPr>
        <w:t>shares issued under the Prior Plans were cancelled and became available for grant under the 2020 Plan. No</w:t>
      </w:r>
      <w:r>
        <w:rPr>
          <w:rFonts w:ascii="Times New Roman" w:hAnsi="Times New Roman"/>
          <w:sz w:val="20"/>
        </w:rPr>
        <w:t xml:space="preserve"> </w:t>
      </w:r>
      <w:r>
        <w:rPr>
          <w:rFonts w:ascii="Times New Roman;serif" w:hAnsi="Times New Roman;serif"/>
          <w:b w:val="false"/>
          <w:sz w:val="20"/>
        </w:rPr>
        <w:t>such options were cancelled in the three months ended March 31, 2023.</w:t>
      </w:r>
    </w:p>
    <w:p>
      <w:pPr>
        <w:pStyle w:val="TextBody"/>
        <w:bidi w:val="0"/>
        <w:spacing w:before="120" w:after="0"/>
        <w:jc w:val="left"/>
        <w:rPr>
          <w:rFonts w:ascii="Times New Roman" w:hAnsi="Times New Roman"/>
          <w:sz w:val="20"/>
        </w:rPr>
      </w:pPr>
      <w:r>
        <w:rPr>
          <w:rFonts w:ascii="Times New Roman;serif" w:hAnsi="Times New Roman;serif"/>
          <w:b w:val="false"/>
          <w:sz w:val="20"/>
        </w:rPr>
        <w:t>As permitted by the 2020 Plan, the Company added 1,730,768</w:t>
      </w:r>
      <w:r>
        <w:rPr>
          <w:rFonts w:ascii="Times New Roman" w:hAnsi="Times New Roman"/>
          <w:sz w:val="20"/>
        </w:rPr>
        <w:t xml:space="preserve"> </w:t>
      </w:r>
      <w:r>
        <w:rPr>
          <w:rFonts w:ascii="Times New Roman;serif" w:hAnsi="Times New Roman;serif"/>
          <w:b w:val="false"/>
          <w:sz w:val="20"/>
        </w:rPr>
        <w:t>and 708,418</w:t>
      </w:r>
      <w:r>
        <w:rPr>
          <w:rFonts w:ascii="Times New Roman" w:hAnsi="Times New Roman"/>
          <w:sz w:val="20"/>
        </w:rPr>
        <w:t xml:space="preserve"> </w:t>
      </w:r>
      <w:r>
        <w:rPr>
          <w:rFonts w:ascii="Times New Roman;serif" w:hAnsi="Times New Roman;serif"/>
          <w:b w:val="false"/>
          <w:sz w:val="20"/>
        </w:rPr>
        <w:t>shares available for grant to the 2020 Plan on January 1, 2023 and January 1, 2022, respectively. As of March 31, 2023, 1,061,915</w:t>
      </w:r>
      <w:r>
        <w:rPr>
          <w:rFonts w:ascii="Times New Roman" w:hAnsi="Times New Roman"/>
          <w:sz w:val="20"/>
        </w:rPr>
        <w:t xml:space="preserve"> </w:t>
      </w:r>
      <w:r>
        <w:rPr>
          <w:rFonts w:ascii="Times New Roman;serif" w:hAnsi="Times New Roman;serif"/>
          <w:b w:val="false"/>
          <w:sz w:val="20"/>
        </w:rPr>
        <w:t>shares of common stock were available for grant under the 2020 Plan.</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 Option Valuation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presents, on a weighted average basis, the assumptions used in the Black-Scholes option-pricing model to determine the grant-date fair value of stock options granted to employees:</w:t>
      </w:r>
    </w:p>
    <w:p>
      <w:pPr>
        <w:pStyle w:val="TextBody"/>
        <w:bidi w:val="0"/>
        <w:spacing w:before="0" w:after="0"/>
        <w:jc w:val="left"/>
        <w:rPr/>
      </w:pPr>
      <w:r>
        <w:rPr/>
        <w:t> </w:t>
      </w:r>
    </w:p>
    <w:tbl>
      <w:tblPr>
        <w:tblW w:w="3425" w:type="dxa"/>
        <w:jc w:val="left"/>
        <w:tblInd w:w="0" w:type="dxa"/>
        <w:tblLayout w:type="fixed"/>
        <w:tblCellMar>
          <w:top w:w="28" w:type="dxa"/>
          <w:left w:w="28" w:type="dxa"/>
          <w:bottom w:w="28" w:type="dxa"/>
          <w:right w:w="28" w:type="dxa"/>
        </w:tblCellMar>
      </w:tblPr>
      <w:tblGrid>
        <w:gridCol w:w="2086"/>
        <w:gridCol w:w="146"/>
        <w:gridCol w:w="856"/>
        <w:gridCol w:w="146"/>
        <w:gridCol w:w="19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Risk-free interest rate</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3.63%</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term (in years)</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6.25</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Expected volatility</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94%</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r>
        <w:trPr/>
        <w:tc>
          <w:tcPr>
            <w:tcW w:w="208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 yield</w:t>
            </w:r>
          </w:p>
        </w:tc>
        <w:tc>
          <w:tcPr>
            <w:tcW w:w="146" w:type="dxa"/>
            <w:tcBorders/>
            <w:vAlign w:val="center"/>
          </w:tcPr>
          <w:p>
            <w:pPr>
              <w:pStyle w:val="TableContents"/>
              <w:bidi w:val="0"/>
              <w:spacing w:before="0" w:after="0"/>
              <w:ind w:left="0" w:right="0" w:hanging="0"/>
              <w:jc w:val="left"/>
              <w:rPr/>
            </w:pPr>
            <w:r>
              <w:rPr/>
              <w:t> </w:t>
            </w:r>
          </w:p>
        </w:tc>
        <w:tc>
          <w:tcPr>
            <w:tcW w:w="856" w:type="dxa"/>
            <w:tcBorders/>
            <w:vAlign w:val="center"/>
          </w:tcPr>
          <w:p>
            <w:pPr>
              <w:pStyle w:val="TableContents"/>
              <w:bidi w:val="0"/>
              <w:spacing w:before="0" w:after="0"/>
              <w:ind w:left="0" w:right="0" w:hanging="0"/>
              <w:jc w:val="center"/>
              <w:rPr>
                <w:rFonts w:ascii="Times New Roman;serif" w:hAnsi="Times New Roman;serif"/>
                <w:b w:val="false"/>
                <w:sz w:val="20"/>
              </w:rPr>
            </w:pPr>
            <w:r>
              <w:rPr>
                <w:rFonts w:ascii="Times New Roman;serif" w:hAnsi="Times New Roman;serif"/>
                <w:b w:val="false"/>
                <w:sz w:val="20"/>
              </w:rPr>
              <w:t>0.00%</w:t>
            </w:r>
          </w:p>
        </w:tc>
        <w:tc>
          <w:tcPr>
            <w:tcW w:w="146" w:type="dxa"/>
            <w:tcBorders/>
            <w:vAlign w:val="center"/>
          </w:tcPr>
          <w:p>
            <w:pPr>
              <w:pStyle w:val="TableContents"/>
              <w:bidi w:val="0"/>
              <w:spacing w:before="0" w:after="0"/>
              <w:ind w:left="0" w:right="0" w:hanging="0"/>
              <w:jc w:val="center"/>
              <w:rPr/>
            </w:pPr>
            <w:r>
              <w:rPr/>
              <w:t> </w:t>
            </w:r>
          </w:p>
        </w:tc>
        <w:tc>
          <w:tcPr>
            <w:tcW w:w="191" w:type="dxa"/>
            <w:tcBorders/>
            <w:vAlign w:val="center"/>
          </w:tcPr>
          <w:p>
            <w:pPr>
              <w:pStyle w:val="TableContents"/>
              <w:bidi w:val="0"/>
              <w:spacing w:before="0" w:after="0"/>
              <w:ind w:left="0" w:right="0" w:hanging="0"/>
              <w:jc w:val="center"/>
              <w:rPr/>
            </w:pPr>
            <w:r>
              <w:rPr/>
              <w:t> </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 Options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the Company’s stock option activity for the three months ended March 31, 2023 (amounts in millions, except for share, contractual term, and per share data):</w:t>
      </w:r>
    </w:p>
    <w:p>
      <w:pPr>
        <w:pStyle w:val="TextBody"/>
        <w:bidi w:val="0"/>
        <w:spacing w:before="0" w:after="0"/>
        <w:jc w:val="center"/>
        <w:rPr/>
      </w:pPr>
      <w:r>
        <w:rPr/>
        <w:t> </w:t>
      </w:r>
    </w:p>
    <w:tbl>
      <w:tblPr>
        <w:tblW w:w="10137" w:type="dxa"/>
        <w:jc w:val="left"/>
        <w:tblInd w:w="0" w:type="dxa"/>
        <w:tblLayout w:type="fixed"/>
        <w:tblCellMar>
          <w:top w:w="28" w:type="dxa"/>
          <w:left w:w="28" w:type="dxa"/>
          <w:bottom w:w="28" w:type="dxa"/>
          <w:right w:w="28" w:type="dxa"/>
        </w:tblCellMar>
      </w:tblPr>
      <w:tblGrid>
        <w:gridCol w:w="4216"/>
        <w:gridCol w:w="146"/>
        <w:gridCol w:w="146"/>
        <w:gridCol w:w="931"/>
        <w:gridCol w:w="166"/>
        <w:gridCol w:w="146"/>
        <w:gridCol w:w="214"/>
        <w:gridCol w:w="582"/>
        <w:gridCol w:w="146"/>
        <w:gridCol w:w="146"/>
        <w:gridCol w:w="418"/>
        <w:gridCol w:w="1037"/>
        <w:gridCol w:w="146"/>
        <w:gridCol w:w="146"/>
        <w:gridCol w:w="354"/>
        <w:gridCol w:w="606"/>
        <w:gridCol w:w="5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pPr>
            <w:r>
              <w:rPr/>
              <w:t> </w:t>
            </w:r>
          </w:p>
        </w:tc>
        <w:tc>
          <w:tcPr>
            <w:tcW w:w="591" w:type="dxa"/>
            <w:tcBorders/>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591" w:type="dxa"/>
            <w:tcBorders/>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591" w:type="dxa"/>
            <w:tcBorders/>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Exercise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 (a)</w:t>
            </w:r>
          </w:p>
        </w:tc>
        <w:tc>
          <w:tcPr>
            <w:tcW w:w="591" w:type="dxa"/>
            <w:tcBorders/>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7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79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Price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5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3,071,528</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2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Options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1,288,000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firstLine="400"/>
              <w:jc w:val="right"/>
              <w:rPr/>
            </w:pPr>
            <w:r>
              <w:rPr/>
              <w:t> </w:t>
            </w:r>
          </w:p>
        </w:tc>
      </w:tr>
      <w:tr>
        <w:trPr/>
        <w:tc>
          <w:tcPr>
            <w:tcW w:w="4216"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Options forfeited/expired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(31,007</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pPr>
            <w:r>
              <w:rPr/>
              <w:t> </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11.38</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55"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60" w:type="dxa"/>
            <w:gridSpan w:val="2"/>
            <w:tcBorders/>
            <w:vAlign w:val="center"/>
          </w:tcPr>
          <w:p>
            <w:pPr>
              <w:pStyle w:val="TableContents"/>
              <w:bidi w:val="0"/>
              <w:spacing w:before="0" w:after="0"/>
              <w:ind w:left="0" w:right="0" w:hanging="0"/>
              <w:jc w:val="right"/>
              <w:rPr/>
            </w:pPr>
            <w:r>
              <w:rPr/>
              <w:t> </w:t>
            </w:r>
          </w:p>
        </w:tc>
        <w:tc>
          <w:tcPr>
            <w:tcW w:w="591" w:type="dxa"/>
            <w:tcBorders/>
            <w:vAlign w:val="center"/>
          </w:tcPr>
          <w:p>
            <w:pPr>
              <w:pStyle w:val="TableContents"/>
              <w:bidi w:val="0"/>
              <w:spacing w:before="0" w:after="0"/>
              <w:ind w:left="0" w:right="0" w:hanging="0"/>
              <w:jc w:val="righ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4,328,521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5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Exercisable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1,736,663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13.76</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pPr>
            <w:r>
              <w:rPr/>
              <w:t>—</w:t>
            </w:r>
          </w:p>
        </w:tc>
        <w:tc>
          <w:tcPr>
            <w:tcW w:w="591" w:type="dxa"/>
            <w:tcBorders/>
            <w:vAlign w:val="center"/>
          </w:tcPr>
          <w:p>
            <w:pPr>
              <w:pStyle w:val="TableContents"/>
              <w:bidi w:val="0"/>
              <w:spacing w:before="0" w:after="0"/>
              <w:ind w:left="0" w:right="0" w:hanging="0"/>
              <w:jc w:val="left"/>
              <w:rPr/>
            </w:pPr>
            <w:r>
              <w:rPr/>
              <w:t> </w:t>
            </w:r>
          </w:p>
        </w:tc>
      </w:tr>
      <w:tr>
        <w:trPr/>
        <w:tc>
          <w:tcPr>
            <w:tcW w:w="4216"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Vested and expected to vest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4,328,521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8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10.04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3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6"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0.4</w:t>
            </w:r>
          </w:p>
        </w:tc>
        <w:tc>
          <w:tcPr>
            <w:tcW w:w="591"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b w:val="false"/>
          <w:sz w:val="20"/>
        </w:rPr>
      </w:pPr>
      <w:r>
        <w:rPr>
          <w:rFonts w:ascii="Times New Roman" w:hAnsi="Times New Roman"/>
          <w:b w:val="false"/>
          <w:sz w:val="20"/>
        </w:rPr>
        <w:t>(a)</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The aggregate intrinsic value is calculated as the difference between the exercise price of the underlying options and the fair value of the common stock for the options that were "in the money" at March 31, 2023.</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Option Grants</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the Company granted options to purchase 1,108,000</w:t>
      </w:r>
      <w:r>
        <w:rPr>
          <w:rFonts w:ascii="Times New Roman" w:hAnsi="Times New Roman"/>
          <w:sz w:val="20"/>
        </w:rPr>
        <w:t xml:space="preserve"> </w:t>
      </w:r>
      <w:r>
        <w:rPr>
          <w:rFonts w:ascii="Times New Roman;serif" w:hAnsi="Times New Roman;serif"/>
          <w:b w:val="false"/>
          <w:sz w:val="20"/>
        </w:rPr>
        <w:t>shares of common stock to employees under the 2020 Plan. The options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the 2020 Plan during the three months ended March 31, 2023</w:t>
      </w:r>
      <w:r>
        <w:rPr>
          <w:rFonts w:ascii="Times New Roman" w:hAnsi="Times New Roman"/>
          <w:sz w:val="20"/>
        </w:rPr>
        <w:t xml:space="preserve"> </w:t>
      </w:r>
      <w:r>
        <w:rPr>
          <w:rFonts w:ascii="Times New Roman;serif" w:hAnsi="Times New Roman;serif"/>
          <w:b w:val="false"/>
          <w:sz w:val="20"/>
        </w:rPr>
        <w:t>was $3.33.</w:t>
      </w:r>
    </w:p>
    <w:p>
      <w:pPr>
        <w:pStyle w:val="TextBody"/>
        <w:bidi w:val="0"/>
        <w:spacing w:before="120" w:after="0"/>
        <w:jc w:val="left"/>
        <w:rPr>
          <w:rFonts w:ascii="Times New Roman" w:hAnsi="Times New Roman"/>
          <w:sz w:val="20"/>
        </w:rPr>
      </w:pPr>
      <w:r>
        <w:rPr>
          <w:rFonts w:ascii="Times New Roman;serif" w:hAnsi="Times New Roman;serif"/>
          <w:b w:val="false"/>
          <w:sz w:val="20"/>
        </w:rPr>
        <w:t>At December 31, 2022, the aggregate intrinsic value of outstanding options granted under the 2020 Plan was $0.3</w:t>
      </w:r>
      <w:r>
        <w:rPr>
          <w:rFonts w:ascii="Times New Roman" w:hAnsi="Times New Roman"/>
          <w:sz w:val="20"/>
        </w:rPr>
        <w:t xml:space="preserve"> </w:t>
      </w:r>
      <w:r>
        <w:rPr>
          <w:rFonts w:ascii="Times New Roman;serif" w:hAnsi="Times New Roman;serif"/>
          <w:b w:val="false"/>
          <w:sz w:val="20"/>
        </w:rPr>
        <w:t>million.</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total unrecognized compensation expense related to unvested stock options granted under the 2020 Plan was $14.1</w:t>
      </w:r>
      <w:r>
        <w:rPr>
          <w:rFonts w:ascii="Times New Roman" w:hAnsi="Times New Roman"/>
          <w:sz w:val="20"/>
        </w:rPr>
        <w:t xml:space="preserve"> </w:t>
      </w:r>
      <w:r>
        <w:rPr>
          <w:rFonts w:ascii="Times New Roman;serif" w:hAnsi="Times New Roman;serif"/>
          <w:b w:val="false"/>
          <w:sz w:val="20"/>
        </w:rPr>
        <w:t>million, which is expected to be recognized over a weighted average period of 2.49</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Inducement Stock Option Grant</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the Company granted options to purchase 180,000</w:t>
      </w:r>
      <w:r>
        <w:rPr>
          <w:rFonts w:ascii="Times New Roman" w:hAnsi="Times New Roman"/>
          <w:sz w:val="20"/>
        </w:rPr>
        <w:t xml:space="preserve"> </w:t>
      </w:r>
      <w:r>
        <w:rPr>
          <w:rFonts w:ascii="Times New Roman;serif" w:hAnsi="Times New Roman;serif"/>
          <w:b w:val="false"/>
          <w:sz w:val="20"/>
        </w:rPr>
        <w:t>shares of common stock granted outside of the 2020 Plan. This grant was made pursuant to the Nasdaq inducement grant exception in accordance with Nasdaq listing rule 5635(c)(4). The options issued under this inducement grant have an exercise price equal to the closing stock price as of the grant date, and vest over four years, with 25% vesting on the first anniversary of the grant and the remainder vesting in equal monthly installments thereafter. The weighted-average grant date fair value of options granted under this inducement grant during the three months ended March 31, 2023</w:t>
      </w:r>
      <w:r>
        <w:rPr>
          <w:rFonts w:ascii="Times New Roman" w:hAnsi="Times New Roman"/>
          <w:sz w:val="20"/>
        </w:rPr>
        <w:t xml:space="preserve"> </w:t>
      </w:r>
      <w:r>
        <w:rPr>
          <w:rFonts w:ascii="Times New Roman;serif" w:hAnsi="Times New Roman;serif"/>
          <w:b w:val="false"/>
          <w:sz w:val="20"/>
        </w:rPr>
        <w:t>was $4.62.</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total unrecognized compensation expense related to unvested inducement options granted was $0.8</w:t>
      </w:r>
      <w:r>
        <w:rPr>
          <w:rFonts w:ascii="Times New Roman" w:hAnsi="Times New Roman"/>
          <w:sz w:val="20"/>
        </w:rPr>
        <w:t xml:space="preserve"> </w:t>
      </w:r>
      <w:r>
        <w:rPr>
          <w:rFonts w:ascii="Times New Roman;serif" w:hAnsi="Times New Roman;serif"/>
          <w:b w:val="false"/>
          <w:sz w:val="20"/>
        </w:rPr>
        <w:t>million, which is expected to be recognized over a weighted average period of 3.86</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Restricted Stock Units</w:t>
      </w:r>
    </w:p>
    <w:p>
      <w:pPr>
        <w:pStyle w:val="TextBody"/>
        <w:bidi w:val="0"/>
        <w:spacing w:before="120" w:after="0"/>
        <w:jc w:val="left"/>
        <w:rPr>
          <w:rFonts w:ascii="Times New Roman" w:hAnsi="Times New Roman"/>
          <w:sz w:val="20"/>
        </w:rPr>
      </w:pPr>
      <w:r>
        <w:rPr>
          <w:rFonts w:ascii="Times New Roman;serif" w:hAnsi="Times New Roman;serif"/>
          <w:b w:val="false"/>
          <w:sz w:val="20"/>
        </w:rPr>
        <w:t>In January 2023, RSUs were granted under the 2020 Plan to the Company's employees in order to maintain retention of key employees. The value of an RSU award is based on the Company's stock price on the date of the grant. The shares underlying the RSUs are not issued until the RSUs vest.</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Activity with respect to the Company's RSUs during the three months ended March 31, 2023 was as follows (in millions, except share, contractual term, and per share data):</w:t>
      </w:r>
    </w:p>
    <w:p>
      <w:pPr>
        <w:pStyle w:val="TextBody"/>
        <w:bidi w:val="0"/>
        <w:spacing w:before="120" w:after="0"/>
        <w:jc w:val="left"/>
        <w:rPr/>
      </w:pPr>
      <w:r>
        <w:rPr/>
        <w:t> </w:t>
      </w:r>
    </w:p>
    <w:tbl>
      <w:tblPr>
        <w:tblW w:w="10205" w:type="dxa"/>
        <w:jc w:val="left"/>
        <w:tblInd w:w="0" w:type="dxa"/>
        <w:tblLayout w:type="fixed"/>
        <w:tblCellMar>
          <w:top w:w="28" w:type="dxa"/>
          <w:left w:w="28" w:type="dxa"/>
          <w:bottom w:w="28" w:type="dxa"/>
          <w:right w:w="28" w:type="dxa"/>
        </w:tblCellMar>
      </w:tblPr>
      <w:tblGrid>
        <w:gridCol w:w="4309"/>
        <w:gridCol w:w="146"/>
        <w:gridCol w:w="146"/>
        <w:gridCol w:w="781"/>
        <w:gridCol w:w="166"/>
        <w:gridCol w:w="146"/>
        <w:gridCol w:w="292"/>
        <w:gridCol w:w="647"/>
        <w:gridCol w:w="146"/>
        <w:gridCol w:w="146"/>
        <w:gridCol w:w="418"/>
        <w:gridCol w:w="1020"/>
        <w:gridCol w:w="146"/>
        <w:gridCol w:w="146"/>
        <w:gridCol w:w="352"/>
        <w:gridCol w:w="604"/>
        <w:gridCol w:w="594"/>
      </w:tblGrid>
      <w:tr>
        <w:trPr/>
        <w:tc>
          <w:tcPr>
            <w:tcW w:w="43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43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left"/>
              <w:rPr/>
            </w:pPr>
            <w:r>
              <w:rPr/>
              <w:t> </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3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Weighted 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Aggregate</w:t>
            </w:r>
          </w:p>
        </w:tc>
        <w:tc>
          <w:tcPr>
            <w:tcW w:w="594" w:type="dxa"/>
            <w:tcBorders/>
            <w:vAlign w:val="center"/>
          </w:tcPr>
          <w:p>
            <w:pPr>
              <w:pStyle w:val="TableContents"/>
              <w:bidi w:val="0"/>
              <w:spacing w:before="0" w:after="0"/>
              <w:ind w:left="0" w:right="0" w:hanging="0"/>
              <w:jc w:val="center"/>
              <w:rPr/>
            </w:pPr>
            <w:r>
              <w:rPr/>
              <w:t> </w:t>
            </w:r>
          </w:p>
        </w:tc>
      </w:tr>
      <w:tr>
        <w:trPr/>
        <w:tc>
          <w:tcPr>
            <w:tcW w:w="43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3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Remaining</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Intrinsic</w:t>
            </w:r>
          </w:p>
        </w:tc>
        <w:tc>
          <w:tcPr>
            <w:tcW w:w="594" w:type="dxa"/>
            <w:tcBorders/>
            <w:vAlign w:val="center"/>
          </w:tcPr>
          <w:p>
            <w:pPr>
              <w:pStyle w:val="TableContents"/>
              <w:bidi w:val="0"/>
              <w:spacing w:before="0" w:after="0"/>
              <w:ind w:left="0" w:right="0" w:hanging="0"/>
              <w:jc w:val="center"/>
              <w:rPr/>
            </w:pPr>
            <w:r>
              <w:rPr/>
              <w:t> </w:t>
            </w:r>
          </w:p>
        </w:tc>
      </w:tr>
      <w:tr>
        <w:trPr/>
        <w:tc>
          <w:tcPr>
            <w:tcW w:w="43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Grant Date</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38"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Contractual</w:t>
            </w:r>
          </w:p>
        </w:tc>
        <w:tc>
          <w:tcPr>
            <w:tcW w:w="14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Value (a)</w:t>
            </w:r>
          </w:p>
        </w:tc>
        <w:tc>
          <w:tcPr>
            <w:tcW w:w="594" w:type="dxa"/>
            <w:tcBorders/>
            <w:vAlign w:val="center"/>
          </w:tcPr>
          <w:p>
            <w:pPr>
              <w:pStyle w:val="TableContents"/>
              <w:bidi w:val="0"/>
              <w:spacing w:before="0" w:after="0"/>
              <w:ind w:left="0" w:right="0" w:hanging="0"/>
              <w:jc w:val="center"/>
              <w:rPr/>
            </w:pPr>
            <w:r>
              <w:rPr/>
              <w:t> </w:t>
            </w:r>
          </w:p>
        </w:tc>
      </w:tr>
      <w:tr>
        <w:trPr/>
        <w:tc>
          <w:tcPr>
            <w:tcW w:w="4309"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27"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39"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1438"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Term (in years)</w:t>
            </w:r>
          </w:p>
        </w:tc>
        <w:tc>
          <w:tcPr>
            <w:tcW w:w="14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millions)</w:t>
            </w:r>
          </w:p>
        </w:tc>
        <w:tc>
          <w:tcPr>
            <w:tcW w:w="59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30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December 31, 2022</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400"/>
              <w:jc w:val="right"/>
              <w:rPr/>
            </w:pPr>
            <w:r>
              <w:rPr/>
              <w:t> </w:t>
            </w:r>
          </w:p>
        </w:tc>
      </w:tr>
      <w:tr>
        <w:trPr/>
        <w:tc>
          <w:tcPr>
            <w:tcW w:w="430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Restricted stock units granted</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650,000</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3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firstLine="400"/>
              <w:jc w:val="right"/>
              <w:rPr/>
            </w:pPr>
            <w:r>
              <w:rPr/>
              <w:t> </w:t>
            </w:r>
          </w:p>
        </w:tc>
      </w:tr>
      <w:tr>
        <w:trPr/>
        <w:tc>
          <w:tcPr>
            <w:tcW w:w="4309" w:type="dxa"/>
            <w:tcBorders/>
            <w:vAlign w:val="center"/>
          </w:tcPr>
          <w:p>
            <w:pPr>
              <w:pStyle w:val="TableContents"/>
              <w:bidi w:val="0"/>
              <w:spacing w:before="0" w:after="0"/>
              <w:ind w:left="400" w:right="0" w:hanging="0"/>
              <w:jc w:val="left"/>
              <w:rPr>
                <w:rFonts w:ascii="Times New Roman;serif" w:hAnsi="Times New Roman;serif"/>
                <w:b w:val="false"/>
                <w:sz w:val="20"/>
              </w:rPr>
            </w:pPr>
            <w:r>
              <w:rPr>
                <w:rFonts w:ascii="Times New Roman;serif" w:hAnsi="Times New Roman;serif"/>
                <w:b w:val="false"/>
                <w:sz w:val="20"/>
              </w:rPr>
              <w:t>Restricted stock units forfeited</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pPr>
            <w:r>
              <w:rPr/>
              <w:t> </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38" w:type="dxa"/>
            <w:gridSpan w:val="2"/>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956" w:type="dxa"/>
            <w:gridSpan w:val="2"/>
            <w:tcBorders/>
            <w:vAlign w:val="center"/>
          </w:tcPr>
          <w:p>
            <w:pPr>
              <w:pStyle w:val="TableContents"/>
              <w:bidi w:val="0"/>
              <w:spacing w:before="0" w:after="0"/>
              <w:ind w:left="0" w:right="0" w:hanging="0"/>
              <w:jc w:val="right"/>
              <w:rPr/>
            </w:pPr>
            <w:r>
              <w:rPr/>
              <w:t> </w:t>
            </w:r>
          </w:p>
        </w:tc>
        <w:tc>
          <w:tcPr>
            <w:tcW w:w="594" w:type="dxa"/>
            <w:tcBorders/>
            <w:vAlign w:val="center"/>
          </w:tcPr>
          <w:p>
            <w:pPr>
              <w:pStyle w:val="TableContents"/>
              <w:bidi w:val="0"/>
              <w:spacing w:before="0" w:after="0"/>
              <w:ind w:left="0" w:right="0" w:hanging="0"/>
              <w:jc w:val="right"/>
              <w:rPr/>
            </w:pPr>
            <w:r>
              <w:rPr/>
              <w:t> </w:t>
            </w:r>
          </w:p>
        </w:tc>
      </w:tr>
      <w:tr>
        <w:trPr/>
        <w:tc>
          <w:tcPr>
            <w:tcW w:w="430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Outstanding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594" w:type="dxa"/>
            <w:tcBorders/>
            <w:vAlign w:val="center"/>
          </w:tcPr>
          <w:p>
            <w:pPr>
              <w:pStyle w:val="TableContents"/>
              <w:bidi w:val="0"/>
              <w:spacing w:before="0" w:after="0"/>
              <w:ind w:left="0" w:right="0" w:hanging="0"/>
              <w:jc w:val="left"/>
              <w:rPr/>
            </w:pPr>
            <w:r>
              <w:rPr/>
              <w:t> </w:t>
            </w:r>
          </w:p>
        </w:tc>
      </w:tr>
      <w:tr>
        <w:trPr/>
        <w:tc>
          <w:tcPr>
            <w:tcW w:w="4309"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Unvested and expected to vest as of March 31, 2023</w:t>
            </w:r>
          </w:p>
        </w:tc>
        <w:tc>
          <w:tcPr>
            <w:tcW w:w="146" w:type="dxa"/>
            <w:tcBorders/>
            <w:vAlign w:val="center"/>
          </w:tcPr>
          <w:p>
            <w:pPr>
              <w:pStyle w:val="TableContents"/>
              <w:bidi w:val="0"/>
              <w:spacing w:before="0" w:after="0"/>
              <w:ind w:left="0" w:right="0" w:hanging="0"/>
              <w:jc w:val="left"/>
              <w:rPr/>
            </w:pPr>
            <w:r>
              <w:rPr/>
              <w:t> </w:t>
            </w:r>
          </w:p>
        </w:tc>
        <w:tc>
          <w:tcPr>
            <w:tcW w:w="14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8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646,000</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7"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4.94</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18" w:type="dxa"/>
            <w:tcBorders/>
            <w:vAlign w:val="center"/>
          </w:tcPr>
          <w:p>
            <w:pPr>
              <w:pStyle w:val="TableContents"/>
              <w:bidi w:val="0"/>
              <w:spacing w:before="0" w:after="0"/>
              <w:ind w:left="0" w:right="0" w:hanging="0"/>
              <w:jc w:val="left"/>
              <w:rPr/>
            </w:pPr>
            <w:r>
              <w:rPr/>
              <w:t> </w:t>
            </w:r>
          </w:p>
        </w:tc>
        <w:tc>
          <w:tcPr>
            <w:tcW w:w="1020"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04"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w:t>
            </w:r>
          </w:p>
        </w:tc>
        <w:tc>
          <w:tcPr>
            <w:tcW w:w="594" w:type="dxa"/>
            <w:tcBorders/>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serif" w:hAnsi="Times New Roman;serif"/>
          <w:b/>
          <w:i/>
          <w:sz w:val="20"/>
        </w:rPr>
      </w:pPr>
      <w:r>
        <w:rPr>
          <w:rFonts w:ascii="Times New Roman;serif" w:hAnsi="Times New Roman;serif"/>
          <w:b/>
          <w:i/>
          <w:sz w:val="20"/>
        </w:rPr>
        <w:t>Restricted Stock Unit Grants</w:t>
      </w:r>
    </w:p>
    <w:p>
      <w:pPr>
        <w:pStyle w:val="TextBody"/>
        <w:bidi w:val="0"/>
        <w:spacing w:before="120" w:after="0"/>
        <w:jc w:val="left"/>
        <w:rPr>
          <w:rFonts w:ascii="Times New Roman" w:hAnsi="Times New Roman"/>
          <w:sz w:val="20"/>
        </w:rPr>
      </w:pPr>
      <w:r>
        <w:rPr>
          <w:rFonts w:ascii="Times New Roman;serif" w:hAnsi="Times New Roman;serif"/>
          <w:b w:val="false"/>
          <w:sz w:val="20"/>
        </w:rPr>
        <w:t>The RSUs vest annually over four years</w:t>
      </w:r>
      <w:r>
        <w:rPr>
          <w:rFonts w:ascii="Times New Roman" w:hAnsi="Times New Roman"/>
          <w:sz w:val="20"/>
        </w:rPr>
        <w:t xml:space="preserve"> </w:t>
      </w:r>
      <w:r>
        <w:rPr>
          <w:rFonts w:ascii="Times New Roman;serif" w:hAnsi="Times New Roman;serif"/>
          <w:b w:val="false"/>
          <w:sz w:val="20"/>
        </w:rPr>
        <w:t>and have a weighted-average grant date fair value of $4.94</w:t>
      </w:r>
      <w:r>
        <w:rPr>
          <w:rFonts w:ascii="Times New Roman" w:hAnsi="Times New Roman"/>
          <w:sz w:val="20"/>
        </w:rPr>
        <w:t xml:space="preserve"> </w:t>
      </w:r>
      <w:r>
        <w:rPr>
          <w:rFonts w:ascii="Times New Roman;serif" w:hAnsi="Times New Roman;serif"/>
          <w:b w:val="false"/>
          <w:sz w:val="20"/>
        </w:rPr>
        <w:t>per unit.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As of March 31, 2023, total unrecognized compensation expense for RSUs was $3.1</w:t>
      </w:r>
      <w:r>
        <w:rPr>
          <w:rFonts w:ascii="Times New Roman" w:hAnsi="Times New Roman"/>
          <w:sz w:val="20"/>
        </w:rPr>
        <w:t xml:space="preserve"> </w:t>
      </w:r>
      <w:r>
        <w:rPr>
          <w:rFonts w:ascii="Times New Roman;serif" w:hAnsi="Times New Roman;serif"/>
          <w:b w:val="false"/>
          <w:sz w:val="20"/>
        </w:rPr>
        <w:t>million, which is expected to be recognized over a weighted-average period of 3.84</w:t>
      </w:r>
      <w:r>
        <w:rPr>
          <w:rFonts w:ascii="Times New Roman" w:hAnsi="Times New Roman"/>
          <w:sz w:val="20"/>
        </w:rPr>
        <w:t xml:space="preserve"> </w:t>
      </w:r>
      <w:r>
        <w:rPr>
          <w:rFonts w:ascii="Times New Roman;serif" w:hAnsi="Times New Roman;serif"/>
          <w:b w:val="false"/>
          <w:sz w:val="20"/>
        </w:rPr>
        <w:t>years.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Stock-Based Compensation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Stock-based compensation expense was classified in the condensed consolidated statements of operations as follows:</w:t>
      </w:r>
    </w:p>
    <w:p>
      <w:pPr>
        <w:pStyle w:val="TextBody"/>
        <w:bidi w:val="0"/>
        <w:spacing w:before="0" w:after="0"/>
        <w:jc w:val="left"/>
        <w:rPr/>
      </w:pPr>
      <w:r>
        <w:rPr/>
        <w:t> </w:t>
      </w:r>
    </w:p>
    <w:tbl>
      <w:tblPr>
        <w:tblW w:w="5044" w:type="dxa"/>
        <w:jc w:val="left"/>
        <w:tblInd w:w="0" w:type="dxa"/>
        <w:tblLayout w:type="fixed"/>
        <w:tblCellMar>
          <w:top w:w="28" w:type="dxa"/>
          <w:left w:w="28" w:type="dxa"/>
          <w:bottom w:w="28" w:type="dxa"/>
          <w:right w:w="28" w:type="dxa"/>
        </w:tblCellMar>
      </w:tblPr>
      <w:tblGrid>
        <w:gridCol w:w="2311"/>
        <w:gridCol w:w="146"/>
        <w:gridCol w:w="272"/>
        <w:gridCol w:w="738"/>
        <w:gridCol w:w="188"/>
        <w:gridCol w:w="188"/>
        <w:gridCol w:w="272"/>
        <w:gridCol w:w="738"/>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6"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88" w:type="dxa"/>
            <w:tcBorders/>
            <w:vAlign w:val="center"/>
          </w:tcPr>
          <w:p>
            <w:pPr>
              <w:pStyle w:val="TableContents"/>
              <w:bidi w:val="0"/>
              <w:spacing w:before="0" w:after="0"/>
              <w:ind w:left="0" w:right="0" w:hanging="0"/>
              <w:jc w:val="left"/>
              <w:rPr/>
            </w:pPr>
            <w:r>
              <w:rPr/>
              <w:t> </w:t>
            </w:r>
          </w:p>
        </w:tc>
        <w:tc>
          <w:tcPr>
            <w:tcW w:w="101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1010"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743</w:t>
            </w:r>
          </w:p>
        </w:tc>
        <w:tc>
          <w:tcPr>
            <w:tcW w:w="188"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w:t>
            </w:r>
          </w:p>
        </w:tc>
        <w:tc>
          <w:tcPr>
            <w:tcW w:w="191" w:type="dxa"/>
            <w:tcBorders/>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righ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1,090</w:t>
            </w:r>
          </w:p>
        </w:tc>
        <w:tc>
          <w:tcPr>
            <w:tcW w:w="18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right"/>
              <w:rPr/>
            </w:pPr>
            <w:r>
              <w:rPr/>
              <w:t> </w:t>
            </w:r>
          </w:p>
        </w:tc>
        <w:tc>
          <w:tcPr>
            <w:tcW w:w="27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3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980</w:t>
            </w:r>
          </w:p>
        </w:tc>
        <w:tc>
          <w:tcPr>
            <w:tcW w:w="19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1,833</w:t>
            </w:r>
          </w:p>
        </w:tc>
        <w:tc>
          <w:tcPr>
            <w:tcW w:w="18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left"/>
              <w:rPr/>
            </w:pPr>
            <w:r>
              <w:rPr/>
              <w:t> </w:t>
            </w:r>
          </w:p>
        </w:tc>
        <w:tc>
          <w:tcPr>
            <w:tcW w:w="27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1,635</w:t>
            </w:r>
          </w:p>
        </w:tc>
        <w:tc>
          <w:tcPr>
            <w:tcW w:w="19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8.</w:t>
      </w:r>
    </w:p>
    <w:p>
      <w:pPr>
        <w:pStyle w:val="TextBody"/>
        <w:bidi w:val="0"/>
        <w:jc w:val="left"/>
        <w:rPr>
          <w:rFonts w:ascii="Times New Roman;serif" w:hAnsi="Times New Roman;serif"/>
          <w:b/>
          <w:sz w:val="20"/>
        </w:rPr>
      </w:pPr>
      <w:r>
        <w:rPr>
          <w:rFonts w:ascii="Times New Roman;serif" w:hAnsi="Times New Roman;serif"/>
          <w:b/>
          <w:sz w:val="20"/>
        </w:rPr>
        <w:t>Commitments and Contingencies</w:t>
      </w:r>
    </w:p>
    <w:p>
      <w:pPr>
        <w:pStyle w:val="TextBody"/>
        <w:bidi w:val="0"/>
        <w:spacing w:before="120" w:after="0"/>
        <w:jc w:val="left"/>
        <w:rPr>
          <w:rFonts w:ascii="Times New Roman" w:hAnsi="Times New Roman"/>
          <w:sz w:val="20"/>
        </w:rPr>
      </w:pPr>
      <w:r>
        <w:rPr>
          <w:rFonts w:ascii="Times New Roman;serif" w:hAnsi="Times New Roman;serif"/>
          <w:b/>
          <w:i/>
          <w:sz w:val="20"/>
        </w:rPr>
        <w:t>Intellectual Property Licenses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w:t>
      </w:r>
      <w:r>
        <w:rPr>
          <w:rFonts w:ascii="Times New Roman" w:hAnsi="Times New Roman"/>
          <w:sz w:val="20"/>
        </w:rPr>
        <w:t xml:space="preserve"> </w:t>
      </w:r>
      <w:r>
        <w:rPr>
          <w:rFonts w:ascii="Times New Roman;serif" w:hAnsi="Times New Roman;serif"/>
          <w:b w:val="false"/>
          <w:sz w:val="20"/>
        </w:rPr>
        <w:t>million in the aggregate upon the achievement of certain developmental milestones, commencing on the enrollment of the first patient in a Phase 1 clinical trial. The Company enrolled the first patient in its SAD trial on December 11, 2019 and paid WFUHS and IU less than $0.1</w:t>
      </w:r>
      <w:r>
        <w:rPr>
          <w:rFonts w:ascii="Times New Roman" w:hAnsi="Times New Roman"/>
          <w:sz w:val="20"/>
        </w:rPr>
        <w:t xml:space="preserve"> </w:t>
      </w:r>
      <w:r>
        <w:rPr>
          <w:rFonts w:ascii="Times New Roman;serif" w:hAnsi="Times New Roman;serif"/>
          <w:b w:val="false"/>
          <w:sz w:val="20"/>
        </w:rPr>
        <w:t>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w:t>
      </w:r>
      <w:r>
        <w:rPr>
          <w:rFonts w:ascii="Times New Roman" w:hAnsi="Times New Roman"/>
          <w:sz w:val="20"/>
        </w:rPr>
        <w:t xml:space="preserve"> </w:t>
      </w:r>
      <w:r>
        <w:rPr>
          <w:rFonts w:ascii="Times New Roman;serif" w:hAnsi="Times New Roman;serif"/>
          <w:b w:val="false"/>
          <w:sz w:val="20"/>
        </w:rPr>
        <w:t>million per annum.</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pStyle w:val="TextBody"/>
        <w:bidi w:val="0"/>
        <w:spacing w:before="120" w:after="0"/>
        <w:jc w:val="left"/>
        <w:rPr>
          <w:rFonts w:ascii="Times New Roman" w:hAnsi="Times New Roman"/>
          <w:sz w:val="20"/>
        </w:rPr>
      </w:pPr>
      <w:r>
        <w:rPr>
          <w:rFonts w:ascii="Times New Roman;serif" w:hAnsi="Times New Roman;serif"/>
          <w:b w:val="false"/>
          <w:sz w:val="20"/>
        </w:rPr>
        <w:t>In October 2022, the Company initiated dosing of a phase 2 study. Pursuant to the terms of both the WFUHS License and the IU License, the company recognized milestone expense of $0.3</w:t>
      </w:r>
      <w:r>
        <w:rPr>
          <w:rFonts w:ascii="Times New Roman" w:hAnsi="Times New Roman"/>
          <w:sz w:val="20"/>
        </w:rPr>
        <w:t xml:space="preserve"> </w:t>
      </w:r>
      <w:r>
        <w:rPr>
          <w:rFonts w:ascii="Times New Roman;serif" w:hAnsi="Times New Roman;serif"/>
          <w:b w:val="false"/>
          <w:sz w:val="20"/>
        </w:rPr>
        <w:t>million within research and development expenses.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Both agreements continue from their effective date through the last to expire of the licensed patents unless earlier terminated by either party in accordance with their terms.</w:t>
      </w:r>
    </w:p>
    <w:p>
      <w:pPr>
        <w:pStyle w:val="TextBody"/>
        <w:bidi w:val="0"/>
        <w:spacing w:before="120" w:after="0"/>
        <w:jc w:val="left"/>
        <w:rPr>
          <w:rFonts w:ascii="Times New Roman" w:hAnsi="Times New Roman"/>
          <w:sz w:val="20"/>
        </w:rPr>
      </w:pPr>
      <w:r>
        <w:rPr>
          <w:rFonts w:ascii="Times New Roman;serif" w:hAnsi="Times New Roman;serif"/>
          <w:b/>
          <w:i/>
          <w:sz w:val="20"/>
        </w:rPr>
        <w:t>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November 5, 2018, the Company entered into an operating lease for office and lab space in Philadelphia, Pennsylvania, effective as of January 1, 2019, and expiring on December 31, 2020</w:t>
      </w:r>
      <w:r>
        <w:rPr>
          <w:rFonts w:ascii="Times New Roman" w:hAnsi="Times New Roman"/>
          <w:sz w:val="20"/>
        </w:rPr>
        <w:t xml:space="preserve"> </w:t>
      </w:r>
      <w:r>
        <w:rPr>
          <w:rFonts w:ascii="Times New Roman;serif" w:hAnsi="Times New Roman;serif"/>
          <w:b w:val="false"/>
          <w:sz w:val="20"/>
        </w:rPr>
        <w:t>with an option to extend the lease for two</w:t>
      </w:r>
      <w:r>
        <w:rPr>
          <w:rFonts w:ascii="Times New Roman" w:hAnsi="Times New Roman"/>
          <w:sz w:val="20"/>
        </w:rPr>
        <w:t xml:space="preserve"> </w:t>
      </w:r>
      <w:r>
        <w:rPr>
          <w:rFonts w:ascii="Times New Roman;serif" w:hAnsi="Times New Roman;serif"/>
          <w:b w:val="false"/>
          <w:sz w:val="20"/>
        </w:rPr>
        <w:t>additional years. On August 4, 2020, the Company executed the first option to extend the lease for an additional year, expiring on December 31, 2021. On August 9, 2021, the Company executed the remaining option to extend the lease for an additional year, expiring on December 31, 2022. In January 2023, the Company executed an extension of this lease for an additional year, expiring on December 31, 2023. The Company has determined this lease extension qualifies as a short-term lease and have applied the accounting policy election to not record the related right-of-use asset and lease liabilities.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August 8, 2019, the Company entered into an operating lease for office space in Bala Cynwyd, Pennsylvania, effective as of December 15, 2019, for a period of three years and six months</w:t>
      </w:r>
      <w:r>
        <w:rPr>
          <w:rFonts w:ascii="Times New Roman" w:hAnsi="Times New Roman"/>
          <w:sz w:val="20"/>
        </w:rPr>
        <w:t xml:space="preserve"> </w:t>
      </w:r>
      <w:r>
        <w:rPr>
          <w:rFonts w:ascii="Times New Roman;serif" w:hAnsi="Times New Roman;serif"/>
          <w:b w:val="false"/>
          <w:sz w:val="20"/>
        </w:rPr>
        <w:t>with an option to extend the lease for three</w:t>
      </w:r>
      <w:r>
        <w:rPr>
          <w:rFonts w:ascii="Times New Roman" w:hAnsi="Times New Roman"/>
          <w:sz w:val="20"/>
        </w:rPr>
        <w:t xml:space="preserve"> </w:t>
      </w:r>
      <w:r>
        <w:rPr>
          <w:rFonts w:ascii="Times New Roman;serif" w:hAnsi="Times New Roman;serif"/>
          <w:b w:val="false"/>
          <w:sz w:val="20"/>
        </w:rPr>
        <w:t>additional years. Due to required tenant improvements to be completed by the landlord, the Company did not take immediate possession of the leased property and the lease term commenced on February 15, 2020. On March 9, 2023, the Company executed the option to extend the lease for an additional three year</w:t>
      </w:r>
      <w:r>
        <w:rPr>
          <w:rFonts w:ascii="Times New Roman" w:hAnsi="Times New Roman"/>
          <w:sz w:val="20"/>
        </w:rPr>
        <w:t xml:space="preserve"> </w:t>
      </w:r>
      <w:r>
        <w:rPr>
          <w:rFonts w:ascii="Times New Roman;serif" w:hAnsi="Times New Roman;serif"/>
          <w:b w:val="false"/>
          <w:sz w:val="20"/>
        </w:rPr>
        <w:t>term and to lease additional space. The lease term will commence on September 1, 2023</w:t>
      </w:r>
      <w:r>
        <w:rPr>
          <w:rFonts w:ascii="Times New Roman" w:hAnsi="Times New Roman"/>
          <w:sz w:val="20"/>
        </w:rPr>
        <w:t xml:space="preserve"> </w:t>
      </w:r>
      <w:r>
        <w:rPr>
          <w:rFonts w:ascii="Times New Roman;serif" w:hAnsi="Times New Roman;serif"/>
          <w:b w:val="false"/>
          <w:sz w:val="20"/>
        </w:rPr>
        <w:t>for both the extension of the current lease and the lease of additional operating space, no right of use asset or lease liability will be recorded until the lease commencement date.</w:t>
      </w:r>
    </w:p>
    <w:p>
      <w:pPr>
        <w:pStyle w:val="TextBody"/>
        <w:bidi w:val="0"/>
        <w:spacing w:before="120" w:after="0"/>
        <w:jc w:val="left"/>
        <w:rPr>
          <w:rFonts w:ascii="Times New Roman" w:hAnsi="Times New Roman"/>
          <w:sz w:val="20"/>
        </w:rPr>
      </w:pPr>
      <w:r>
        <w:rPr>
          <w:rFonts w:ascii="Times New Roman;serif" w:hAnsi="Times New Roman;serif"/>
          <w:b w:val="false"/>
          <w:sz w:val="20"/>
        </w:rPr>
        <w:t>On May 28, 2020, the Company acquired a non-cancellable operating lease for approximately 17,705</w:t>
      </w:r>
      <w:r>
        <w:rPr>
          <w:rFonts w:ascii="Times New Roman" w:hAnsi="Times New Roman"/>
          <w:sz w:val="20"/>
        </w:rPr>
        <w:t xml:space="preserve"> </w:t>
      </w:r>
      <w:r>
        <w:rPr>
          <w:rFonts w:ascii="Times New Roman;serif" w:hAnsi="Times New Roman;serif"/>
          <w:b w:val="false"/>
          <w:sz w:val="20"/>
        </w:rPr>
        <w:t>square feet of office space (the “Premises”). The lease expires on October 30, 2029.</w:t>
      </w:r>
      <w:r>
        <w:rPr>
          <w:rFonts w:ascii="Times New Roman" w:hAnsi="Times New Roman"/>
          <w:sz w:val="20"/>
        </w:rPr>
        <w:t xml:space="preserve"> </w:t>
      </w:r>
      <w:r>
        <w:rPr>
          <w:rFonts w:ascii="Times New Roman;serif" w:hAnsi="Times New Roman;serif"/>
          <w:b w:val="false"/>
          <w:sz w:val="20"/>
        </w:rPr>
        <w:t>As part of the agreement, the Company is required to maintain a letter of credit, which upon signing was $1.3</w:t>
      </w:r>
      <w:r>
        <w:rPr>
          <w:rFonts w:ascii="Times New Roman" w:hAnsi="Times New Roman"/>
          <w:sz w:val="20"/>
        </w:rPr>
        <w:t xml:space="preserve"> </w:t>
      </w:r>
      <w:r>
        <w:rPr>
          <w:rFonts w:ascii="Times New Roman;serif" w:hAnsi="Times New Roman;serif"/>
          <w:b w:val="false"/>
          <w:sz w:val="20"/>
        </w:rPr>
        <w:t>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On October 27, 2020, the Company entered into a sublease agreement (the “Sublease”) with Massachusetts Municipal Association, Inc. (the “Subtenant”), whereby the Company sublet the entire Premises to the Subtenant. The initial term of the Sublease commenced on December 4, 2020</w:t>
      </w:r>
      <w:r>
        <w:rPr>
          <w:rFonts w:ascii="Times New Roman" w:hAnsi="Times New Roman"/>
          <w:sz w:val="20"/>
        </w:rPr>
        <w:t xml:space="preserve"> </w:t>
      </w:r>
      <w:r>
        <w:rPr>
          <w:rFonts w:ascii="Times New Roman;serif" w:hAnsi="Times New Roman;serif"/>
          <w:b w:val="false"/>
          <w:sz w:val="20"/>
        </w:rPr>
        <w:t>and continues until October 30, 2029. In connection with the Sublease, the Company evaluated the need for impairment under ASC 360 "</w:t>
      </w:r>
      <w:r>
        <w:rPr>
          <w:rFonts w:ascii="Times New Roman;serif" w:hAnsi="Times New Roman;serif"/>
          <w:b w:val="false"/>
          <w:i/>
          <w:sz w:val="20"/>
        </w:rPr>
        <w:t>Impairment Testing: Long-Lived Assets Classified as Held and Used,"</w:t>
      </w:r>
      <w:r>
        <w:rPr>
          <w:rFonts w:ascii="Times New Roman" w:hAnsi="Times New Roman"/>
          <w:sz w:val="20"/>
        </w:rPr>
        <w:t xml:space="preserve"> </w:t>
      </w:r>
      <w:r>
        <w:rPr>
          <w:rFonts w:ascii="Times New Roman;serif" w:hAnsi="Times New Roman;serif"/>
          <w:b w:val="false"/>
          <w:sz w:val="20"/>
        </w:rPr>
        <w:t>and determined there was no impairment.</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The Sublease provided for an initial annual base rent of $0.8</w:t>
      </w:r>
      <w:r>
        <w:rPr>
          <w:rFonts w:ascii="Times New Roman" w:hAnsi="Times New Roman"/>
          <w:sz w:val="20"/>
        </w:rPr>
        <w:t xml:space="preserve"> </w:t>
      </w:r>
      <w:r>
        <w:rPr>
          <w:rFonts w:ascii="Times New Roman;serif" w:hAnsi="Times New Roman;serif"/>
          <w:b w:val="false"/>
          <w:sz w:val="20"/>
        </w:rPr>
        <w:t>million, which increases annually up to a maximum annual base rent of $1.0</w:t>
      </w:r>
      <w:r>
        <w:rPr>
          <w:rFonts w:ascii="Times New Roman" w:hAnsi="Times New Roman"/>
          <w:sz w:val="20"/>
        </w:rPr>
        <w:t xml:space="preserve"> </w:t>
      </w:r>
      <w:r>
        <w:rPr>
          <w:rFonts w:ascii="Times New Roman;serif" w:hAnsi="Times New Roman;serif"/>
          <w:b w:val="false"/>
          <w:sz w:val="20"/>
        </w:rPr>
        <w:t>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w:t>
      </w:r>
      <w:r>
        <w:rPr>
          <w:rFonts w:ascii="Times New Roman" w:hAnsi="Times New Roman"/>
          <w:sz w:val="20"/>
        </w:rPr>
        <w:t xml:space="preserve"> </w:t>
      </w:r>
      <w:r>
        <w:rPr>
          <w:rFonts w:ascii="Times New Roman;serif" w:hAnsi="Times New Roman;serif"/>
          <w:b w:val="false"/>
          <w:sz w:val="20"/>
        </w:rPr>
        <w:t>million to assure their performance under the sublease. If there are no uncured events of default under the sublease, the amount of this security deposit decreases over time to $0.4</w:t>
      </w:r>
      <w:r>
        <w:rPr>
          <w:rFonts w:ascii="Times New Roman" w:hAnsi="Times New Roman"/>
          <w:sz w:val="20"/>
        </w:rPr>
        <w:t xml:space="preserve"> </w:t>
      </w:r>
      <w:r>
        <w:rPr>
          <w:rFonts w:ascii="Times New Roman;serif" w:hAnsi="Times New Roman;serif"/>
          <w:b w:val="false"/>
          <w:sz w:val="20"/>
        </w:rPr>
        <w:t>million on the sixth anniversary of the Sublease. The Company records sublease income on this sublease on a straight-line basis as a component of other income/(expense).</w:t>
      </w:r>
    </w:p>
    <w:p>
      <w:pPr>
        <w:pStyle w:val="TextBody"/>
        <w:bidi w:val="0"/>
        <w:spacing w:before="120" w:after="0"/>
        <w:jc w:val="left"/>
        <w:rPr>
          <w:rFonts w:ascii="Times New Roman" w:hAnsi="Times New Roman"/>
          <w:sz w:val="20"/>
        </w:rPr>
      </w:pPr>
      <w:r>
        <w:rPr>
          <w:rFonts w:ascii="Times New Roman;serif" w:hAnsi="Times New Roman;serif"/>
          <w:b w:val="false"/>
          <w:sz w:val="20"/>
        </w:rPr>
        <w:t>Expense arising from operating leases was $0.1</w:t>
      </w:r>
      <w:r>
        <w:rPr>
          <w:rFonts w:ascii="Times New Roman" w:hAnsi="Times New Roman"/>
          <w:sz w:val="20"/>
        </w:rPr>
        <w:t xml:space="preserve"> </w:t>
      </w:r>
      <w:r>
        <w:rPr>
          <w:rFonts w:ascii="Times New Roman;serif" w:hAnsi="Times New Roman;serif"/>
          <w:b w:val="false"/>
          <w:sz w:val="20"/>
        </w:rPr>
        <w:t>million during the three months ended March 31, 2023 and 2022, respectively. For operating leases, the weighted-average remaining lease term for leases at March 31, 2023 and December 31, 2022</w:t>
      </w:r>
      <w:r>
        <w:rPr>
          <w:rFonts w:ascii="Times New Roman" w:hAnsi="Times New Roman"/>
          <w:sz w:val="20"/>
        </w:rPr>
        <w:t xml:space="preserve"> </w:t>
      </w:r>
      <w:r>
        <w:rPr>
          <w:rFonts w:ascii="Times New Roman;serif" w:hAnsi="Times New Roman;serif"/>
          <w:b w:val="false"/>
          <w:sz w:val="20"/>
        </w:rPr>
        <w:t>was 6.5</w:t>
      </w:r>
      <w:r>
        <w:rPr>
          <w:rFonts w:ascii="Times New Roman" w:hAnsi="Times New Roman"/>
          <w:sz w:val="20"/>
        </w:rPr>
        <w:t xml:space="preserve"> </w:t>
      </w:r>
      <w:r>
        <w:rPr>
          <w:rFonts w:ascii="Times New Roman;serif" w:hAnsi="Times New Roman;serif"/>
          <w:b w:val="false"/>
          <w:sz w:val="20"/>
        </w:rPr>
        <w:t>and 6.8</w:t>
      </w:r>
      <w:r>
        <w:rPr>
          <w:rFonts w:ascii="Times New Roman" w:hAnsi="Times New Roman"/>
          <w:sz w:val="20"/>
        </w:rPr>
        <w:t xml:space="preserve"> </w:t>
      </w:r>
      <w:r>
        <w:rPr>
          <w:rFonts w:ascii="Times New Roman;serif" w:hAnsi="Times New Roman;serif"/>
          <w:b w:val="false"/>
          <w:sz w:val="20"/>
        </w:rPr>
        <w:t>years, respectively. For operating leases, the weighted average discount rate for leases at March 31, 2023 and December 31, 2022</w:t>
      </w:r>
      <w:r>
        <w:rPr>
          <w:rFonts w:ascii="Times New Roman" w:hAnsi="Times New Roman"/>
          <w:sz w:val="20"/>
        </w:rPr>
        <w:t xml:space="preserve"> </w:t>
      </w:r>
      <w:r>
        <w:rPr>
          <w:rFonts w:ascii="Times New Roman;serif" w:hAnsi="Times New Roman;serif"/>
          <w:b w:val="false"/>
          <w:sz w:val="20"/>
        </w:rPr>
        <w:t>was 11.0%. The Company has not entered into any financing 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Maturities of lease liabilities due under these lease agreements as of March 31, 2023 are as follows:</w:t>
      </w:r>
      <w:r>
        <w:rPr>
          <w:rFonts w:ascii="Times New Roman" w:hAnsi="Times New Roman"/>
          <w:sz w:val="20"/>
        </w:rPr>
        <w:t xml:space="preserve"> </w:t>
      </w:r>
    </w:p>
    <w:p>
      <w:pPr>
        <w:pStyle w:val="TextBody"/>
        <w:bidi w:val="0"/>
        <w:spacing w:before="0" w:after="0"/>
        <w:jc w:val="left"/>
        <w:rPr/>
      </w:pPr>
      <w:r>
        <w:rPr/>
        <w:t> </w:t>
      </w:r>
    </w:p>
    <w:tbl>
      <w:tblPr>
        <w:tblW w:w="4804" w:type="dxa"/>
        <w:jc w:val="left"/>
        <w:tblInd w:w="0" w:type="dxa"/>
        <w:tblLayout w:type="fixed"/>
        <w:tblCellMar>
          <w:top w:w="28" w:type="dxa"/>
          <w:left w:w="28" w:type="dxa"/>
          <w:bottom w:w="28" w:type="dxa"/>
          <w:right w:w="28" w:type="dxa"/>
        </w:tblCellMar>
      </w:tblPr>
      <w:tblGrid>
        <w:gridCol w:w="3391"/>
        <w:gridCol w:w="146"/>
        <w:gridCol w:w="214"/>
        <w:gridCol w:w="642"/>
        <w:gridCol w:w="41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39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Operating</w:t>
            </w:r>
          </w:p>
        </w:tc>
        <w:tc>
          <w:tcPr>
            <w:tcW w:w="411" w:type="dxa"/>
            <w:tcBorders/>
            <w:vAlign w:val="center"/>
          </w:tcPr>
          <w:p>
            <w:pPr>
              <w:pStyle w:val="TableContents"/>
              <w:bidi w:val="0"/>
              <w:spacing w:before="0" w:after="0"/>
              <w:ind w:left="0" w:right="0" w:hanging="0"/>
              <w:jc w:val="center"/>
              <w:rPr/>
            </w:pPr>
            <w:r>
              <w:rPr/>
              <w:t> </w:t>
            </w:r>
          </w:p>
        </w:tc>
      </w:tr>
      <w:tr>
        <w:trPr/>
        <w:tc>
          <w:tcPr>
            <w:tcW w:w="3537" w:type="dxa"/>
            <w:gridSpan w:val="2"/>
            <w:tcBorders/>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856"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Leases</w:t>
            </w:r>
          </w:p>
        </w:tc>
        <w:tc>
          <w:tcPr>
            <w:tcW w:w="411" w:type="dxa"/>
            <w:tcBorders/>
            <w:vAlign w:val="center"/>
          </w:tcPr>
          <w:p>
            <w:pPr>
              <w:pStyle w:val="TableContents"/>
              <w:bidi w:val="0"/>
              <w:spacing w:before="0" w:after="0"/>
              <w:ind w:left="0" w:right="0" w:hanging="0"/>
              <w:jc w:val="center"/>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Nine months ending December 31, 2023</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2024</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2025</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1,083</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2026</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1,101</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Year ended December 31, 2027</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1,118</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Thereafter</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2,095</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pPr>
            <w:r>
              <w:rPr/>
              <w:t> </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lease payments</w:t>
            </w:r>
          </w:p>
        </w:tc>
        <w:tc>
          <w:tcPr>
            <w:tcW w:w="146" w:type="dxa"/>
            <w:tcBorders/>
            <w:vAlign w:val="center"/>
          </w:tcPr>
          <w:p>
            <w:pPr>
              <w:pStyle w:val="TableContents"/>
              <w:bidi w:val="0"/>
              <w:spacing w:before="0" w:after="0"/>
              <w:ind w:left="0" w:right="0" w:hanging="0"/>
              <w:jc w:val="center"/>
              <w:rPr/>
            </w:pPr>
            <w:r>
              <w:rPr/>
              <w:t> </w:t>
            </w:r>
          </w:p>
        </w:tc>
        <w:tc>
          <w:tcPr>
            <w:tcW w:w="214" w:type="dxa"/>
            <w:tcBorders/>
            <w:vAlign w:val="center"/>
          </w:tcPr>
          <w:p>
            <w:pPr>
              <w:pStyle w:val="TableContents"/>
              <w:bidi w:val="0"/>
              <w:spacing w:before="0" w:after="0"/>
              <w:ind w:left="0" w:right="0" w:hanging="0"/>
              <w:jc w:val="left"/>
              <w:rPr/>
            </w:pPr>
            <w:r>
              <w:rPr/>
              <w:t> </w:t>
            </w:r>
          </w:p>
        </w:tc>
        <w:tc>
          <w:tcPr>
            <w:tcW w:w="6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7,305</w:t>
            </w:r>
          </w:p>
        </w:tc>
        <w:tc>
          <w:tcPr>
            <w:tcW w:w="411" w:type="dxa"/>
            <w:tcBorders/>
            <w:vAlign w:val="center"/>
          </w:tcPr>
          <w:p>
            <w:pPr>
              <w:pStyle w:val="TableContents"/>
              <w:bidi w:val="0"/>
              <w:spacing w:before="0" w:after="0"/>
              <w:ind w:left="0" w:right="0" w:hanging="0"/>
              <w:jc w:val="left"/>
              <w:rPr/>
            </w:pPr>
            <w:r>
              <w:rPr/>
              <w:t> </w:t>
            </w:r>
          </w:p>
        </w:tc>
      </w:tr>
      <w:tr>
        <w:trPr/>
        <w:tc>
          <w:tcPr>
            <w:tcW w:w="339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 imputed interest</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(2,060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339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Present value of lease liabilities</w:t>
            </w:r>
          </w:p>
        </w:tc>
        <w:tc>
          <w:tcPr>
            <w:tcW w:w="146" w:type="dxa"/>
            <w:tcBorders/>
            <w:vAlign w:val="center"/>
          </w:tcPr>
          <w:p>
            <w:pPr>
              <w:pStyle w:val="TableContents"/>
              <w:bidi w:val="0"/>
              <w:spacing w:before="0" w:after="0"/>
              <w:ind w:left="0" w:right="0" w:hanging="0"/>
              <w:jc w:val="center"/>
              <w:rPr/>
            </w:pPr>
            <w:r>
              <w:rPr/>
              <w:t> </w:t>
            </w:r>
          </w:p>
        </w:tc>
        <w:tc>
          <w:tcPr>
            <w:tcW w:w="21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5,245</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Legal Proceedings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Company is not currently a party to any litigation, nor is management aware of any pending or threatened litigation against the Company, that it believes would materially affect the Company's business, operating results, financial condition or cash flows.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bookmarkStart w:id="9" w:name="item_2_managements_discussion_analysis_f"/>
      <w:bookmarkEnd w:id="9"/>
      <w:r>
        <w:rPr>
          <w:rFonts w:ascii="Times New Roman;serif" w:hAnsi="Times New Roman;serif"/>
          <w:b/>
          <w:sz w:val="20"/>
        </w:rPr>
        <w:t>Item 2. Management’s Discussion and Analysis of Financial Condition and 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2022 included in our Annual Report on Form 10-K filed with the Securities and Exchange Commission (“SEC”) on March 14, 2023 ("the 2022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2022 Annual Report,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12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clinical-stage biotechnology company focused on developing treatments for patients suffering from complex rare diseases using our novel cell penetrating peptide ("CPP") technology platform. Our lead product candidate, CTI-1601, is a subcutaneously administered, recombinant fusion protein intended to deliver frataxin ("FXN"), an essential protein, to the mitochondria of patients with FA. FA is a rare, progressive, and fatal disease in which patients are unable to produce sufficient FXN due to a genetic abnormality. Currently, there are no treatment options that address the core deficit of FA, low levels of FXN. CTI-1601 represents the first potential therapy designed to increase FXN levels in patients with FA.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completed two Phase 1 clinical trials in patients with FA. We have also received an orphan drug designation, fast track designation and rare pediatric disease designation, from the FDA for CTI</w:t>
        <w:noBreakHyphen/>
        <w:t>1601. In addition, we received orphan designation for CTI-1601 from the European Commission and a Priority Medicines ("PRIME") designation from the EMA. The receipt of such designations or positive opinions may not result in a faster development process, review or approval compared to products considered for approval under conventional FDA or EMA procedures and does not assure ultimate approval by the U.S. Food and Drug Administration, ("FDA") or the European Medicines Agency, ("EMA").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pStyle w:val="TextBody"/>
        <w:bidi w:val="0"/>
        <w:spacing w:before="120" w:after="0"/>
        <w:jc w:val="left"/>
        <w:rPr>
          <w:rFonts w:ascii="Times New Roman;serif" w:hAnsi="Times New Roman;serif"/>
          <w:b/>
          <w:sz w:val="20"/>
        </w:rPr>
      </w:pPr>
      <w:r>
        <w:rPr>
          <w:rFonts w:ascii="Times New Roman;serif" w:hAnsi="Times New Roman;serif"/>
          <w:b/>
          <w:sz w:val="20"/>
        </w:rPr>
        <w:t>CTI-1601 Program Update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On May 20, 2021 we announced that we had received 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associated with either the MAD or SAD trials.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Also in May 2021, the FDA placed a clinical hold on our CTI-1601 clinical program after we notified the agency of mortalities at the highest dose levels of a 26-week NHP toxicology study that was designed to support extended dosing of patients with CTI-1601. At the time the hold was placed, we had no interventional clinical trials with patients enrolling or enrolled.</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February 2022, in response to the complete response we submitted to the FDA, the FDA stated that it was maintaining the clinical hold and that additional data were needed to resolve the clinical hold. We subsequently submitted a request to the FDA for a Type C meeting, which was granted and was held in July 2022. We submitted a complete response incorporating additional information requested by the FDA at the meeting as well as information on the proposed study in August 2022.</w:t>
      </w:r>
    </w:p>
    <w:p>
      <w:pPr>
        <w:pStyle w:val="TextBody"/>
        <w:bidi w:val="0"/>
        <w:spacing w:before="120" w:after="0"/>
        <w:jc w:val="left"/>
        <w:rPr>
          <w:rFonts w:ascii="Times New Roman" w:hAnsi="Times New Roman"/>
          <w:sz w:val="20"/>
        </w:rPr>
      </w:pPr>
      <w:r>
        <w:rPr>
          <w:rFonts w:ascii="Times New Roman;serif" w:hAnsi="Times New Roman;serif"/>
          <w:b w:val="false"/>
          <w:sz w:val="20"/>
        </w:rPr>
        <w:t>In September 2022, following the Type C meeting and the submission of the Company's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clinical hold. The dose exploration trial is designed to further characterize CTI-1601’s safety, PD and PK profiles to provide information about the long-term dose and dose regimen.</w:t>
        <w:br/>
      </w:r>
      <w:r>
        <w:rPr>
          <w:rFonts w:ascii="Times New Roman" w:hAnsi="Times New Roman"/>
          <w:sz w:val="20"/>
        </w:rPr>
        <w:t> </w:t>
      </w:r>
    </w:p>
    <w:p>
      <w:pPr>
        <w:pStyle w:val="TextBody"/>
        <w:bidi w:val="0"/>
        <w:spacing w:before="120" w:after="0"/>
        <w:jc w:val="left"/>
        <w:rPr>
          <w:rFonts w:ascii="Times New Roman" w:hAnsi="Times New Roman"/>
          <w:sz w:val="20"/>
        </w:rPr>
      </w:pPr>
      <w:r>
        <w:rPr>
          <w:rFonts w:ascii="Times New Roman;serif" w:hAnsi="Times New Roman;serif"/>
          <w:b w:val="false"/>
          <w:sz w:val="20"/>
        </w:rPr>
        <w:t>In May, 2023, we reported preliminary top-line data from the 25 mg cohort of our Phase 2 four-week, placebo controlled dose exploration trial of CTI-1601 in FA patients. Safety data indicate that repeated subcutaneous injections of 25 mg CTI-1601 were generally well tolerated when administered daily for 14 days and then every-other-day thereafter until day 28. Daily subcutaneous injections of 25 mg CTI-1601 for 14 days led to increases in frataxin levels from baseline compared to placebo in all evaluated tissues (skin and buccal cells). During the course of our interactions with FDA, the Agency requested unblinded data from the trial which we submitted to the Agency. We have submitted the unblinded data to FDA and we have a meeting scheduled with the Agency for later this quarter to discuss the information needed to gain clearance to initiate a 50 mg cohort in the Phase 2 trial. We expect to provide an update on the next steps for the CTI-1601 program in the third quarter of 2023, after we have received feedback from the upcoming FDA meeting.</w:t>
        <w:br/>
      </w:r>
      <w:r>
        <w:rPr>
          <w:rFonts w:ascii="Times New Roman" w:hAnsi="Times New Roman"/>
          <w:sz w:val="20"/>
        </w:rPr>
        <w:t> </w:t>
      </w:r>
    </w:p>
    <w:p>
      <w:pPr>
        <w:pStyle w:val="TextBody"/>
        <w:bidi w:val="0"/>
        <w:spacing w:before="120" w:after="0"/>
        <w:jc w:val="left"/>
        <w:rPr>
          <w:rFonts w:ascii="Times New Roman;serif" w:hAnsi="Times New Roman;serif"/>
          <w:b/>
          <w:sz w:val="20"/>
        </w:rPr>
      </w:pPr>
      <w:r>
        <w:rPr>
          <w:rFonts w:ascii="Times New Roman;serif" w:hAnsi="Times New Roman;serif"/>
          <w:b/>
          <w:sz w:val="20"/>
        </w:rPr>
        <w:t>Financing Activities</w:t>
      </w:r>
    </w:p>
    <w:p>
      <w:pPr>
        <w:pStyle w:val="TextBody"/>
        <w:bidi w:val="0"/>
        <w:spacing w:before="120" w:after="0"/>
        <w:jc w:val="left"/>
        <w:rPr>
          <w:rFonts w:ascii="Times New Roman" w:hAnsi="Times New Roman"/>
          <w:sz w:val="20"/>
        </w:rPr>
      </w:pPr>
      <w:r>
        <w:rPr>
          <w:rFonts w:ascii="Times New Roman;serif" w:hAnsi="Times New Roman;serif"/>
          <w:b w:val="false"/>
          <w:sz w:val="20"/>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("Zafgen") and, prior to the 2020 merger with Zafgen, capital contributions from Chondrial Holdings, LLC.</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September 2022, we sold 25,558,750 shares of common stock in an underwritten offering for net proceeds of $75.2 million, after issuance costs.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In November 2022, we entered into a Sales Agreement (the "ATM Agreement") with an investment bank in connection with the establishment of an “at-the-market” offering program providing for the sale of up to an aggregate of $50.0 million of shares of our common stock from time to time through this investment bank as sales agent.</w:t>
      </w:r>
    </w:p>
    <w:p>
      <w:pPr>
        <w:pStyle w:val="TextBody"/>
        <w:bidi w:val="0"/>
        <w:spacing w:before="120" w:after="0"/>
        <w:jc w:val="left"/>
        <w:rPr>
          <w:rFonts w:ascii="Times New Roman" w:hAnsi="Times New Roman"/>
          <w:sz w:val="20"/>
        </w:rPr>
      </w:pPr>
      <w:r>
        <w:rPr>
          <w:rFonts w:ascii="Times New Roman;serif" w:hAnsi="Times New Roman;serif"/>
          <w:b/>
          <w:sz w:val="20"/>
        </w:rPr>
        <w:t>Financial Operations Overview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pStyle w:val="TextBody"/>
        <w:bidi w:val="0"/>
        <w:spacing w:before="12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majority of our operating expenses since inception have consisted primarily of research and development and general and administrative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which consist primarily of costs associated with our product research and development efforts, are expensed as incurred. Research and development expenses consist primarily of:</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third-party contract costs relating to research, formulation, manufacturing, non-clinical studies, and clinical trial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employee related costs, including salaries, benefits and stock-based compensation expenses for employees engaged in scientific research and development functions;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external costs of outside consultants and vendors;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payments made under our third-party licensing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sponsored research agreements;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laboratory consumables; and </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allocated facility-related costs.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At this time, we cannot reasonably estimate or know the nature, timing and estimated costs of the efforts that will be necessary to complete the clinical and commercial development of CTI-1601 or any other product candidates we may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scope, rate of progress and expense of clinical trials and other research and development activities;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clinical trial results;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uncertainties in clinical trial enrollment rate or design;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significant and changing government regulation;</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timing and receipt of any regulatory approvals;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influence of the FDA or other regulatory authorities on our clinical trial design and timing;</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establishing manufacturing capabilities or making arrangements with third-party manufacturers and risks involved with development of manufacturing processes, FDA pre-approval inspection practices and successful completion of manufacturing batches for clinical development and other regulatory purposes;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liquidity constraints, failure and instability of the U.S. and international banking systems, including possible impacts of a default by the U.S. government on its debt obligation, which could have broad macroeconomic effects that could, among other things, disrupt access to capital markets and deepen recessionary conditions;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ability to obtain and maintain patent and trade secret protection and regulatory exclusivity for our product candidates;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our ability to recruit and retain key research and development personnel.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pStyle w:val="TextBody"/>
        <w:bidi w:val="0"/>
        <w:spacing w:before="12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General and administrative expenses (consisting primarily of personnel costs, composed of salaries, related benefits and stock-based compensation), costs related to our executive, finance, information technology, and costs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serif" w:hAnsi="Times New Roman;serif"/>
          <w:b w:val="false"/>
          <w:sz w:val="20"/>
        </w:rPr>
        <w:t>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Comparison of three months ended March 31, 2023 and 2022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results of operations for the three months ended March 31, 2023 and 2022:</w:t>
      </w:r>
    </w:p>
    <w:p>
      <w:pPr>
        <w:pStyle w:val="TextBody"/>
        <w:bidi w:val="0"/>
        <w:spacing w:before="120" w:after="0"/>
        <w:jc w:val="left"/>
        <w:rPr/>
      </w:pPr>
      <w:r>
        <w:rPr/>
        <w:t> </w:t>
      </w:r>
    </w:p>
    <w:tbl>
      <w:tblPr>
        <w:tblW w:w="6406" w:type="dxa"/>
        <w:jc w:val="left"/>
        <w:tblInd w:w="0" w:type="dxa"/>
        <w:tblLayout w:type="fixed"/>
        <w:tblCellMar>
          <w:top w:w="28" w:type="dxa"/>
          <w:left w:w="28" w:type="dxa"/>
          <w:bottom w:w="28" w:type="dxa"/>
          <w:right w:w="28" w:type="dxa"/>
        </w:tblCellMar>
      </w:tblPr>
      <w:tblGrid>
        <w:gridCol w:w="2671"/>
        <w:gridCol w:w="146"/>
        <w:gridCol w:w="211"/>
        <w:gridCol w:w="631"/>
        <w:gridCol w:w="166"/>
        <w:gridCol w:w="146"/>
        <w:gridCol w:w="211"/>
        <w:gridCol w:w="631"/>
        <w:gridCol w:w="166"/>
        <w:gridCol w:w="146"/>
        <w:gridCol w:w="218"/>
        <w:gridCol w:w="652"/>
        <w:gridCol w:w="41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178" w:type="dxa"/>
            <w:gridSpan w:val="10"/>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center"/>
              <w:rPr/>
            </w:pPr>
            <w:r>
              <w:rPr/>
              <w:t> </w:t>
            </w:r>
          </w:p>
        </w:tc>
        <w:tc>
          <w:tcPr>
            <w:tcW w:w="166"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Increase</w:t>
            </w:r>
          </w:p>
        </w:tc>
        <w:tc>
          <w:tcPr>
            <w:tcW w:w="41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(Decrease)</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center"/>
              <w:rPr/>
            </w:pPr>
            <w:r>
              <w:rPr/>
              <w:t> </w:t>
            </w:r>
          </w:p>
        </w:tc>
        <w:tc>
          <w:tcPr>
            <w:tcW w:w="146" w:type="dxa"/>
            <w:tcBorders/>
            <w:vAlign w:val="center"/>
          </w:tcPr>
          <w:p>
            <w:pPr>
              <w:pStyle w:val="TableContents"/>
              <w:bidi w:val="0"/>
              <w:spacing w:before="0" w:after="0"/>
              <w:ind w:left="0" w:right="0" w:hanging="0"/>
              <w:jc w:val="left"/>
              <w:rPr/>
            </w:pPr>
            <w:r>
              <w:rPr/>
              <w:t> </w:t>
            </w:r>
          </w:p>
        </w:tc>
        <w:tc>
          <w:tcPr>
            <w:tcW w:w="3178" w:type="dxa"/>
            <w:gridSpan w:val="10"/>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vAlign w:val="center"/>
          </w:tcPr>
          <w:p>
            <w:pPr>
              <w:pStyle w:val="TableContents"/>
              <w:bidi w:val="0"/>
              <w:spacing w:before="0" w:after="0"/>
              <w:ind w:left="0" w:right="0" w:hanging="0"/>
              <w:jc w:val="center"/>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Statement of Operations Data:</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42" w:type="dxa"/>
            <w:gridSpan w:val="2"/>
            <w:tcBorders/>
            <w:vAlign w:val="center"/>
          </w:tcPr>
          <w:p>
            <w:pPr>
              <w:pStyle w:val="TableContents"/>
              <w:bidi w:val="0"/>
              <w:spacing w:before="0" w:after="0"/>
              <w:ind w:left="0" w:right="0" w:hanging="0"/>
              <w:jc w:val="right"/>
              <w:rPr/>
            </w:pPr>
            <w:r>
              <w:rPr/>
              <w:t> </w:t>
            </w:r>
          </w:p>
        </w:tc>
        <w:tc>
          <w:tcPr>
            <w:tcW w:w="166" w:type="dxa"/>
            <w:tcBorders/>
            <w:vAlign w:val="center"/>
          </w:tcPr>
          <w:p>
            <w:pPr>
              <w:pStyle w:val="TableContents"/>
              <w:bidi w:val="0"/>
              <w:spacing w:before="0" w:after="0"/>
              <w:ind w:left="0" w:right="0" w:hanging="0"/>
              <w:jc w:val="right"/>
              <w:rPr/>
            </w:pPr>
            <w:r>
              <w:rPr/>
              <w:t> </w:t>
            </w:r>
          </w:p>
        </w:tc>
        <w:tc>
          <w:tcPr>
            <w:tcW w:w="146" w:type="dxa"/>
            <w:tcBorders/>
            <w:vAlign w:val="center"/>
          </w:tcPr>
          <w:p>
            <w:pPr>
              <w:pStyle w:val="TableContents"/>
              <w:bidi w:val="0"/>
              <w:spacing w:before="0" w:after="0"/>
              <w:ind w:left="0" w:right="0" w:hanging="0"/>
              <w:jc w:val="left"/>
              <w:rPr/>
            </w:pPr>
            <w:r>
              <w:rPr/>
              <w:t> </w:t>
            </w:r>
          </w:p>
        </w:tc>
        <w:tc>
          <w:tcPr>
            <w:tcW w:w="870" w:type="dxa"/>
            <w:gridSpan w:val="2"/>
            <w:tcBorders/>
            <w:vAlign w:val="center"/>
          </w:tcPr>
          <w:p>
            <w:pPr>
              <w:pStyle w:val="TableContents"/>
              <w:bidi w:val="0"/>
              <w:spacing w:before="0" w:after="0"/>
              <w:ind w:left="0" w:right="0" w:hanging="0"/>
              <w:jc w:val="right"/>
              <w:rPr/>
            </w:pPr>
            <w:r>
              <w:rPr/>
              <w:t> </w:t>
            </w:r>
          </w:p>
        </w:tc>
        <w:tc>
          <w:tcPr>
            <w:tcW w:w="411" w:type="dxa"/>
            <w:tcBorders/>
            <w:vAlign w:val="center"/>
          </w:tcPr>
          <w:p>
            <w:pPr>
              <w:pStyle w:val="TableContents"/>
              <w:bidi w:val="0"/>
              <w:spacing w:before="0" w:after="0"/>
              <w:ind w:left="0" w:right="0" w:firstLine="200"/>
              <w:jc w:val="right"/>
              <w:rPr/>
            </w:pPr>
            <w:r>
              <w:rPr/>
              <w:t> </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4,562</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5,806</w:t>
            </w:r>
          </w:p>
        </w:tc>
        <w:tc>
          <w:tcPr>
            <w:tcW w:w="16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right"/>
              <w:rPr/>
            </w:pPr>
            <w:r>
              <w:rPr/>
              <w:t> </w:t>
            </w:r>
          </w:p>
        </w:tc>
        <w:tc>
          <w:tcPr>
            <w:tcW w:w="21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(1,244</w:t>
            </w:r>
          </w:p>
        </w:tc>
        <w:tc>
          <w:tcPr>
            <w:tcW w:w="411" w:type="dxa"/>
            <w:tcBorders/>
            <w:vAlign w:val="center"/>
          </w:tcPr>
          <w:p>
            <w:pPr>
              <w:pStyle w:val="TableContents"/>
              <w:bidi w:val="0"/>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3,075</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3,081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8,887</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(7,637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(8,887</w:t>
            </w:r>
          </w:p>
        </w:tc>
        <w:tc>
          <w:tcPr>
            <w:tcW w:w="16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vAlign w:val="center"/>
          </w:tcPr>
          <w:p>
            <w:pPr>
              <w:pStyle w:val="TableContents"/>
              <w:bidi w:val="0"/>
              <w:spacing w:before="0" w:after="0"/>
              <w:ind w:left="0" w:right="0" w:hanging="0"/>
              <w:jc w:val="left"/>
              <w:rPr/>
            </w:pPr>
            <w:r>
              <w:rPr/>
              <w:t> </w:t>
            </w:r>
          </w:p>
        </w:tc>
        <w:tc>
          <w:tcPr>
            <w:tcW w:w="65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1,250</w:t>
            </w:r>
          </w:p>
        </w:tc>
        <w:tc>
          <w:tcPr>
            <w:tcW w:w="411" w:type="dxa"/>
            <w:tcBorders/>
            <w:vAlign w:val="center"/>
          </w:tcPr>
          <w:p>
            <w:pPr>
              <w:pStyle w:val="TableContents"/>
              <w:bidi w:val="0"/>
              <w:spacing w:before="0" w:after="0"/>
              <w:ind w:left="0" w:right="0" w:firstLine="200"/>
              <w:jc w:val="left"/>
              <w:rPr/>
            </w:pPr>
            <w:r>
              <w:rPr/>
              <w:t> </w:t>
            </w:r>
          </w:p>
        </w:tc>
      </w:tr>
      <w:tr>
        <w:trPr/>
        <w:tc>
          <w:tcPr>
            <w:tcW w:w="2671" w:type="dxa"/>
            <w:tcBorders/>
            <w:vAlign w:val="center"/>
          </w:tcPr>
          <w:p>
            <w:pPr>
              <w:pStyle w:val="TableContents"/>
              <w:bidi w:val="0"/>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1,111</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(56</w:t>
            </w:r>
          </w:p>
        </w:tc>
        <w:tc>
          <w:tcPr>
            <w:tcW w:w="16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65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1,167</w:t>
            </w:r>
          </w:p>
        </w:tc>
        <w:tc>
          <w:tcPr>
            <w:tcW w:w="4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267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(6,526</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(8,943</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vAlign w:val="center"/>
          </w:tcPr>
          <w:p>
            <w:pPr>
              <w:pStyle w:val="TableContents"/>
              <w:bidi w:val="0"/>
              <w:spacing w:before="0" w:after="0"/>
              <w:ind w:left="0" w:right="0" w:hanging="0"/>
              <w:jc w:val="left"/>
              <w:rPr/>
            </w:pPr>
            <w:r>
              <w:rPr/>
              <w:t> </w:t>
            </w:r>
          </w:p>
        </w:tc>
        <w:tc>
          <w:tcPr>
            <w:tcW w:w="21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5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2,417</w:t>
            </w:r>
          </w:p>
        </w:tc>
        <w:tc>
          <w:tcPr>
            <w:tcW w:w="4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bl>
    <w:p>
      <w:pPr>
        <w:pStyle w:val="TextBody"/>
        <w:bidi w:val="0"/>
        <w:spacing w:before="120" w:after="0"/>
        <w:jc w:val="left"/>
        <w:rPr>
          <w:rFonts w:ascii="Times New Roman" w:hAnsi="Times New Roman"/>
          <w:sz w:val="20"/>
        </w:rPr>
      </w:pPr>
      <w:r>
        <w:rPr>
          <w:rFonts w:ascii="Times New Roman;serif" w:hAnsi="Times New Roman;serif"/>
          <w:b/>
          <w:i/>
          <w:sz w:val="20"/>
        </w:rPr>
        <w:t>Research and development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Research and development expenses for the three months ended March 31, 2023 decreased $1.2 million compared to the three months ended March 31, 2022. The decrease in research and development expenses was primarily driven by a decrease of $0.7 million in nonclinical development costs (primarily related to lower process development costs), a decrease of $0.4 million in drug manufacturing costs, and a decrease of $0.1 million in clinical trial expense.</w:t>
      </w:r>
    </w:p>
    <w:p>
      <w:pPr>
        <w:pStyle w:val="TextBody"/>
        <w:bidi w:val="0"/>
        <w:spacing w:before="120" w:after="0"/>
        <w:jc w:val="left"/>
        <w:rPr>
          <w:rFonts w:ascii="Times New Roman" w:hAnsi="Times New Roman"/>
          <w:sz w:val="20"/>
        </w:rPr>
      </w:pPr>
      <w:r>
        <w:rPr>
          <w:rFonts w:ascii="Times New Roman;serif" w:hAnsi="Times New Roman;serif"/>
          <w:b/>
          <w:i/>
          <w:sz w:val="20"/>
        </w:rPr>
        <w:t>General and administrative expenses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General and administrative expenses for the three months ended March 31, 2023 were comparable to general and administrative expenses for the three months ending March 31, 2022. Decreases in recruiting and professional service fees were offset by increases in stock-based compensation expense and other personnel-related expenses.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Other income (expense), net</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Other income (expense), net was $1.1 million (income) in the first quarter of 2023 compared to ($0.1) million expense in the first quarter of 2022. The first quarter of 2023 primarily relates to interest income which increased as compared to the first quarter of 2022 due to a higher investment base and higher interest rates on that base.</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pStyle w:val="TextBody"/>
        <w:bidi w:val="0"/>
        <w:spacing w:before="120" w:after="0"/>
        <w:jc w:val="left"/>
        <w:rPr>
          <w:rFonts w:ascii="Times New Roman;serif" w:hAnsi="Times New Roman;serif"/>
          <w:b/>
          <w:i/>
          <w:sz w:val="20"/>
        </w:rPr>
      </w:pPr>
      <w:r>
        <w:rPr>
          <w:rFonts w:ascii="Times New Roman;serif" w:hAnsi="Times New Roman;serif"/>
          <w:b/>
          <w:i/>
          <w:sz w:val="20"/>
        </w:rPr>
        <w:t>Cash Flows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following table summarizes our sources and uses of cash for each of the periods presented below:</w:t>
      </w:r>
    </w:p>
    <w:p>
      <w:pPr>
        <w:pStyle w:val="TextBody"/>
        <w:bidi w:val="0"/>
        <w:spacing w:before="120" w:after="0"/>
        <w:jc w:val="left"/>
        <w:rPr/>
      </w:pPr>
      <w:r>
        <w:rPr/>
        <w:t> </w:t>
      </w:r>
    </w:p>
    <w:tbl>
      <w:tblPr>
        <w:tblW w:w="7467" w:type="dxa"/>
        <w:jc w:val="left"/>
        <w:tblInd w:w="0" w:type="dxa"/>
        <w:tblLayout w:type="fixed"/>
        <w:tblCellMar>
          <w:top w:w="28" w:type="dxa"/>
          <w:left w:w="28" w:type="dxa"/>
          <w:bottom w:w="28" w:type="dxa"/>
          <w:right w:w="28" w:type="dxa"/>
        </w:tblCellMar>
      </w:tblPr>
      <w:tblGrid>
        <w:gridCol w:w="4711"/>
        <w:gridCol w:w="146"/>
        <w:gridCol w:w="248"/>
        <w:gridCol w:w="795"/>
        <w:gridCol w:w="195"/>
        <w:gridCol w:w="171"/>
        <w:gridCol w:w="248"/>
        <w:gridCol w:w="742"/>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9" w:type="dxa"/>
            <w:gridSpan w:val="6"/>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043"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171" w:type="dxa"/>
            <w:tcBorders/>
            <w:vAlign w:val="center"/>
          </w:tcPr>
          <w:p>
            <w:pPr>
              <w:pStyle w:val="TableContents"/>
              <w:bidi w:val="0"/>
              <w:spacing w:before="0" w:after="0"/>
              <w:ind w:left="0" w:right="0" w:hanging="0"/>
              <w:jc w:val="left"/>
              <w:rPr/>
            </w:pPr>
            <w:r>
              <w:rPr/>
              <w:t> </w:t>
            </w:r>
          </w:p>
        </w:tc>
        <w:tc>
          <w:tcPr>
            <w:tcW w:w="990" w:type="dxa"/>
            <w:gridSpan w:val="2"/>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399" w:type="dxa"/>
            <w:gridSpan w:val="6"/>
            <w:tcBorders/>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211" w:type="dxa"/>
            <w:tcBorders/>
            <w:vAlign w:val="center"/>
          </w:tcPr>
          <w:p>
            <w:pPr>
              <w:pStyle w:val="TableContents"/>
              <w:bidi w:val="0"/>
              <w:spacing w:before="0" w:after="0"/>
              <w:ind w:left="0" w:right="0" w:hanging="0"/>
              <w:jc w:val="center"/>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(7,551</w:t>
            </w:r>
          </w:p>
        </w:tc>
        <w:tc>
          <w:tcPr>
            <w:tcW w:w="195"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1"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(7,533</w:t>
            </w:r>
          </w:p>
        </w:tc>
        <w:tc>
          <w:tcPr>
            <w:tcW w:w="2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investing activities</w:t>
            </w:r>
          </w:p>
        </w:tc>
        <w:tc>
          <w:tcPr>
            <w:tcW w:w="14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795" w:type="dxa"/>
            <w:tcBorders/>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92,250</w:t>
            </w:r>
          </w:p>
        </w:tc>
        <w:tc>
          <w:tcPr>
            <w:tcW w:w="195" w:type="dxa"/>
            <w:tcBorders/>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left"/>
              <w:rPr/>
            </w:pPr>
            <w:r>
              <w:rPr/>
              <w:t> </w:t>
            </w:r>
          </w:p>
        </w:tc>
        <w:tc>
          <w:tcPr>
            <w:tcW w:w="742"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195"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742"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right"/>
              <w:rPr/>
            </w:pPr>
            <w:r>
              <w:rPr/>
              <w:t>—</w:t>
            </w:r>
          </w:p>
        </w:tc>
        <w:tc>
          <w:tcPr>
            <w:tcW w:w="211"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r>
      <w:tr>
        <w:trPr/>
        <w:tc>
          <w:tcPr>
            <w:tcW w:w="471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increase in cash, cash equivalents and restricted cash</w:t>
            </w:r>
          </w:p>
        </w:tc>
        <w:tc>
          <w:tcPr>
            <w:tcW w:w="146"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84,699</w:t>
            </w:r>
          </w:p>
        </w:tc>
        <w:tc>
          <w:tcPr>
            <w:tcW w:w="19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171" w:type="dxa"/>
            <w:tcBorders/>
            <w:vAlign w:val="center"/>
          </w:tcPr>
          <w:p>
            <w:pPr>
              <w:pStyle w:val="TableContents"/>
              <w:bidi w:val="0"/>
              <w:spacing w:before="0" w:after="0"/>
              <w:ind w:left="0" w:right="0" w:hanging="0"/>
              <w:jc w:val="left"/>
              <w:rPr/>
            </w:pPr>
            <w:r>
              <w:rPr/>
              <w:t> </w:t>
            </w:r>
          </w:p>
        </w:tc>
        <w:tc>
          <w:tcPr>
            <w:tcW w:w="248"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2"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(7,533</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120" w:after="0"/>
        <w:jc w:val="left"/>
        <w:rPr>
          <w:rFonts w:ascii="Times New Roman" w:hAnsi="Times New Roman"/>
          <w:sz w:val="20"/>
        </w:rPr>
      </w:pPr>
      <w:r>
        <w:rPr>
          <w:rFonts w:ascii="Times New Roman;serif" w:hAnsi="Times New Roman;serif"/>
          <w:b/>
          <w:i/>
          <w:sz w:val="20"/>
        </w:rPr>
        <w:t>Net cash used in operating activities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2023, operating activities used $7.6 million of cash, resulting from our net loss of $6.5 million, adjusted for noncash expenses of $1.3 million and changes in our operating assets and liabilities resulting in a source of cash of $2.3 million. Our net loss was primarily attributed to research and development activities related to our CTI-1601 program and our general and administrative expenses as described above. Noncash expenses are primarily stock-based compensation expenses. The change in operating assets and liabilities was primarily due to a decrease in accounts payable and accrued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three months ended March 31, 2022, operating activities used $7.5 million of cash, resulting from our net loss of $8.9 million, adjusted for noncash expenses of $1.7 million. Our net loss was primarily attributed to research and development activities related to our CTI-1601 program and our general and administrative expenses as described above. Noncash expenses primarily include stock-based compensation expenses. The change in operating assets and liabilities was primarily due to a decrease in accrued expenses and offset by an increase in accounts payable and prepaid expenses.</w:t>
      </w:r>
      <w:r>
        <w:rPr>
          <w:rFonts w:ascii="Times New Roman" w:hAnsi="Times New Roman"/>
          <w:sz w:val="20"/>
        </w:rPr>
        <w:t xml:space="preserve"> </w:t>
      </w:r>
    </w:p>
    <w:p>
      <w:pPr>
        <w:pStyle w:val="TextBody"/>
        <w:bidi w:val="0"/>
        <w:spacing w:before="120" w:after="0"/>
        <w:jc w:val="left"/>
        <w:rPr>
          <w:rFonts w:ascii="Times New Roman;serif" w:hAnsi="Times New Roman;serif"/>
          <w:b/>
          <w:i/>
          <w:sz w:val="20"/>
        </w:rPr>
      </w:pPr>
      <w:r>
        <w:rPr>
          <w:rFonts w:ascii="Times New Roman;serif" w:hAnsi="Times New Roman;serif"/>
          <w:b/>
          <w:i/>
          <w:sz w:val="20"/>
        </w:rPr>
        <w:t>Net cash provided by investing activities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investing activities provided $92.3 million of cash from maturities of marketable debt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2022, there were no investing activities.</w:t>
      </w:r>
    </w:p>
    <w:p>
      <w:pPr>
        <w:pStyle w:val="TextBody"/>
        <w:bidi w:val="0"/>
        <w:spacing w:before="120" w:after="0"/>
        <w:jc w:val="left"/>
        <w:rPr>
          <w:rFonts w:ascii="Times New Roman" w:hAnsi="Times New Roman"/>
          <w:sz w:val="20"/>
        </w:rPr>
      </w:pPr>
      <w:r>
        <w:rPr>
          <w:rFonts w:ascii="Times New Roman;serif" w:hAnsi="Times New Roman;serif"/>
          <w:b/>
          <w:i/>
          <w:sz w:val="20"/>
        </w:rPr>
        <w:t>Net cash provided by financing activities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During the three months ended March 31, 2023 and 2022 there were no financing activities.</w:t>
      </w:r>
    </w:p>
    <w:p>
      <w:pPr>
        <w:pStyle w:val="TextBody"/>
        <w:bidi w:val="0"/>
        <w:spacing w:before="120" w:after="0"/>
        <w:jc w:val="left"/>
        <w:rPr>
          <w:rFonts w:ascii="Times New Roman;serif" w:hAnsi="Times New Roman;serif"/>
          <w:b/>
          <w:sz w:val="20"/>
        </w:rPr>
      </w:pPr>
      <w:r>
        <w:rPr>
          <w:rFonts w:ascii="Times New Roman;serif" w:hAnsi="Times New Roman;serif"/>
          <w:b/>
          <w:sz w:val="20"/>
        </w:rPr>
        <w:t>Critical Accounting Policies and Significant Judgments and Estimates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Our condensed consolidated financial statements are prepared in accordance with GAAP. The preparation of our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these estimates and assumptions on an ongoing basis. Our actual results may differ from these estimates under different assumptions and conditions.</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Research and Development Expense</w:t>
      </w:r>
    </w:p>
    <w:p>
      <w:pPr>
        <w:pStyle w:val="TextBody"/>
        <w:bidi w:val="0"/>
        <w:spacing w:before="120" w:after="0"/>
        <w:jc w:val="left"/>
        <w:rPr>
          <w:rFonts w:ascii="Times New Roman" w:hAnsi="Times New Roman"/>
          <w:sz w:val="20"/>
        </w:rPr>
      </w:pPr>
      <w:r>
        <w:rPr>
          <w:rFonts w:ascii="Times New Roman;serif" w:hAnsi="Times New Roman;serif"/>
          <w:b w:val="false"/>
          <w:sz w:val="20"/>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judgement and management's review of manufacturing, nonclinical and clinical expenses. This process involves reviewing open contracts and purchase orders, communicating with our personnel and outside vendors to</w:t>
      </w:r>
      <w:r>
        <w:rPr>
          <w:rFonts w:ascii="Times New Roman" w:hAnsi="Times New Roman"/>
          <w:sz w:val="20"/>
        </w:rPr>
        <w:t xml:space="preserve">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pStyle w:val="TextBody"/>
        <w:bidi w:val="0"/>
        <w:spacing w:before="120" w:after="0"/>
        <w:jc w:val="left"/>
        <w:rPr>
          <w:rFonts w:ascii="Times New Roman;serif" w:hAnsi="Times New Roman;serif"/>
          <w:b w:val="false"/>
          <w:i/>
          <w:sz w:val="20"/>
        </w:rPr>
      </w:pPr>
      <w:r>
        <w:rPr>
          <w:rFonts w:ascii="Times New Roman;serif" w:hAnsi="Times New Roman;serif"/>
          <w:b w:val="false"/>
          <w:i/>
          <w:sz w:val="20"/>
        </w:rPr>
        <w:t>Stock Compensation Expense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measure all stock-based awards granted to employees, non-employee consultants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so that they are inherently subjective. If factors change and different assumptions are used, our stock-based compensation expense could be materially different in the future.</w:t>
      </w:r>
    </w:p>
    <w:p>
      <w:pPr>
        <w:pStyle w:val="TextBody"/>
        <w:bidi w:val="0"/>
        <w:spacing w:before="120" w:after="0"/>
        <w:jc w:val="left"/>
        <w:rPr>
          <w:rFonts w:ascii="Times New Roman" w:hAnsi="Times New Roman"/>
          <w:sz w:val="20"/>
        </w:rPr>
      </w:pPr>
      <w:r>
        <w:rPr>
          <w:rFonts w:ascii="Times New Roman;serif" w:hAnsi="Times New Roman;serif"/>
          <w:b w:val="false"/>
          <w:sz w:val="20"/>
        </w:rPr>
        <w:t>Prior to May 28, 2020, we were a private company and lacked company-specific historical and implied volatility information for our common stock. Prior to January 1, 2023, the Company estimated its expected common stock price volatility solely based on the historical volatility of publicly traded peer companies with comparable characteristics including enterprise value, risk profiles and position within the industry. Beginning on January 1, 2023, the Company began blending it historical data beginning in June 2020 (following its merger with Zafgen in 2020) with its historical peer group.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full historical data regarding the volatility of our own traded stock price.</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considers the fact that we have never paid cash dividends on common stock and do not expect to pay any cash dividends in the foreseeable future.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pStyle w:val="TextBody"/>
        <w:bidi w:val="0"/>
        <w:spacing w:before="120" w:after="0"/>
        <w:jc w:val="left"/>
        <w:rPr>
          <w:rFonts w:ascii="Times New Roman" w:hAnsi="Times New Roman"/>
          <w:sz w:val="20"/>
        </w:rPr>
      </w:pPr>
      <w:r>
        <w:rPr>
          <w:rFonts w:ascii="Times New Roman;serif" w:hAnsi="Times New Roman;serif"/>
          <w:b w:val="false"/>
          <w:sz w:val="20"/>
        </w:rPr>
        <w:t>We classify stock-based compensation expense in our condensed consolidated statements of operations and comprehensive loss in the same manner in which the award recipient’s payroll costs are classified or in which the award recipient’s service payments are classified.</w:t>
      </w:r>
      <w:r>
        <w:rPr>
          <w:rFonts w:ascii="Times New Roman" w:hAnsi="Times New Roman"/>
          <w:sz w:val="20"/>
        </w:rPr>
        <w:t xml:space="preserve"> </w:t>
      </w:r>
    </w:p>
    <w:p>
      <w:pPr>
        <w:pStyle w:val="TextBody"/>
        <w:bidi w:val="0"/>
        <w:spacing w:before="120" w:after="0"/>
        <w:jc w:val="left"/>
        <w:rPr>
          <w:rFonts w:ascii="Times New Roman;serif" w:hAnsi="Times New Roman;serif"/>
          <w:b/>
          <w:sz w:val="20"/>
        </w:rPr>
      </w:pPr>
      <w:r>
        <w:rPr>
          <w:rFonts w:ascii="Times New Roman;serif" w:hAnsi="Times New Roman;serif"/>
          <w:b/>
          <w:sz w:val="20"/>
        </w:rPr>
        <w:t>Operating Capital Requirements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not yet commercialized any products and do not expect to generate revenue from the commercial sale of any products for several years, if at all.</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have to date incurred net losses. We incurred net losses of approximately $6.5 million and $8.9 million for the three months ended March 31, 2023 and 2022, respectively. As of March 31, 2023, we had an accumulated deficit of $158.1 million and cash and cash equivalents of $111.5 million, excluding restricted cash of $1.3 million.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continue to advance the development of CTI-1601 through additional clinical trials;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seek to identify and advance development of additional product candidates into clinical development and identify additional indications for our product candidates;</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seek to obtain regulatory approvals for our product candidates;</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identify, acquire or in-license other product candidates and technologies;</w:t>
      </w:r>
    </w:p>
    <w:p>
      <w:pPr>
        <w:pStyle w:val="TextBody"/>
        <w:bidi w:val="0"/>
        <w:spacing w:before="120" w:after="0"/>
        <w:jc w:val="left"/>
        <w:rPr/>
      </w:pPr>
      <w:r>
        <w:rPr/>
        <w:t>•</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maintain, leverage and expand our intellectual property portfolio; and</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expand our operational, financial, commercial and management systems and personnel, including personnel to support our clinical development and future commercialization efforts and our operations as a public company.</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believe that based on our current operating plan our cash and cash equivalents will be able to fund operating expenses and capital expenditure requirements for at least the next twelve months from the filing of these financial statements with the SEC.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tensions, volatility of capital markets, and other adverse macroeconomic events, including those due to inflationary pressures, bank instability and the ability of the U.S. government to manage federal debt limits, as well as the potential impact of health crises on the global financial markets may reduce our ability to access capital, which could negatively affect our liquidity and ability to continue as a going concern.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pStyle w:val="TextBody"/>
        <w:bidi w:val="0"/>
        <w:spacing w:before="120" w:after="0"/>
        <w:jc w:val="left"/>
        <w:rPr>
          <w:rFonts w:ascii="Times New Roman" w:hAnsi="Times New Roman"/>
          <w:sz w:val="20"/>
        </w:rPr>
      </w:pPr>
      <w:r>
        <w:rPr>
          <w:rFonts w:ascii="Times New Roman;serif" w:hAnsi="Times New Roman;serif"/>
          <w:b/>
          <w:sz w:val="20"/>
        </w:rPr>
        <w:t>Off-Balance Sheet Arrangements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Recently Issued Accounting Pronouncements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Please read Note 2 to our condensed consolidated financial statements included in Part I of Item 1 of this Quarterly Report on Form 10-Q for a description of recent accounting pronouncements applicable to our business, if 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sz w:val="20"/>
        </w:rPr>
        <w:t>Other Company Information</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0" w:name="item_3_quantitative_qualitative_disclosu"/>
      <w:bookmarkEnd w:id="10"/>
      <w:r>
        <w:rPr>
          <w:rFonts w:ascii="Times New Roman;serif" w:hAnsi="Times New Roman;serif"/>
          <w:b/>
          <w:sz w:val="20"/>
        </w:rPr>
        <w:t>Item 3. Quantitative and Qualitative Disclosures about Market Risk</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are a "smaller reporting company" as defined by Rule 12b-2 of the Securities Exchange Act of 1934, as amended (the "Exchange Act") and are not required to provide the information under this item.</w:t>
      </w:r>
    </w:p>
    <w:p>
      <w:pPr>
        <w:pStyle w:val="TextBody"/>
        <w:bidi w:val="0"/>
        <w:spacing w:before="240" w:after="0"/>
        <w:jc w:val="left"/>
        <w:rPr>
          <w:rFonts w:ascii="Times New Roman" w:hAnsi="Times New Roman"/>
          <w:sz w:val="20"/>
        </w:rPr>
      </w:pPr>
      <w:bookmarkStart w:id="11" w:name="item_4_controls_and_procedures"/>
      <w:bookmarkEnd w:id="11"/>
      <w:r>
        <w:rPr>
          <w:rFonts w:ascii="Times New Roman;serif" w:hAnsi="Times New Roman;serif"/>
          <w:b/>
          <w:sz w:val="20"/>
        </w:rPr>
        <w:t>Item 4. Controls and Procedures</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With respect to the quarter ended March 31, 2023,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pStyle w:val="TextBody"/>
        <w:bidi w:val="0"/>
        <w:spacing w:before="240" w:after="0"/>
        <w:jc w:val="left"/>
        <w:rPr>
          <w:rFonts w:ascii="Times New Roman" w:hAnsi="Times New Roman"/>
          <w:sz w:val="20"/>
        </w:rPr>
      </w:pPr>
      <w:r>
        <w:rPr>
          <w:rFonts w:ascii="Times New Roman;serif" w:hAnsi="Times New Roman;serif"/>
          <w:b/>
          <w:i/>
          <w:sz w:val="20"/>
        </w:rPr>
        <w:t>Changes in Internal Control Over Financial Reporting</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There were no changes in our internal control over financial reporting (as defined in Rules 13a-15(f) and 15d-15(f) under the Exchange Act) that occurred during the fiscal quarter ended March 31, 2023 which have materially affected, or are reasonably likely to materially affect, our internal control over financial reporting.</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2" w:name="part_ii_or_information"/>
      <w:bookmarkEnd w:id="12"/>
      <w:r>
        <w:rPr>
          <w:rFonts w:ascii="Times New Roman;serif" w:hAnsi="Times New Roman;serif"/>
          <w:b/>
          <w:sz w:val="20"/>
        </w:rPr>
        <w:t>PART II - OTHER INFORMATION</w:t>
      </w:r>
      <w:r>
        <w:rPr>
          <w:rFonts w:ascii="Times New Roman" w:hAnsi="Times New Roman"/>
          <w:sz w:val="20"/>
        </w:rPr>
        <w:t xml:space="preserve"> </w:t>
      </w:r>
    </w:p>
    <w:p>
      <w:pPr>
        <w:pStyle w:val="TextBody"/>
        <w:bidi w:val="0"/>
        <w:spacing w:before="120" w:after="0"/>
        <w:jc w:val="left"/>
        <w:rPr>
          <w:rFonts w:ascii="Times New Roman" w:hAnsi="Times New Roman"/>
          <w:sz w:val="20"/>
        </w:rPr>
      </w:pPr>
      <w:bookmarkStart w:id="13" w:name="item_1_legal_proceedings"/>
      <w:bookmarkEnd w:id="13"/>
      <w:r>
        <w:rPr>
          <w:rFonts w:ascii="Times New Roman;serif" w:hAnsi="Times New Roman;serif"/>
          <w:b/>
          <w:sz w:val="20"/>
        </w:rPr>
        <w:t>Item 1. Legal</w:t>
      </w:r>
      <w:r>
        <w:rPr>
          <w:rFonts w:ascii="Times New Roman" w:hAnsi="Times New Roman"/>
          <w:sz w:val="20"/>
        </w:rPr>
        <w:t xml:space="preserve"> </w:t>
      </w:r>
      <w:r>
        <w:rPr>
          <w:rFonts w:ascii="Times New Roman;serif" w:hAnsi="Times New Roman;serif"/>
          <w:b/>
          <w:sz w:val="20"/>
        </w:rPr>
        <w:t>Proceedings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From time to time, we are subject to claims in legal proceedings arising in the normal course of business. To our knowledge, during the three months ended March 31, 2023, there were no, and as of the date of this Quarterly Report, there are no, threatened or pending legal actions that could reasonably be expected to have a material adverse effect on our business, financial condition, results of operations or cash flows.</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4" w:name="item_1a_risk_factors"/>
      <w:bookmarkEnd w:id="14"/>
      <w:r>
        <w:rPr>
          <w:rFonts w:ascii="Times New Roman;serif" w:hAnsi="Times New Roman;serif"/>
          <w:b/>
          <w:sz w:val="20"/>
        </w:rPr>
        <w:t>Item 1A. Risk Factors</w:t>
      </w:r>
      <w:r>
        <w:rPr>
          <w:rFonts w:ascii="Times New Roman" w:hAnsi="Times New Roman"/>
          <w:sz w:val="20"/>
        </w:rPr>
        <w:t xml:space="preserve"> </w:t>
      </w:r>
    </w:p>
    <w:p>
      <w:pPr>
        <w:pStyle w:val="TextBody"/>
        <w:bidi w:val="0"/>
        <w:spacing w:before="240" w:after="0"/>
        <w:jc w:val="left"/>
        <w:rPr>
          <w:rFonts w:ascii="Times New Roman;serif" w:hAnsi="Times New Roman;serif"/>
          <w:b w:val="false"/>
          <w:i/>
          <w:sz w:val="20"/>
        </w:rPr>
      </w:pPr>
      <w:r>
        <w:rPr>
          <w:rFonts w:ascii="Times New Roman;serif" w:hAnsi="Times New Roman;serif"/>
          <w:b w:val="false"/>
          <w:i/>
          <w:sz w:val="20"/>
        </w:rPr>
        <w:t>You should carefully consider the risk factors described in our 2022 Annual Report under the caption “Item 1A. Risk Factors.” The risks described in our 2022 Annual Report are not the only risks facing our company. Additional risks and uncertainties not currently known to us or that we currently deem to be immaterial also may materially adversely affect our business, financial condition or future results.</w:t>
      </w:r>
    </w:p>
    <w:p>
      <w:pPr>
        <w:pStyle w:val="TextBody"/>
        <w:bidi w:val="0"/>
        <w:spacing w:before="240" w:after="0"/>
        <w:jc w:val="left"/>
        <w:rPr>
          <w:rFonts w:ascii="Times New Roman;serif" w:hAnsi="Times New Roman;serif"/>
          <w:b/>
          <w:sz w:val="20"/>
        </w:rPr>
      </w:pPr>
      <w:bookmarkStart w:id="15" w:name="item_2_unregistered_sales_of_equity"/>
      <w:bookmarkEnd w:id="15"/>
      <w:r>
        <w:rPr>
          <w:rFonts w:ascii="Times New Roman;serif" w:hAnsi="Times New Roman;serif"/>
          <w:b/>
          <w:sz w:val="20"/>
        </w:rPr>
        <w:t>Item 2. Unregistered Sales of Equity Securities and Use of Proceeds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240" w:after="0"/>
        <w:jc w:val="left"/>
        <w:rPr>
          <w:rFonts w:ascii="Times New Roman" w:hAnsi="Times New Roman"/>
          <w:sz w:val="20"/>
        </w:rPr>
      </w:pPr>
      <w:bookmarkStart w:id="17" w:name="item_4_mine_safety_disclosures"/>
      <w:bookmarkEnd w:id="17"/>
      <w:r>
        <w:rPr>
          <w:rFonts w:ascii="Times New Roman;serif" w:hAnsi="Times New Roman;serif"/>
          <w:b/>
          <w:sz w:val="20"/>
        </w:rPr>
        <w:t>Item 4. Mine Safety Disclosures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Not applicable.</w:t>
      </w:r>
      <w:r>
        <w:rPr>
          <w:rFonts w:ascii="Times New Roman" w:hAnsi="Times New Roman"/>
          <w:sz w:val="20"/>
        </w:rPr>
        <w:t xml:space="preserve"> </w:t>
      </w:r>
    </w:p>
    <w:p>
      <w:pPr>
        <w:pStyle w:val="TextBody"/>
        <w:bidi w:val="0"/>
        <w:spacing w:before="240" w:after="0"/>
        <w:jc w:val="left"/>
        <w:rPr>
          <w:rFonts w:ascii="Times New Roman;serif" w:hAnsi="Times New Roman;serif"/>
          <w:b/>
          <w:sz w:val="20"/>
        </w:rPr>
      </w:pPr>
      <w:bookmarkStart w:id="18" w:name="item_5_other_information"/>
      <w:bookmarkEnd w:id="18"/>
      <w:r>
        <w:rPr>
          <w:rFonts w:ascii="Times New Roman;serif" w:hAnsi="Times New Roman;serif"/>
          <w:b/>
          <w:sz w:val="20"/>
        </w:rPr>
        <w:t>Item 5. Other Information</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None.</w:t>
      </w:r>
    </w:p>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20"/>
        </w:rPr>
      </w:pPr>
      <w:bookmarkStart w:id="19" w:name="item_6_exhibits"/>
      <w:bookmarkEnd w:id="19"/>
      <w:r>
        <w:rPr>
          <w:rFonts w:ascii="Times New Roman;serif" w:hAnsi="Times New Roman;serif"/>
          <w:b/>
          <w:sz w:val="20"/>
        </w:rPr>
        <w:t>Item 6. Exhibits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serif" w:hAnsi="Times New Roman;serif"/>
          <w:b w:val="false"/>
          <w:sz w:val="20"/>
        </w:rPr>
        <w:t>The exhibits filed as part of this Quarterly Report are set forth on the Exhibit Index, which is incorporated herein by reference.</w:t>
      </w:r>
      <w:r>
        <w:rPr>
          <w:rFonts w:ascii="Times New Roman" w:hAnsi="Times New Roman"/>
          <w:sz w:val="20"/>
        </w:rPr>
        <w:t xml:space="preserve"> </w:t>
      </w:r>
    </w:p>
    <w:p>
      <w:pPr>
        <w:pStyle w:val="TextBody"/>
        <w:bidi w:val="0"/>
        <w:spacing w:before="360" w:after="0"/>
        <w:jc w:val="center"/>
        <w:rPr>
          <w:rFonts w:ascii="Times New Roman" w:hAnsi="Times New Roman"/>
          <w:sz w:val="20"/>
        </w:rPr>
      </w:pPr>
      <w:r>
        <w:rPr>
          <w:rFonts w:ascii="Times New Roman;serif" w:hAnsi="Times New Roman;serif"/>
          <w:b/>
          <w:sz w:val="20"/>
        </w:rPr>
        <w:t>EXHIBIT INDEX</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04"/>
        <w:gridCol w:w="146"/>
        <w:gridCol w:w="9155"/>
      </w:tblGrid>
      <w:tr>
        <w:trPr/>
        <w:tc>
          <w:tcPr>
            <w:tcW w:w="9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5" w:type="dxa"/>
            <w:tcBorders/>
            <w:vAlign w:val="center"/>
          </w:tcPr>
          <w:p>
            <w:pPr>
              <w:pStyle w:val="TableContents"/>
              <w:bidi w:val="0"/>
              <w:spacing w:before="0" w:after="283"/>
              <w:jc w:val="left"/>
              <w:rPr>
                <w:sz w:val="4"/>
                <w:szCs w:val="4"/>
              </w:rPr>
            </w:pPr>
            <w:r>
              <w:rPr>
                <w:sz w:val="4"/>
                <w:szCs w:val="4"/>
              </w:rPr>
            </w:r>
          </w:p>
        </w:tc>
      </w:tr>
      <w:tr>
        <w:trPr/>
        <w:tc>
          <w:tcPr>
            <w:tcW w:w="904"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Exhibit No.</w:t>
            </w:r>
            <w:r>
              <w:rPr>
                <w:rFonts w:ascii="Times New Roman" w:hAnsi="Times New Roman"/>
                <w:sz w:val="16"/>
              </w:rPr>
              <w:t xml:space="preserve"> </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pPr>
            <w:r>
              <w:rPr/>
              <w:t> </w:t>
            </w:r>
          </w:p>
        </w:tc>
        <w:tc>
          <w:tcPr>
            <w:tcW w:w="9155"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sz w:val="16"/>
              </w:rPr>
            </w:pPr>
            <w:r>
              <w:rPr>
                <w:rFonts w:ascii="Times New Roman;serif" w:hAnsi="Times New Roman;serif"/>
                <w:b/>
                <w:sz w:val="16"/>
              </w:rPr>
              <w:t>Description</w:t>
            </w:r>
            <w:r>
              <w:rPr>
                <w:rFonts w:ascii="Times New Roman" w:hAnsi="Times New Roman"/>
                <w:sz w:val="16"/>
              </w:rPr>
              <w:t xml:space="preserve">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rmr-ex31_1.htm">
              <w:r>
                <w:rPr>
                  <w:rStyle w:val="InternetLink"/>
                  <w:rFonts w:ascii="Times New Roman;serif" w:hAnsi="Times New Roman;serif"/>
                  <w:b w:val="false"/>
                  <w:sz w:val="20"/>
                  <w:u w:val="single"/>
                </w:rPr>
                <w:t>Certification of Principal Executive Officer pursuant to Rule 13a-14(a) or Rule 15d-14(a) of the Securities Exchange Act of 1934, as adopted pursuant to Section 302 of the Sarbanes-Oxley Act of 2002.</w:t>
              </w:r>
            </w:hyperlink>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rmr-ex31_2.htm">
              <w:r>
                <w:rPr>
                  <w:rStyle w:val="InternetLink"/>
                  <w:rFonts w:ascii="Times New Roman;serif" w:hAnsi="Times New Roman;serif"/>
                  <w:b w:val="false"/>
                  <w:sz w:val="20"/>
                  <w:u w:val="single"/>
                </w:rPr>
                <w:t>Certification of Principal Financial Officer pursuant to Rule 13a-14(a) or Rule 15d-14(a) of the Securities Exchange Act of 1934, as adopted pursuant to Section 302 of the Sarbanes-Oxley Act of 2002.</w:t>
              </w:r>
            </w:hyperlink>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hyperlink w:anchor="lrmr-ex32_1.htm">
              <w:r>
                <w:rPr>
                  <w:rStyle w:val="InternetLink"/>
                  <w:rFonts w:ascii="Times New Roman;serif" w:hAnsi="Times New Roman;serif"/>
                  <w:b w:val="false"/>
                  <w:sz w:val="20"/>
                  <w:u w:val="single"/>
                </w:rPr>
                <w:t>Certification of Principal Executive Officer and Principal Financial Officer pursuant to 18 U.S.C. Section 1350, as adopted pursuant to Section 906 of the Sarbanes-Oxley Act of 2002.</w:t>
              </w:r>
            </w:hyperlink>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101.INS*</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the instance document does not appear in the Interactive Data File because its XBRL tag re embedded within the Inline XBRL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101.SCH*</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101.CAL*</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101.DEF*</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101.LAB*</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Labels Linkbase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101.PRE*</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 Document.</w:t>
            </w:r>
          </w:p>
        </w:tc>
      </w:tr>
      <w:tr>
        <w:trPr/>
        <w:tc>
          <w:tcPr>
            <w:tcW w:w="904" w:type="dxa"/>
            <w:tcBorders/>
            <w:tcMar>
              <w:top w:w="0" w:type="dxa"/>
              <w:left w:w="0" w:type="dxa"/>
              <w:bottom w:w="0" w:type="dxa"/>
              <w:right w:w="0" w:type="dxa"/>
            </w:tcMar>
            <w:vAlign w:val="center"/>
          </w:tcPr>
          <w:p>
            <w:pPr>
              <w:pStyle w:val="TableContents"/>
              <w:bidi w:val="0"/>
              <w:spacing w:before="0" w:after="0"/>
              <w:ind w:left="0" w:right="0" w:firstLine="153"/>
              <w:jc w:val="left"/>
              <w:rPr>
                <w:rFonts w:ascii="Times New Roman;serif" w:hAnsi="Times New Roman;serif"/>
                <w:b w:val="false"/>
                <w:sz w:val="20"/>
              </w:rPr>
            </w:pPr>
            <w:r>
              <w:rPr>
                <w:rFonts w:ascii="Times New Roman;serif" w:hAnsi="Times New Roman;serif"/>
                <w:b w:val="false"/>
                <w:sz w:val="20"/>
              </w:rPr>
              <w:t>104</w:t>
            </w:r>
          </w:p>
        </w:tc>
        <w:tc>
          <w:tcPr>
            <w:tcW w:w="146" w:type="dxa"/>
            <w:tcBorders/>
            <w:tcMar>
              <w:top w:w="0" w:type="dxa"/>
              <w:left w:w="0" w:type="dxa"/>
              <w:bottom w:w="0" w:type="dxa"/>
              <w:right w:w="0" w:type="dxa"/>
            </w:tcMar>
            <w:vAlign w:val="center"/>
          </w:tcPr>
          <w:p>
            <w:pPr>
              <w:pStyle w:val="TableContents"/>
              <w:bidi w:val="0"/>
              <w:spacing w:before="0" w:after="0"/>
              <w:ind w:left="153" w:right="0" w:hanging="0"/>
              <w:jc w:val="left"/>
              <w:rPr/>
            </w:pPr>
            <w:r>
              <w:rPr/>
              <w:t> </w:t>
            </w:r>
          </w:p>
        </w:tc>
        <w:tc>
          <w:tcPr>
            <w:tcW w:w="915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as inline XBRL and contained in Exhibit 101)</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serif" w:hAnsi="Times New Roman;serif"/>
          <w:b w:val="false"/>
          <w:sz w:val="20"/>
        </w:rPr>
        <w:t>* Filed herewith.</w:t>
      </w:r>
      <w:r>
        <w:rPr>
          <w:rFonts w:ascii="Times New Roman" w:hAnsi="Times New Roman"/>
          <w:sz w:val="20"/>
        </w:rPr>
        <w:t xml:space="preserve"> </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Furnished herewith.</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bidi w:val="0"/>
        <w:spacing w:before="240" w:after="0"/>
        <w:jc w:val="left"/>
        <w:rPr>
          <w:rFonts w:ascii="Times New Roman" w:hAnsi="Times New Roman"/>
          <w:sz w:val="20"/>
        </w:rPr>
      </w:pPr>
      <w:r>
        <w:rPr>
          <w:rFonts w:ascii="Times New Roman;serif" w:hAnsi="Times New Roman;serif"/>
          <w:b w:val="false"/>
          <w:sz w:val="20"/>
        </w:rPr>
        <w:t>Pursuant to the requirements of the Securities Exchange Act of 1934, as amended, the registrant has duly caused this report to be signed on its behalf by the undersigned thereunto duly authorized.</w:t>
      </w:r>
      <w:r>
        <w:rPr>
          <w:rFonts w:ascii="Times New Roman" w:hAnsi="Times New Roman"/>
          <w:sz w:val="20"/>
        </w:rPr>
        <w:t xml:space="preserve"> </w:t>
      </w:r>
    </w:p>
    <w:p>
      <w:pPr>
        <w:pStyle w:val="TextBody"/>
        <w:bidi w:val="0"/>
        <w:spacing w:before="0" w:after="0"/>
        <w:jc w:val="left"/>
        <w:rPr/>
      </w:pPr>
      <w:r>
        <w:rPr/>
        <w:t> </w:t>
      </w:r>
    </w:p>
    <w:tbl>
      <w:tblPr>
        <w:tblW w:w="6310" w:type="dxa"/>
        <w:jc w:val="left"/>
        <w:tblInd w:w="0" w:type="dxa"/>
        <w:tblLayout w:type="fixed"/>
        <w:tblCellMar>
          <w:top w:w="28" w:type="dxa"/>
          <w:left w:w="28" w:type="dxa"/>
          <w:bottom w:w="28" w:type="dxa"/>
          <w:right w:w="28" w:type="dxa"/>
        </w:tblCellMar>
      </w:tblPr>
      <w:tblGrid>
        <w:gridCol w:w="1741"/>
        <w:gridCol w:w="146"/>
        <w:gridCol w:w="406"/>
        <w:gridCol w:w="146"/>
        <w:gridCol w:w="387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LARIMAR THERAPEUTICS, INC.</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423" w:type="dxa"/>
            <w:gridSpan w:val="3"/>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74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Carole S. Ben-Maimon, M.D.</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Carole S. Ben-Maimon, M.D.</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President and Chief Executive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Executive Officer)</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r>
      <w:tr>
        <w:trPr/>
        <w:tc>
          <w:tcPr>
            <w:tcW w:w="174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40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pPr>
            <w:r>
              <w:rPr/>
              <w:t> </w:t>
            </w:r>
          </w:p>
        </w:tc>
        <w:tc>
          <w:tcPr>
            <w:tcW w:w="387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Celano</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Celano</w:t>
            </w:r>
          </w:p>
        </w:tc>
      </w:tr>
      <w:tr>
        <w:trPr/>
        <w:tc>
          <w:tcPr>
            <w:tcW w:w="1741"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40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38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Chief Financial Officer</w:t>
            </w:r>
          </w:p>
          <w:p>
            <w:pPr>
              <w:pStyle w:val="TableContents"/>
              <w:bidi w:val="0"/>
              <w:spacing w:before="0" w:after="0"/>
              <w:ind w:left="0" w:right="0" w:hanging="0"/>
              <w:jc w:val="left"/>
              <w:rPr>
                <w:rFonts w:ascii="Times New Roman;serif" w:hAnsi="Times New Roman;serif"/>
                <w:b w:val="false"/>
                <w:i/>
                <w:sz w:val="20"/>
              </w:rPr>
            </w:pPr>
            <w:r>
              <w:rPr>
                <w:rFonts w:ascii="Times New Roman;serif" w:hAnsi="Times New Roman;serif"/>
                <w:b w:val="false"/>
                <w:i/>
                <w:sz w:val="20"/>
              </w:rPr>
              <w:t>(Principal Financial and Accounting Officer)</w:t>
            </w:r>
          </w:p>
        </w:tc>
      </w:tr>
    </w:tbl>
    <w:p>
      <w:pPr>
        <w:pStyle w:val="TextBody"/>
        <w:bidi w:val="0"/>
        <w:spacing w:before="0" w:after="0"/>
        <w:jc w:val="left"/>
        <w:rPr/>
      </w:pPr>
      <w:r>
        <w:rPr/>
        <w:t> </w:t>
      </w:r>
    </w:p>
    <w:p>
      <w:pPr>
        <w:pStyle w:val="TextBody"/>
        <w:bidi w:val="0"/>
        <w:spacing w:before="240" w:after="0"/>
        <w:jc w:val="center"/>
        <w:rPr>
          <w:rFonts w:ascii="Times New Roman;serif" w:hAnsi="Times New Roman;serif"/>
          <w:b w:val="false"/>
          <w:sz w:val="20"/>
        </w:rPr>
      </w:pPr>
      <w:r>
        <w:rPr>
          <w:rFonts w:ascii="Times New Roman;serif" w:hAnsi="Times New Roman;serif"/>
          <w:b w:val="false"/>
          <w:sz w:val="20"/>
        </w:rPr>
        <w:t>29</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serif" w:hAnsi="Times New Roman;serif"/>
          <w:b/>
          <w:sz w:val="20"/>
        </w:rPr>
      </w:pPr>
      <w:bookmarkStart w:id="21" w:name="lrmr-ex31_1.htm"/>
      <w:bookmarkStart w:id="22" w:name="kslrmrex31_1"/>
      <w:bookmarkEnd w:id="21"/>
      <w:bookmarkEnd w:id="22"/>
      <w:r>
        <w:rPr>
          <w:rFonts w:ascii="Times New Roman;serif" w:hAnsi="Times New Roman;serif"/>
          <w:b/>
          <w:sz w:val="20"/>
        </w:rPr>
        <w:t>Exhibit 31.1</w:t>
      </w:r>
      <w:r>
        <w:br w:type="page"/>
      </w:r>
    </w:p>
    <w:p>
      <w:pPr>
        <w:pStyle w:val="TextBody"/>
        <w:bidi w:val="0"/>
        <w:spacing w:before="0" w:after="12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I, Carole S. Ben-Maimon, M.D., certify that: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1. I have reviewed this Quarterly Report on Form 10-Q of Larimar Therapeutics, Inc.;</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b w:val="false"/>
          <w:sz w:val="20"/>
        </w:rPr>
      </w:pPr>
      <w:r>
        <w:rPr>
          <w:rFonts w:ascii="Times New Roman" w:hAnsi="Times New Roman"/>
          <w:b w:val="false"/>
          <w:sz w:val="20"/>
        </w:rPr>
        <w:t>3.</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4.</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Date: May 15, 2023</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Carole S. Ben-Maimon, M.D.</w:t>
            </w:r>
          </w:p>
        </w:tc>
      </w:tr>
      <w:tr>
        <w:trPr/>
        <w:tc>
          <w:tcPr>
            <w:tcW w:w="322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Carole S. Ben-Maimon, M.D.</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President and Chief Executive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serif" w:hAnsi="Times New Roman;serif"/>
          <w:b/>
          <w:sz w:val="20"/>
        </w:rPr>
      </w:pPr>
      <w:bookmarkStart w:id="23" w:name="lrmr-ex31_2.htm"/>
      <w:bookmarkStart w:id="24" w:name="kslrmrex31_2"/>
      <w:bookmarkEnd w:id="23"/>
      <w:bookmarkEnd w:id="24"/>
      <w:r>
        <w:rPr>
          <w:rFonts w:ascii="Times New Roman;serif" w:hAnsi="Times New Roman;serif"/>
          <w:b/>
          <w:sz w:val="20"/>
        </w:rPr>
        <w:t>Exhibit 31.2</w:t>
      </w:r>
      <w:r>
        <w:br w:type="page"/>
      </w:r>
    </w:p>
    <w:p>
      <w:pPr>
        <w:pStyle w:val="TextBody"/>
        <w:bidi w:val="0"/>
        <w:spacing w:before="0" w:after="120"/>
        <w:jc w:val="center"/>
        <w:rPr>
          <w:rFonts w:ascii="Times New Roman;serif" w:hAnsi="Times New Roman;serif"/>
          <w:b/>
          <w:sz w:val="20"/>
        </w:rPr>
      </w:pPr>
      <w:r>
        <w:rPr>
          <w:rFonts w:ascii="Times New Roman;serif" w:hAnsi="Times New Roman;serif"/>
          <w:b/>
          <w:sz w:val="20"/>
        </w:rPr>
        <w:t>CERTIFICATION</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I, Michael Celano, certify that: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1. I have reviewed this Quarterly Report on Form 10-Q of Larimar Therapeutics, Inc.;</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80"/>
        <w:jc w:val="left"/>
        <w:rPr>
          <w:rFonts w:ascii="Times New Roman" w:hAnsi="Times New Roman"/>
          <w:b w:val="false"/>
          <w:sz w:val="20"/>
        </w:rPr>
      </w:pPr>
      <w:r>
        <w:rPr>
          <w:rFonts w:ascii="Times New Roman" w:hAnsi="Times New Roman"/>
          <w:b w:val="false"/>
          <w:sz w:val="20"/>
        </w:rPr>
        <w:t>3.</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4.</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80"/>
        <w:jc w:val="left"/>
        <w:rPr>
          <w:rFonts w:ascii="Times New Roman" w:hAnsi="Times New Roman"/>
          <w:b w:val="false"/>
          <w:sz w:val="20"/>
        </w:rPr>
      </w:pPr>
      <w:r>
        <w:rPr>
          <w:rFonts w:ascii="Times New Roman" w:hAnsi="Times New Roman"/>
          <w:b w:val="false"/>
          <w:sz w:val="20"/>
        </w:rPr>
        <w:t>1.</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80"/>
        <w:jc w:val="left"/>
        <w:rPr>
          <w:rFonts w:ascii="Times New Roman" w:hAnsi="Times New Roman"/>
          <w:b w:val="false"/>
          <w:sz w:val="20"/>
        </w:rPr>
      </w:pPr>
      <w:r>
        <w:rPr>
          <w:rFonts w:ascii="Times New Roman" w:hAnsi="Times New Roman"/>
          <w:b w:val="false"/>
          <w:sz w:val="20"/>
        </w:rPr>
        <w:t>2.</w:t>
      </w:r>
    </w:p>
    <w:p>
      <w:pPr>
        <w:pStyle w:val="TextBody"/>
        <w:bidi w:val="0"/>
        <w:spacing w:before="0" w:after="80"/>
        <w:jc w:val="left"/>
        <w:rPr>
          <w:rFonts w:ascii="Times New Roman;serif" w:hAnsi="Times New Roman;serif"/>
          <w:b w:val="false"/>
          <w:sz w:val="20"/>
        </w:rPr>
      </w:pPr>
      <w:r>
        <w:rPr>
          <w:rFonts w:ascii="Times New Roman;serif" w:hAnsi="Times New Roman;serif"/>
          <w:b w:val="false"/>
          <w:sz w:val="20"/>
        </w:rPr>
        <w:t>Any fraud, whether or not material, that involves management or other employees who have a significant role in the registrant’s internal control over financial reporting.</w:t>
      </w:r>
    </w:p>
    <w:p>
      <w:pPr>
        <w:pStyle w:val="TextBody"/>
        <w:bidi w:val="0"/>
        <w:spacing w:before="0" w:after="0"/>
        <w:jc w:val="left"/>
        <w:rPr>
          <w:rFonts w:ascii="Times New Roman" w:hAnsi="Times New Roman"/>
          <w:sz w:val="20"/>
        </w:rPr>
      </w:pPr>
      <w:r>
        <w:rPr>
          <w:rFonts w:ascii="Times New Roman;serif" w:hAnsi="Times New Roman;serif"/>
          <w:b w:val="false"/>
          <w:sz w:val="20"/>
        </w:rPr>
        <w:t>Date: May 15, 2023</w:t>
      </w:r>
      <w:r>
        <w:rPr>
          <w:rFonts w:ascii="Times New Roman" w:hAnsi="Times New Roman"/>
          <w:sz w:val="20"/>
        </w:rPr>
        <w:t xml:space="preserve">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283"/>
              <w:jc w:val="left"/>
              <w:rPr>
                <w:sz w:val="4"/>
                <w:szCs w:val="4"/>
              </w:rPr>
            </w:pPr>
            <w:r>
              <w:rPr>
                <w:sz w:val="4"/>
                <w:szCs w:val="4"/>
              </w:rPr>
            </w:r>
          </w:p>
        </w:tc>
      </w:tr>
      <w:tr>
        <w:trPr/>
        <w:tc>
          <w:tcPr>
            <w:tcW w:w="4381" w:type="dxa"/>
            <w:tcBorders>
              <w:bottom w:val="sing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 Michael Celano</w:t>
            </w:r>
          </w:p>
        </w:tc>
      </w:tr>
      <w:tr>
        <w:trPr/>
        <w:tc>
          <w:tcPr>
            <w:tcW w:w="438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Michael Celano</w:t>
            </w:r>
          </w:p>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p>
            <w:pPr>
              <w:pStyle w:val="TableContents"/>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(Principal Financial Officer and Accounting Officer)</w:t>
            </w:r>
          </w:p>
        </w:tc>
      </w:tr>
    </w:tbl>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bookmarkStart w:id="25" w:name="lrmr-ex32_1.htm"/>
      <w:bookmarkStart w:id="26" w:name="kslrmrex32_1"/>
      <w:bookmarkEnd w:id="25"/>
      <w:bookmarkEnd w:id="26"/>
      <w:r>
        <w:rPr/>
        <w:t> </w:t>
      </w:r>
      <w:r>
        <w:br w:type="page"/>
      </w:r>
    </w:p>
    <w:p>
      <w:pPr>
        <w:pStyle w:val="TextBody"/>
        <w:bidi w:val="0"/>
        <w:spacing w:before="0" w:after="200"/>
        <w:jc w:val="right"/>
        <w:rPr>
          <w:rFonts w:ascii="Times New Roman;serif" w:hAnsi="Times New Roman;serif"/>
          <w:b/>
          <w:sz w:val="20"/>
        </w:rPr>
      </w:pPr>
      <w:r>
        <w:rPr>
          <w:rFonts w:ascii="Times New Roman;serif" w:hAnsi="Times New Roman;serif"/>
          <w:b/>
          <w:sz w:val="20"/>
        </w:rPr>
        <w:t>Exhibit 32.1</w:t>
      </w:r>
    </w:p>
    <w:p>
      <w:pPr>
        <w:pStyle w:val="TextBody"/>
        <w:bidi w:val="0"/>
        <w:spacing w:before="0" w:after="0"/>
        <w:jc w:val="center"/>
        <w:rPr>
          <w:rFonts w:ascii="Times New Roman" w:hAnsi="Times New Roman"/>
          <w:sz w:val="20"/>
        </w:rPr>
      </w:pPr>
      <w:r>
        <w:rPr>
          <w:rFonts w:ascii="Times New Roman;serif" w:hAnsi="Times New Roman;serif"/>
          <w:b/>
          <w:sz w:val="20"/>
        </w:rPr>
        <w:t>CERTIFICATION</w:t>
      </w:r>
      <w:r>
        <w:rPr>
          <w:rFonts w:ascii="Times New Roman" w:hAnsi="Times New Roman"/>
          <w:sz w:val="20"/>
        </w:rPr>
        <w:t xml:space="preserve"> </w:t>
      </w:r>
    </w:p>
    <w:p>
      <w:pPr>
        <w:pStyle w:val="TextBody"/>
        <w:bidi w:val="0"/>
        <w:spacing w:before="0" w:after="0"/>
        <w:jc w:val="center"/>
        <w:rPr>
          <w:rFonts w:ascii="Times New Roman;serif" w:hAnsi="Times New Roman;serif"/>
          <w:b/>
          <w:sz w:val="20"/>
        </w:rPr>
      </w:pPr>
      <w:r>
        <w:rPr>
          <w:rFonts w:ascii="Times New Roman;serif" w:hAnsi="Times New Roman;serif"/>
          <w:b/>
          <w:sz w:val="20"/>
        </w:rPr>
        <w:t>Pursuant to Section 906 of the Sarbanes-Oxley Act of 2002</w:t>
      </w:r>
    </w:p>
    <w:p>
      <w:pPr>
        <w:pStyle w:val="TextBody"/>
        <w:bidi w:val="0"/>
        <w:spacing w:before="0" w:after="0"/>
        <w:jc w:val="center"/>
        <w:rPr>
          <w:rFonts w:ascii="Times New Roman;serif" w:hAnsi="Times New Roman;serif"/>
          <w:b/>
          <w:sz w:val="20"/>
        </w:rPr>
      </w:pPr>
      <w:r>
        <w:rPr>
          <w:rFonts w:ascii="Times New Roman;serif" w:hAnsi="Times New Roman;serif"/>
          <w:b/>
          <w:sz w:val="20"/>
        </w:rPr>
        <w:t>(Subsections (a) and (b) of Section 1350, Chapter 63 of Title 18, United States Code)</w:t>
      </w:r>
    </w:p>
    <w:p>
      <w:pPr>
        <w:pStyle w:val="TextBody"/>
        <w:bidi w:val="0"/>
        <w:spacing w:before="0" w:after="0"/>
        <w:jc w:val="center"/>
        <w:rPr/>
      </w:pPr>
      <w:r>
        <w:rPr/>
        <w:t> </w:t>
      </w:r>
    </w:p>
    <w:p>
      <w:pPr>
        <w:pStyle w:val="TextBody"/>
        <w:bidi w:val="0"/>
        <w:spacing w:before="0" w:after="200"/>
        <w:jc w:val="left"/>
        <w:rPr>
          <w:rFonts w:ascii="Times New Roman;serif" w:hAnsi="Times New Roman;serif"/>
          <w:b w:val="false"/>
          <w:sz w:val="20"/>
        </w:rPr>
      </w:pPr>
      <w:r>
        <w:rPr>
          <w:rFonts w:ascii="Times New Roman;serif" w:hAnsi="Times New Roman;serif"/>
          <w:b w:val="false"/>
          <w:sz w:val="20"/>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pStyle w:val="TextBody"/>
        <w:bidi w:val="0"/>
        <w:spacing w:before="0" w:after="200"/>
        <w:jc w:val="left"/>
        <w:rPr>
          <w:rFonts w:ascii="Times New Roman" w:hAnsi="Times New Roman"/>
          <w:b w:val="false"/>
          <w:sz w:val="20"/>
        </w:rPr>
      </w:pPr>
      <w:r>
        <w:rPr>
          <w:rFonts w:ascii="Times New Roman" w:hAnsi="Times New Roman"/>
          <w:b w:val="false"/>
          <w:sz w:val="20"/>
        </w:rPr>
        <w:t>(1)</w:t>
      </w:r>
    </w:p>
    <w:p>
      <w:pPr>
        <w:pStyle w:val="TextBody"/>
        <w:bidi w:val="0"/>
        <w:spacing w:before="0" w:after="200"/>
        <w:jc w:val="left"/>
        <w:rPr>
          <w:rFonts w:ascii="Times New Roman;serif" w:hAnsi="Times New Roman;serif"/>
          <w:b w:val="false"/>
          <w:sz w:val="20"/>
        </w:rPr>
      </w:pPr>
      <w:r>
        <w:rPr>
          <w:rFonts w:ascii="Times New Roman;serif" w:hAnsi="Times New Roman;serif"/>
          <w:b w:val="false"/>
          <w:sz w:val="20"/>
        </w:rPr>
        <w:t>The Quarterly Report on Form 10-Q for the quarter ended March 31, 2023 (the “Report”) of the Company fully complies with the requirements of Section 13(a) or 15(d) of the Securities Exchange Act of 1934; and</w:t>
      </w:r>
    </w:p>
    <w:p>
      <w:pPr>
        <w:pStyle w:val="TextBody"/>
        <w:bidi w:val="0"/>
        <w:spacing w:before="0" w:after="240"/>
        <w:jc w:val="left"/>
        <w:rPr>
          <w:rFonts w:ascii="Times New Roman" w:hAnsi="Times New Roman"/>
          <w:b w:val="false"/>
          <w:sz w:val="20"/>
        </w:rPr>
      </w:pPr>
      <w:r>
        <w:rPr>
          <w:rFonts w:ascii="Times New Roman" w:hAnsi="Times New Roman"/>
          <w:b w:val="false"/>
          <w:sz w:val="20"/>
        </w:rPr>
        <w:t>(2)</w:t>
      </w:r>
    </w:p>
    <w:p>
      <w:pPr>
        <w:pStyle w:val="TextBody"/>
        <w:bidi w:val="0"/>
        <w:spacing w:before="0" w:after="240"/>
        <w:jc w:val="left"/>
        <w:rPr>
          <w:rFonts w:ascii="Times New Roman;serif" w:hAnsi="Times New Roman;serif"/>
          <w:b w:val="false"/>
          <w:sz w:val="20"/>
        </w:rPr>
      </w:pPr>
      <w:r>
        <w:rPr>
          <w:rFonts w:ascii="Times New Roman;serif" w:hAnsi="Times New Roman;serif"/>
          <w:b w:val="false"/>
          <w:sz w:val="20"/>
        </w:rPr>
        <w:t>The information contained in the Report fairly presents, in all material respects, the financial condition and results of operations of the Company.</w:t>
      </w:r>
    </w:p>
    <w:tbl>
      <w:tblPr>
        <w:tblW w:w="6065" w:type="dxa"/>
        <w:jc w:val="left"/>
        <w:tblInd w:w="0" w:type="dxa"/>
        <w:tblLayout w:type="fixed"/>
        <w:tblCellMar>
          <w:top w:w="28" w:type="dxa"/>
          <w:left w:w="28" w:type="dxa"/>
          <w:bottom w:w="28" w:type="dxa"/>
          <w:right w:w="28" w:type="dxa"/>
        </w:tblCellMar>
      </w:tblPr>
      <w:tblGrid>
        <w:gridCol w:w="1741"/>
        <w:gridCol w:w="146"/>
        <w:gridCol w:w="146"/>
        <w:gridCol w:w="146"/>
        <w:gridCol w:w="388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/s/ Carole S. Ben-Maimon, M.D.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Carole S. Ben-Maimon, M.D.</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President and Chief Executive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(Principal Executive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p>
        </w:tc>
      </w:tr>
      <w:tr>
        <w:trPr/>
        <w:tc>
          <w:tcPr>
            <w:tcW w:w="1741"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15, 2023</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0" w:after="0"/>
              <w:ind w:left="0" w:right="0" w:hanging="0"/>
              <w:jc w:val="left"/>
              <w:rPr/>
            </w:pPr>
            <w:r>
              <w:rPr/>
              <w:t>  </w:t>
            </w:r>
            <w:r>
              <w:rPr>
                <w:rFonts w:ascii="Times New Roman;serif" w:hAnsi="Times New Roman;serif"/>
                <w:b w:val="false"/>
                <w:sz w:val="20"/>
              </w:rPr>
              <w:t>/s/ Michael Celano</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Michael Celano</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Chief Financial Officer</w:t>
            </w:r>
          </w:p>
        </w:tc>
      </w:tr>
      <w:tr>
        <w:trPr/>
        <w:tc>
          <w:tcPr>
            <w:tcW w:w="1741"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left"/>
              <w:rPr/>
            </w:pPr>
            <w:r>
              <w:rPr/>
              <w:t>  </w:t>
            </w:r>
            <w:r>
              <w:rPr>
                <w:rFonts w:ascii="Times New Roman;serif" w:hAnsi="Times New Roman;serif"/>
                <w:b w:val="false"/>
                <w:sz w:val="20"/>
              </w:rPr>
              <w:t>(Principal Financial and Accounting Officer)</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15755</Words>
  <Characters>87527</Characters>
  <CharactersWithSpaces>104016</CharactersWithSpaces>
  <Paragraphs>2984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