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12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3660" w:right="1560" w:hanging="3644"/>
        <w:spacing w:after="0" w:line="328" w:lineRule="auto"/>
        <w:tabs>
          <w:tab w:leader="none" w:pos="5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340" w:right="1560" w:hanging="4324"/>
        <w:spacing w:after="0" w:line="360" w:lineRule="auto"/>
        <w:tabs>
          <w:tab w:leader="none" w:pos="5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ind w:right="40"/>
        <w:spacing w:after="0"/>
        <w:rPr>
          <w:sz w:val="20"/>
          <w:szCs w:val="20"/>
          <w:color w:val="auto"/>
        </w:rPr>
      </w:pPr>
      <w:r>
        <w:rPr>
          <w:rFonts w:ascii="Arial" w:cs="Arial" w:eastAsia="Arial" w:hAnsi="Arial"/>
          <w:sz w:val="18"/>
          <w:szCs w:val="18"/>
          <w:b w:val="1"/>
          <w:bCs w:val="1"/>
          <w:color w:val="auto"/>
        </w:rPr>
        <w:t>Commission File Number: 001-36510</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LARIMAR THERAPEUTICS, INC.</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060" w:type="dxa"/>
            <w:vAlign w:val="bottom"/>
          </w:tcPr>
          <w:p>
            <w:pPr>
              <w:jc w:val="center"/>
              <w:ind w:left="1502"/>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60" w:type="dxa"/>
            <w:vAlign w:val="bottom"/>
          </w:tcPr>
          <w:p>
            <w:pPr>
              <w:jc w:val="right"/>
              <w:ind w:right="2303"/>
              <w:spacing w:after="0"/>
              <w:rPr>
                <w:sz w:val="20"/>
                <w:szCs w:val="20"/>
                <w:color w:val="auto"/>
              </w:rPr>
            </w:pPr>
            <w:r>
              <w:rPr>
                <w:rFonts w:ascii="Arial" w:cs="Arial" w:eastAsia="Arial" w:hAnsi="Arial"/>
                <w:sz w:val="18"/>
                <w:szCs w:val="18"/>
                <w:b w:val="1"/>
                <w:bCs w:val="1"/>
                <w:color w:val="auto"/>
              </w:rPr>
              <w:t>20-3857670</w:t>
            </w:r>
          </w:p>
        </w:tc>
      </w:tr>
      <w:tr>
        <w:trPr>
          <w:trHeight w:val="176"/>
        </w:trPr>
        <w:tc>
          <w:tcPr>
            <w:tcW w:w="4060" w:type="dxa"/>
            <w:vAlign w:val="bottom"/>
          </w:tcPr>
          <w:p>
            <w:pPr>
              <w:jc w:val="center"/>
              <w:ind w:left="1502"/>
              <w:spacing w:after="0"/>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left="1502"/>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4060" w:type="dxa"/>
            <w:vAlign w:val="bottom"/>
          </w:tcPr>
          <w:p>
            <w:pPr>
              <w:jc w:val="center"/>
              <w:ind w:left="1482"/>
              <w:spacing w:after="0"/>
              <w:rPr>
                <w:sz w:val="20"/>
                <w:szCs w:val="20"/>
                <w:color w:val="auto"/>
              </w:rPr>
            </w:pPr>
            <w:r>
              <w:rPr>
                <w:rFonts w:ascii="Arial" w:cs="Arial" w:eastAsia="Arial" w:hAnsi="Arial"/>
                <w:sz w:val="18"/>
                <w:szCs w:val="18"/>
                <w:b w:val="1"/>
                <w:bCs w:val="1"/>
                <w:color w:val="auto"/>
                <w:w w:val="90"/>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3"/>
              <w:spacing w:after="0"/>
              <w:rPr>
                <w:sz w:val="20"/>
                <w:szCs w:val="20"/>
                <w:color w:val="auto"/>
              </w:rPr>
            </w:pPr>
            <w:r>
              <w:rPr>
                <w:rFonts w:ascii="Arial" w:cs="Arial" w:eastAsia="Arial" w:hAnsi="Arial"/>
                <w:sz w:val="18"/>
                <w:szCs w:val="18"/>
                <w:b w:val="1"/>
                <w:bCs w:val="1"/>
                <w:color w:val="auto"/>
              </w:rPr>
              <w:t>19004</w:t>
            </w:r>
          </w:p>
        </w:tc>
      </w:tr>
      <w:tr>
        <w:trPr>
          <w:trHeight w:val="230"/>
        </w:trPr>
        <w:tc>
          <w:tcPr>
            <w:tcW w:w="4060" w:type="dxa"/>
            <w:vAlign w:val="bottom"/>
          </w:tcPr>
          <w:p>
            <w:pPr>
              <w:ind w:left="2120"/>
              <w:spacing w:after="0"/>
              <w:rPr>
                <w:sz w:val="20"/>
                <w:szCs w:val="20"/>
                <w:color w:val="auto"/>
              </w:rPr>
            </w:pPr>
            <w:r>
              <w:rPr>
                <w:rFonts w:ascii="Arial" w:cs="Arial" w:eastAsia="Arial" w:hAnsi="Arial"/>
                <w:sz w:val="18"/>
                <w:szCs w:val="18"/>
                <w:b w:val="1"/>
                <w:bCs w:val="1"/>
                <w:color w:val="auto"/>
              </w:rPr>
              <w:t>Bala Cynwyd, PA</w:t>
            </w: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60" w:type="dxa"/>
            <w:vAlign w:val="bottom"/>
          </w:tcPr>
          <w:p>
            <w:pPr>
              <w:jc w:val="center"/>
              <w:ind w:right="1783"/>
              <w:spacing w:after="0"/>
              <w:rPr>
                <w:sz w:val="20"/>
                <w:szCs w:val="20"/>
                <w:color w:val="auto"/>
              </w:rPr>
            </w:pPr>
            <w:r>
              <w:rPr>
                <w:rFonts w:ascii="Arial" w:cs="Arial" w:eastAsia="Arial" w:hAnsi="Arial"/>
                <w:sz w:val="14"/>
                <w:szCs w:val="14"/>
                <w:b w:val="1"/>
                <w:bCs w:val="1"/>
                <w:color w:val="auto"/>
                <w:w w:val="88"/>
              </w:rPr>
              <w:t>(zip code)</w:t>
            </w:r>
          </w:p>
        </w:tc>
      </w:tr>
      <w:tr>
        <w:trPr>
          <w:trHeight w:val="186"/>
        </w:trPr>
        <w:tc>
          <w:tcPr>
            <w:tcW w:w="4060" w:type="dxa"/>
            <w:vAlign w:val="bottom"/>
          </w:tcPr>
          <w:p>
            <w:pPr>
              <w:jc w:val="center"/>
              <w:ind w:left="14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54"/>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Arial" w:cs="Arial" w:eastAsia="Arial" w:hAnsi="Arial"/>
                <w:sz w:val="18"/>
                <w:szCs w:val="18"/>
                <w:b w:val="1"/>
                <w:bCs w:val="1"/>
                <w:color w:val="auto"/>
                <w:w w:val="90"/>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6"/>
        </w:trPr>
        <w:tc>
          <w:tcPr>
            <w:tcW w:w="7480" w:type="dxa"/>
            <w:vAlign w:val="bottom"/>
            <w:gridSpan w:val="4"/>
          </w:tcPr>
          <w:p>
            <w:pPr>
              <w:jc w:val="center"/>
              <w:ind w:left="36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293"/>
        </w:trPr>
        <w:tc>
          <w:tcPr>
            <w:tcW w:w="4060" w:type="dxa"/>
            <w:vAlign w:val="bottom"/>
          </w:tcPr>
          <w:p>
            <w:pPr>
              <w:spacing w:after="0"/>
              <w:rPr>
                <w:sz w:val="24"/>
                <w:szCs w:val="24"/>
                <w:color w:val="auto"/>
              </w:rPr>
            </w:pPr>
          </w:p>
        </w:tc>
        <w:tc>
          <w:tcPr>
            <w:tcW w:w="34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760" w:type="dxa"/>
            <w:vAlign w:val="bottom"/>
          </w:tcPr>
          <w:p>
            <w:pPr>
              <w:spacing w:after="0"/>
              <w:rPr>
                <w:sz w:val="24"/>
                <w:szCs w:val="24"/>
                <w:color w:val="auto"/>
              </w:rPr>
            </w:pPr>
          </w:p>
        </w:tc>
      </w:tr>
      <w:tr>
        <w:trPr>
          <w:trHeight w:val="154"/>
        </w:trPr>
        <w:tc>
          <w:tcPr>
            <w:tcW w:w="40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r>
      <w:tr>
        <w:trPr>
          <w:trHeight w:val="169"/>
        </w:trPr>
        <w:tc>
          <w:tcPr>
            <w:tcW w:w="4060" w:type="dxa"/>
            <w:vAlign w:val="bottom"/>
            <w:tcBorders>
              <w:left w:val="single" w:sz="8" w:color="auto"/>
              <w:bottom w:val="single" w:sz="8" w:color="auto"/>
            </w:tcBorders>
          </w:tcPr>
          <w:p>
            <w:pPr>
              <w:jc w:val="center"/>
              <w:ind w:left="382"/>
              <w:spacing w:after="0" w:line="149" w:lineRule="exact"/>
              <w:rPr>
                <w:sz w:val="20"/>
                <w:szCs w:val="20"/>
                <w:color w:val="auto"/>
              </w:rPr>
            </w:pPr>
            <w:r>
              <w:rPr>
                <w:rFonts w:ascii="Arial" w:cs="Arial" w:eastAsia="Arial" w:hAnsi="Arial"/>
                <w:sz w:val="14"/>
                <w:szCs w:val="14"/>
                <w:color w:val="auto"/>
                <w:w w:val="92"/>
              </w:rPr>
              <w:t>Title of each class</w:t>
            </w:r>
          </w:p>
        </w:tc>
        <w:tc>
          <w:tcPr>
            <w:tcW w:w="44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Trading Symbol(s)</w:t>
            </w:r>
          </w:p>
        </w:tc>
        <w:tc>
          <w:tcPr>
            <w:tcW w:w="720" w:type="dxa"/>
            <w:vAlign w:val="bottom"/>
            <w:tcBorders>
              <w:bottom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jc w:val="center"/>
              <w:ind w:right="663"/>
              <w:spacing w:after="0" w:line="149" w:lineRule="exact"/>
              <w:rPr>
                <w:sz w:val="20"/>
                <w:szCs w:val="20"/>
                <w:color w:val="auto"/>
              </w:rPr>
            </w:pPr>
            <w:r>
              <w:rPr>
                <w:rFonts w:ascii="Arial" w:cs="Arial" w:eastAsia="Arial" w:hAnsi="Arial"/>
                <w:sz w:val="14"/>
                <w:szCs w:val="14"/>
                <w:color w:val="auto"/>
                <w:w w:val="91"/>
              </w:rPr>
              <w:t>Name of each exchange on which registered</w:t>
            </w:r>
          </w:p>
        </w:tc>
      </w:tr>
      <w:tr>
        <w:trPr>
          <w:trHeight w:val="152"/>
        </w:trPr>
        <w:tc>
          <w:tcPr>
            <w:tcW w:w="4060" w:type="dxa"/>
            <w:vAlign w:val="bottom"/>
            <w:tcBorders>
              <w:left w:val="single" w:sz="8" w:color="auto"/>
              <w:bottom w:val="single" w:sz="8" w:color="auto"/>
            </w:tcBorders>
          </w:tcPr>
          <w:p>
            <w:pPr>
              <w:jc w:val="center"/>
              <w:ind w:left="362"/>
              <w:spacing w:after="0" w:line="152" w:lineRule="exact"/>
              <w:rPr>
                <w:sz w:val="20"/>
                <w:szCs w:val="20"/>
                <w:color w:val="auto"/>
              </w:rPr>
            </w:pPr>
            <w:r>
              <w:rPr>
                <w:rFonts w:ascii="Arial" w:cs="Arial" w:eastAsia="Arial" w:hAnsi="Arial"/>
                <w:sz w:val="14"/>
                <w:szCs w:val="14"/>
                <w:color w:val="auto"/>
                <w:w w:val="92"/>
              </w:rPr>
              <w:t>Common Stock, par value $0.001 per share</w:t>
            </w:r>
          </w:p>
        </w:tc>
        <w:tc>
          <w:tcPr>
            <w:tcW w:w="4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color w:val="auto"/>
              </w:rPr>
              <w:t>LRMR</w:t>
            </w:r>
          </w:p>
        </w:tc>
        <w:tc>
          <w:tcPr>
            <w:tcW w:w="72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jc w:val="center"/>
              <w:ind w:right="663"/>
              <w:spacing w:after="0" w:line="152" w:lineRule="exact"/>
              <w:rPr>
                <w:sz w:val="20"/>
                <w:szCs w:val="20"/>
                <w:color w:val="auto"/>
              </w:rPr>
            </w:pPr>
            <w:r>
              <w:rPr>
                <w:rFonts w:ascii="Arial" w:cs="Arial" w:eastAsia="Arial" w:hAnsi="Arial"/>
                <w:sz w:val="14"/>
                <w:szCs w:val="14"/>
                <w:color w:val="auto"/>
                <w:w w:val="94"/>
              </w:rPr>
              <w:t>The Nasdaq Global Market</w:t>
            </w:r>
          </w:p>
        </w:tc>
      </w:tr>
    </w:tbl>
    <w:p>
      <w:pPr>
        <w:spacing w:after="0" w:line="125"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Smaller reporting company</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1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10, 2021, there were 17,710,450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97"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70"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62" w:lineRule="exact"/>
        <w:rPr>
          <w:sz w:val="20"/>
          <w:szCs w:val="20"/>
          <w:color w:val="auto"/>
        </w:rPr>
      </w:pPr>
    </w:p>
    <w:p>
      <w:pPr>
        <w:ind w:left="960" w:right="260"/>
        <w:spacing w:after="0" w:line="275" w:lineRule="auto"/>
        <w:rPr>
          <w:sz w:val="20"/>
          <w:szCs w:val="20"/>
          <w:color w:val="auto"/>
        </w:rPr>
      </w:pPr>
      <w:r>
        <w:rPr>
          <w:rFonts w:ascii="Arial" w:cs="Arial" w:eastAsia="Arial" w:hAnsi="Arial"/>
          <w:sz w:val="18"/>
          <w:szCs w:val="18"/>
          <w:color w:val="auto"/>
        </w:rPr>
        <w:t>our ability to successfully engage with, and satisfactorily respond to, requests for additional information from the U.S. Food and Drug Administration ("FDA") concerning the clinical hold on our investigational new drug application ("IND") for CTI-1601 and the timing and outcomes of such interactions, including our plans to submit a complete response to the clinical hold to the FDA in order to lift the clinical hold, in full or in part, and allow re-initiation of interventional clinical studies;</w:t>
      </w:r>
    </w:p>
    <w:p>
      <w:pPr>
        <w:spacing w:after="0" w:line="77"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31" w:lineRule="exact"/>
        <w:rPr>
          <w:sz w:val="20"/>
          <w:szCs w:val="20"/>
          <w:color w:val="auto"/>
        </w:rPr>
      </w:pPr>
    </w:p>
    <w:p>
      <w:pPr>
        <w:ind w:left="960" w:right="560"/>
        <w:spacing w:after="0" w:line="359" w:lineRule="auto"/>
        <w:rPr>
          <w:sz w:val="20"/>
          <w:szCs w:val="20"/>
          <w:color w:val="auto"/>
        </w:rPr>
      </w:pPr>
      <w:r>
        <w:rPr>
          <w:rFonts w:ascii="Arial" w:cs="Arial" w:eastAsia="Arial" w:hAnsi="Arial"/>
          <w:sz w:val="16"/>
          <w:szCs w:val="16"/>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17" w:lineRule="exact"/>
        <w:rPr>
          <w:sz w:val="20"/>
          <w:szCs w:val="20"/>
          <w:color w:val="auto"/>
        </w:rPr>
      </w:pPr>
    </w:p>
    <w:p>
      <w:pPr>
        <w:ind w:left="960" w:right="360"/>
        <w:spacing w:after="0" w:line="279" w:lineRule="auto"/>
        <w:rPr>
          <w:sz w:val="20"/>
          <w:szCs w:val="20"/>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products will not achieve broad market acceptance;</w:t>
      </w:r>
    </w:p>
    <w:p>
      <w:pPr>
        <w:spacing w:after="0" w:line="75" w:lineRule="exact"/>
        <w:rPr>
          <w:sz w:val="20"/>
          <w:szCs w:val="20"/>
          <w:color w:val="auto"/>
        </w:rPr>
      </w:pPr>
    </w:p>
    <w:p>
      <w:pPr>
        <w:ind w:left="960" w:right="80"/>
        <w:spacing w:after="0" w:line="324" w:lineRule="auto"/>
        <w:rPr>
          <w:sz w:val="20"/>
          <w:szCs w:val="20"/>
          <w:color w:val="auto"/>
        </w:rPr>
      </w:pPr>
      <w:r>
        <w:rPr>
          <w:rFonts w:ascii="Arial" w:cs="Arial" w:eastAsia="Arial" w:hAnsi="Arial"/>
          <w:sz w:val="17"/>
          <w:szCs w:val="17"/>
          <w:color w:val="auto"/>
        </w:rPr>
        <w:t>delays or changes in our anticipated clinical timelines, including as a result of patient recruitment, clinical and non-clinical results, changes in clinical protocols, regulatory restrictions and milestones for CTI-1601, including those associated with COVID-19;</w:t>
      </w:r>
    </w:p>
    <w:p>
      <w:pPr>
        <w:spacing w:after="0" w:line="39" w:lineRule="exact"/>
        <w:rPr>
          <w:sz w:val="20"/>
          <w:szCs w:val="20"/>
          <w:color w:val="auto"/>
        </w:rPr>
      </w:pPr>
    </w:p>
    <w:p>
      <w:pPr>
        <w:ind w:left="960" w:right="360"/>
        <w:spacing w:after="0" w:line="275" w:lineRule="auto"/>
        <w:rPr>
          <w:sz w:val="20"/>
          <w:szCs w:val="20"/>
          <w:color w:val="auto"/>
        </w:rPr>
      </w:pPr>
      <w:r>
        <w:rPr>
          <w:rFonts w:ascii="Arial" w:cs="Arial" w:eastAsia="Arial" w:hAnsi="Arial"/>
          <w:sz w:val="18"/>
          <w:szCs w:val="18"/>
          <w:color w:val="auto"/>
        </w:rPr>
        <w:t>uncertainties in obtaining successful non-clinical or clinical trial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77"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62" w:lineRule="exact"/>
        <w:rPr>
          <w:sz w:val="20"/>
          <w:szCs w:val="20"/>
          <w:color w:val="auto"/>
        </w:rPr>
      </w:pPr>
    </w:p>
    <w:p>
      <w:pPr>
        <w:ind w:left="960" w:right="460"/>
        <w:spacing w:after="0" w:line="324" w:lineRule="auto"/>
        <w:rPr>
          <w:sz w:val="20"/>
          <w:szCs w:val="20"/>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39" w:lineRule="exact"/>
        <w:rPr>
          <w:sz w:val="20"/>
          <w:szCs w:val="20"/>
          <w:color w:val="auto"/>
        </w:rPr>
      </w:pPr>
    </w:p>
    <w:p>
      <w:pPr>
        <w:ind w:left="960" w:right="200"/>
        <w:spacing w:after="0" w:line="230" w:lineRule="exact"/>
        <w:rPr>
          <w:sz w:val="20"/>
          <w:szCs w:val="20"/>
          <w:color w:val="auto"/>
        </w:rPr>
      </w:pPr>
      <w:r>
        <w:rPr>
          <w:rFonts w:ascii="Arial" w:cs="Arial" w:eastAsia="Arial" w:hAnsi="Arial"/>
          <w:sz w:val="18"/>
          <w:szCs w:val="18"/>
          <w:color w:val="auto"/>
        </w:rPr>
        <w:t>the difficulties and expenses associated with obtaining and maintaining regulatory approval for CTI</w:t>
      </w:r>
      <w:r>
        <w:rPr>
          <w:rFonts w:ascii="MS PGothic" w:cs="MS PGothic" w:eastAsia="MS PGothic" w:hAnsi="MS PGothic"/>
          <w:sz w:val="18"/>
          <w:szCs w:val="18"/>
          <w:color w:val="auto"/>
        </w:rPr>
        <w:t>‑</w:t>
      </w:r>
      <w:r>
        <w:rPr>
          <w:rFonts w:ascii="Arial" w:cs="Arial" w:eastAsia="Arial" w:hAnsi="Arial"/>
          <w:sz w:val="18"/>
          <w:szCs w:val="18"/>
          <w:color w:val="auto"/>
        </w:rPr>
        <w:t>1601 or any other product candidate we may develop in the future, and the indication and labeling under any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jc w:val="both"/>
        <w:ind w:left="960" w:right="420"/>
        <w:spacing w:after="0" w:line="279" w:lineRule="auto"/>
        <w:rPr>
          <w:sz w:val="20"/>
          <w:szCs w:val="20"/>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75" w:lineRule="exact"/>
        <w:rPr>
          <w:sz w:val="20"/>
          <w:szCs w:val="20"/>
          <w:color w:val="auto"/>
        </w:rPr>
      </w:pPr>
    </w:p>
    <w:p>
      <w:pPr>
        <w:ind w:left="960" w:right="140"/>
        <w:spacing w:after="0" w:line="275" w:lineRule="auto"/>
        <w:rPr>
          <w:sz w:val="20"/>
          <w:szCs w:val="20"/>
          <w:color w:val="auto"/>
        </w:rPr>
      </w:pPr>
      <w:r>
        <w:rPr>
          <w:rFonts w:ascii="Arial" w:cs="Arial" w:eastAsia="Arial" w:hAnsi="Arial"/>
          <w:sz w:val="18"/>
          <w:szCs w:val="18"/>
          <w:color w:val="auto"/>
        </w:rPr>
        <w:t>the availability of competing therapies and products including those that are still in clinical development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and maintain patent protection and defend our intellectual property rights against third parties;</w:t>
      </w:r>
    </w:p>
    <w:p>
      <w:pPr>
        <w:spacing w:after="0" w:line="131"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the performance of third parties upon which we depend, including third-party contract research organizations ("CROs"), and third-party suppliers, manufacturers, distributors, and logistics providers;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our relationships, and contracts with our key vendors;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recruit or retain key scientific, technical, commercial, and management personnel and to retain our executive officers;</w:t>
      </w:r>
    </w:p>
    <w:p>
      <w:pPr>
        <w:spacing w:after="0" w:line="14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2"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the extent to which health epidemics and other outbreaks of communicable diseases, including the ongoing COVID-19 pandemic, disrupt our operations, the operations of third parties on which we rely or the operations of regulatory agencies we interact with in the development of CTI-1601.</w:t>
      </w:r>
    </w:p>
    <w:p>
      <w:pPr>
        <w:spacing w:after="0" w:line="75"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4, 2021 and subsequent quarterly reports on Form 10-Q filed thereafter.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9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gridSpan w:val="11"/>
          </w:tcPr>
          <w:p>
            <w:pPr>
              <w:jc w:val="center"/>
              <w:ind w:right="35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 FINANCIAL INFORMATION</w:t>
              </w:r>
            </w:hyperlink>
          </w:p>
        </w:tc>
        <w:tc>
          <w:tcPr>
            <w:tcW w:w="540" w:type="dxa"/>
            <w:vAlign w:val="bottom"/>
          </w:tcPr>
          <w:p>
            <w:pPr>
              <w:spacing w:after="0"/>
              <w:rPr>
                <w:sz w:val="24"/>
                <w:szCs w:val="24"/>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20" w:type="dxa"/>
            <w:vAlign w:val="bottom"/>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3120" w:type="dxa"/>
            <w:vAlign w:val="bottom"/>
            <w:tcBorders>
              <w:top w:val="single" w:sz="8" w:color="0000FF"/>
            </w:tcBorders>
            <w:gridSpan w:val="5"/>
          </w:tcPr>
          <w:p>
            <w:pPr>
              <w:spacing w:after="0"/>
              <w:rPr>
                <w:sz w:val="24"/>
                <w:szCs w:val="24"/>
                <w:color w:val="auto"/>
              </w:rPr>
            </w:pPr>
          </w:p>
        </w:tc>
        <w:tc>
          <w:tcPr>
            <w:tcW w:w="35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September 30, 2021 and December 31,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Operations and Comprehensive Loss for the three and nine months ended September 30,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2021 and 2020</w:t>
              </w:r>
            </w:hyperlink>
          </w:p>
        </w:tc>
        <w:tc>
          <w:tcPr>
            <w:tcW w:w="5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Condensed Consolidated Statements of Changes in Stockholders' Equity for the three and nine months ended September 30,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2021 and 2020</w:t>
              </w:r>
            </w:hyperlink>
          </w:p>
        </w:tc>
        <w:tc>
          <w:tcPr>
            <w:tcW w:w="5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Condensed Consolidated Statements of Cash Flows for the three and nine months ended September 30, 2021 and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6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52"/>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 OTHER INFORMATION</w:t>
              </w:r>
            </w:hyperlink>
          </w:p>
        </w:tc>
        <w:tc>
          <w:tcPr>
            <w:tcW w:w="36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13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6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18"/>
        </w:trPr>
        <w:tc>
          <w:tcPr>
            <w:tcW w:w="13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320" w:type="dxa"/>
            <w:vAlign w:val="bottom"/>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8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i w:val="1"/>
          <w:iCs w:val="1"/>
          <w:color w:val="auto"/>
        </w:rPr>
        <w:t>As previously disclosed, on May 28, 2020, Zafgen, Inc., a Delaware corporation (“Zafgen”), completed a Merger with Chondrial Therapeutics, Inc., a Delaware corporation (“Chondrial”), in accordance with the terms of the Agreement and Plan of Merger (the “Merger Agreement”) entered into on December 17, 2019. Pursuant to the Merger Agreement, (i) a subsidiary of Zafgen merged with and into Chondrial, with Chondrial continuing as a wholly owned subsidiary of Zafgen and the surviving corporation of the merger and (ii) Zafgen was renamed as “Larimar Therapeutics, Inc.” (the “Merger”).</w:t>
      </w:r>
    </w:p>
    <w:p>
      <w:pPr>
        <w:spacing w:after="0" w:line="102"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For accounting purposes, the Merger has been treated as a “reverse asset acquisition” under generally accepted accounting principles in the United States (“U.S. GAAP”) and Chondrial was considered the accounting acquirer. Accordingly, Chondrial’s historical results of operations replace Larimar’s historical results of operations for all periods prior to the Merger and, for all periods following the Merger, the results of operations of the combined company are included in the Company’s condensed, consolidated financial statements.</w:t>
      </w:r>
    </w:p>
    <w:p>
      <w:pPr>
        <w:spacing w:after="0" w:line="200" w:lineRule="exact"/>
        <w:rPr>
          <w:sz w:val="20"/>
          <w:szCs w:val="20"/>
          <w:color w:val="auto"/>
        </w:rPr>
      </w:pPr>
    </w:p>
    <w:p>
      <w:pPr>
        <w:spacing w:after="0" w:line="228"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68,148</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Marketable debt securities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6,499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Pr>
          <w:p>
            <w:pPr>
              <w:spacing w:after="0"/>
              <w:rPr>
                <w:sz w:val="21"/>
                <w:szCs w:val="21"/>
                <w:color w:val="auto"/>
              </w:rPr>
            </w:pPr>
          </w:p>
        </w:tc>
      </w:tr>
      <w:tr>
        <w:trPr>
          <w:trHeight w:val="257"/>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81,253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97,952</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r>
      <w:tr>
        <w:trPr>
          <w:trHeight w:val="290"/>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1,766</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r>
      <w:tr>
        <w:trPr>
          <w:trHeight w:val="256"/>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21"/>
                <w:szCs w:val="21"/>
                <w:color w:val="auto"/>
              </w:rPr>
            </w:pPr>
          </w:p>
        </w:tc>
      </w:tr>
      <w:tr>
        <w:trPr>
          <w:trHeight w:val="250"/>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9)</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580" w:type="dxa"/>
            <w:vAlign w:val="bottom"/>
          </w:tcPr>
          <w:p>
            <w:pPr>
              <w:ind w:left="200"/>
              <w:spacing w:after="0"/>
              <w:rPr>
                <w:sz w:val="20"/>
                <w:szCs w:val="20"/>
                <w:color w:val="auto"/>
              </w:rPr>
            </w:pPr>
            <w:r>
              <w:rPr>
                <w:rFonts w:ascii="Arial" w:cs="Arial" w:eastAsia="Arial" w:hAnsi="Arial"/>
                <w:sz w:val="18"/>
                <w:szCs w:val="18"/>
                <w:color w:val="auto"/>
              </w:rPr>
              <w:t>Preferred stock; $0.001 par value per share; 5,000,000 shares authorized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as of September 30, 2021 and December 31, 2020; no shares issued and</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580" w:type="dxa"/>
            <w:vAlign w:val="bottom"/>
          </w:tcPr>
          <w:p>
            <w:pPr>
              <w:ind w:left="340"/>
              <w:spacing w:after="0"/>
              <w:rPr>
                <w:sz w:val="20"/>
                <w:szCs w:val="20"/>
                <w:color w:val="auto"/>
              </w:rPr>
            </w:pPr>
            <w:r>
              <w:rPr>
                <w:rFonts w:ascii="Arial" w:cs="Arial" w:eastAsia="Arial" w:hAnsi="Arial"/>
                <w:sz w:val="18"/>
                <w:szCs w:val="18"/>
                <w:color w:val="auto"/>
              </w:rPr>
              <w:t>outstanding as of September 30, 2021 and December 31, 2020</w:t>
            </w:r>
          </w:p>
        </w:tc>
        <w:tc>
          <w:tcPr>
            <w:tcW w:w="24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per share; 115,000,000 shares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authorized as of September 30, 2021 and December 31, 2020;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17,710,450 and 15,367,730 shares issued and outstanding as of</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179,165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155,290</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(107,116 )</w:t>
            </w: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(65,614 )</w:t>
            </w: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50"/>
        </w:trPr>
        <w:tc>
          <w:tcPr>
            <w:tcW w:w="7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72,067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58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87,938</w:t>
            </w:r>
          </w:p>
        </w:tc>
        <w:tc>
          <w:tcPr>
            <w:tcW w:w="3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104,686</w:t>
            </w:r>
          </w:p>
        </w:tc>
        <w:tc>
          <w:tcPr>
            <w:tcW w:w="100" w:type="dxa"/>
            <w:vAlign w:val="bottom"/>
          </w:tcPr>
          <w:p>
            <w:pPr>
              <w:spacing w:after="0"/>
              <w:rPr>
                <w:sz w:val="21"/>
                <w:szCs w:val="2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-4582795</wp:posOffset>
            </wp:positionV>
            <wp:extent cx="188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-4582795</wp:posOffset>
            </wp:positionV>
            <wp:extent cx="685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-3590925</wp:posOffset>
            </wp:positionV>
            <wp:extent cx="188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-3573780</wp:posOffset>
            </wp:positionV>
            <wp:extent cx="188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-2242185</wp:posOffset>
            </wp:positionV>
            <wp:extent cx="1885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-2242185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88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14,028</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32,104</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41,379</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(16,730 )</w:t>
            </w:r>
          </w:p>
        </w:tc>
        <w:tc>
          <w:tcPr>
            <w:tcW w:w="3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(10,335 )</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(41,379 )</w:t>
            </w:r>
          </w:p>
        </w:tc>
        <w:tc>
          <w:tcPr>
            <w:tcW w:w="3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(28,408 )</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(75 )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(123 )</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(16,805 )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(10,274 )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(41,502 )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(28,278 )</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(0.92 )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(0.64 )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Weighted average common shares outstanding, basic and</w:t>
            </w:r>
          </w:p>
        </w:tc>
        <w:tc>
          <w:tcPr>
            <w:tcW w:w="30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18,287,924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15,984,609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16,768,458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10,505,826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(16,805 )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(10,274 )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(41,502 )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(28,278 )</w:t>
            </w:r>
          </w:p>
        </w:tc>
        <w:tc>
          <w:tcPr>
            <w:tcW w:w="0" w:type="dxa"/>
            <w:vAlign w:val="bottom"/>
          </w:tcPr>
          <w:p>
            <w:pPr>
              <w:spacing w:after="0"/>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debt securities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3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Pr>
          <w:p>
            <w:pPr>
              <w:ind w:left="380"/>
              <w:spacing w:after="0"/>
              <w:rPr>
                <w:sz w:val="20"/>
                <w:szCs w:val="20"/>
                <w:color w:val="auto"/>
              </w:rPr>
            </w:pPr>
            <w:r>
              <w:rPr>
                <w:rFonts w:ascii="Arial" w:cs="Arial" w:eastAsia="Arial" w:hAnsi="Arial"/>
                <w:sz w:val="18"/>
                <w:szCs w:val="18"/>
                <w:color w:val="auto"/>
              </w:rPr>
              <w:t>Total other comprehensive loss</w:t>
            </w:r>
          </w:p>
        </w:tc>
        <w:tc>
          <w:tcPr>
            <w:tcW w:w="3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(16,806 )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(10,273 )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(41,503 )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(28,280 )</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-2216785</wp:posOffset>
            </wp:positionV>
            <wp:extent cx="1543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-2216785</wp:posOffset>
            </wp:positionV>
            <wp:extent cx="1454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-2216785</wp:posOffset>
            </wp:positionV>
            <wp:extent cx="1371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-1542415</wp:posOffset>
            </wp:positionV>
            <wp:extent cx="154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-1525270</wp:posOffset>
            </wp:positionV>
            <wp:extent cx="154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-1542415</wp:posOffset>
            </wp:positionV>
            <wp:extent cx="145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-1525270</wp:posOffset>
            </wp:positionV>
            <wp:extent cx="145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-1542415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-1525270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-1045210</wp:posOffset>
            </wp:positionV>
            <wp:extent cx="154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-1028065</wp:posOffset>
            </wp:positionV>
            <wp:extent cx="154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-1045210</wp:posOffset>
            </wp:positionV>
            <wp:extent cx="1454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-1028065</wp:posOffset>
            </wp:positionV>
            <wp:extent cx="145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-1045210</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-1028065</wp:posOffset>
            </wp:positionV>
            <wp:extent cx="137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-365125</wp:posOffset>
            </wp:positionV>
            <wp:extent cx="1543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-365125</wp:posOffset>
            </wp:positionV>
            <wp:extent cx="1454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-365125</wp:posOffset>
            </wp:positionV>
            <wp:extent cx="1371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154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45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454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214"/>
        </w:trPr>
        <w:tc>
          <w:tcPr>
            <w:tcW w:w="408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r>
      <w:tr>
        <w:trPr>
          <w:trHeight w:val="190"/>
        </w:trPr>
        <w:tc>
          <w:tcPr>
            <w:tcW w:w="4080" w:type="dxa"/>
            <w:vAlign w:val="bottom"/>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 Value</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6"/>
                <w:szCs w:val="16"/>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15,367,730</w:t>
            </w:r>
          </w:p>
        </w:tc>
        <w:tc>
          <w:tcPr>
            <w:tcW w:w="1020" w:type="dxa"/>
            <w:vAlign w:val="bottom"/>
            <w:gridSpan w:val="2"/>
          </w:tcPr>
          <w:p>
            <w:pPr>
              <w:jc w:val="right"/>
              <w:ind w:right="63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155,290</w:t>
            </w:r>
          </w:p>
        </w:tc>
        <w:tc>
          <w:tcPr>
            <w:tcW w:w="38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(65,614 )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89,692</w:t>
            </w:r>
          </w:p>
        </w:tc>
        <w:tc>
          <w:tcPr>
            <w:tcW w:w="80" w:type="dxa"/>
            <w:vAlign w:val="bottom"/>
          </w:tcPr>
          <w:p>
            <w:pPr>
              <w:spacing w:after="0"/>
              <w:rPr>
                <w:sz w:val="21"/>
                <w:szCs w:val="2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FF0FC"/>
          </w:tcPr>
          <w:p>
            <w:pPr>
              <w:spacing w:after="0"/>
              <w:rPr>
                <w:sz w:val="22"/>
                <w:szCs w:val="22"/>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(12,088 )</w:t>
            </w: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(12,088 )</w:t>
            </w: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March 31,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15,367,730</w:t>
            </w:r>
          </w:p>
        </w:tc>
        <w:tc>
          <w:tcPr>
            <w:tcW w:w="20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156,470</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(77,702 )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78,784</w:t>
            </w:r>
          </w:p>
        </w:tc>
        <w:tc>
          <w:tcPr>
            <w:tcW w:w="80" w:type="dxa"/>
            <w:vAlign w:val="bottom"/>
            <w:shd w:val="clear" w:color="auto" w:fill="CFF0FC"/>
          </w:tcPr>
          <w:p>
            <w:pPr>
              <w:spacing w:after="0"/>
              <w:rPr>
                <w:sz w:val="24"/>
                <w:szCs w:val="24"/>
                <w:color w:val="auto"/>
              </w:rPr>
            </w:pPr>
          </w:p>
        </w:tc>
      </w:tr>
      <w:tr>
        <w:trPr>
          <w:trHeight w:val="237"/>
        </w:trPr>
        <w:tc>
          <w:tcPr>
            <w:tcW w:w="4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Borders>
              <w:top w:val="single" w:sz="8" w:color="CFF0FC"/>
            </w:tcBorders>
          </w:tcPr>
          <w:p>
            <w:pPr>
              <w:spacing w:after="0"/>
              <w:rPr>
                <w:sz w:val="20"/>
                <w:szCs w:val="20"/>
                <w:color w:val="auto"/>
              </w:rPr>
            </w:pPr>
          </w:p>
        </w:tc>
      </w:tr>
      <w:tr>
        <w:trPr>
          <w:trHeight w:val="25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(12,609 )</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(12,609 )</w:t>
            </w:r>
          </w:p>
        </w:tc>
      </w:tr>
      <w:tr>
        <w:trPr>
          <w:trHeight w:val="20"/>
        </w:trPr>
        <w:tc>
          <w:tcPr>
            <w:tcW w:w="4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2021</w:t>
            </w:r>
          </w:p>
        </w:tc>
        <w:tc>
          <w:tcPr>
            <w:tcW w:w="1040" w:type="dxa"/>
            <w:vAlign w:val="bottom"/>
          </w:tcPr>
          <w:p>
            <w:pPr>
              <w:jc w:val="right"/>
              <w:spacing w:after="0"/>
              <w:rPr>
                <w:sz w:val="20"/>
                <w:szCs w:val="20"/>
                <w:color w:val="auto"/>
              </w:rPr>
            </w:pPr>
            <w:r>
              <w:rPr>
                <w:rFonts w:ascii="Arial" w:cs="Arial" w:eastAsia="Arial" w:hAnsi="Arial"/>
                <w:sz w:val="18"/>
                <w:szCs w:val="18"/>
                <w:color w:val="auto"/>
              </w:rPr>
              <w:t>15,367,730</w:t>
            </w:r>
          </w:p>
        </w:tc>
        <w:tc>
          <w:tcPr>
            <w:tcW w:w="200" w:type="dxa"/>
            <w:vAlign w:val="bottom"/>
          </w:tcPr>
          <w:p>
            <w:pPr>
              <w:spacing w:after="0"/>
              <w:rPr>
                <w:sz w:val="21"/>
                <w:szCs w:val="21"/>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157,820</w:t>
            </w:r>
          </w:p>
        </w:tc>
        <w:tc>
          <w:tcPr>
            <w:tcW w:w="1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(90,311 )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67,525</w:t>
            </w:r>
          </w:p>
        </w:tc>
        <w:tc>
          <w:tcPr>
            <w:tcW w:w="80" w:type="dxa"/>
            <w:vAlign w:val="bottom"/>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FF0FC"/>
          </w:tcPr>
          <w:p>
            <w:pPr>
              <w:spacing w:after="0"/>
              <w:rPr>
                <w:sz w:val="21"/>
                <w:szCs w:val="2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Issuance of Common Stock, net</w:t>
            </w:r>
          </w:p>
        </w:tc>
        <w:tc>
          <w:tcPr>
            <w:tcW w:w="1040" w:type="dxa"/>
            <w:vAlign w:val="bottom"/>
          </w:tcPr>
          <w:p>
            <w:pPr>
              <w:jc w:val="right"/>
              <w:spacing w:after="0"/>
              <w:rPr>
                <w:sz w:val="20"/>
                <w:szCs w:val="20"/>
                <w:color w:val="auto"/>
              </w:rPr>
            </w:pPr>
            <w:r>
              <w:rPr>
                <w:rFonts w:ascii="Arial" w:cs="Arial" w:eastAsia="Arial" w:hAnsi="Arial"/>
                <w:sz w:val="18"/>
                <w:szCs w:val="18"/>
                <w:color w:val="auto"/>
              </w:rPr>
              <w:t>2,342,720</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19,882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19,885</w:t>
            </w:r>
          </w:p>
        </w:tc>
        <w:tc>
          <w:tcPr>
            <w:tcW w:w="80" w:type="dxa"/>
            <w:vAlign w:val="bottom"/>
          </w:tcPr>
          <w:p>
            <w:pPr>
              <w:spacing w:after="0"/>
              <w:rPr>
                <w:sz w:val="21"/>
                <w:szCs w:val="2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(16,805 )</w:t>
            </w: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(16,805 )</w:t>
            </w: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September 30, 2021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17,710,450</w:t>
            </w:r>
          </w:p>
        </w:tc>
        <w:tc>
          <w:tcPr>
            <w:tcW w:w="200" w:type="dxa"/>
            <w:vAlign w:val="bottom"/>
            <w:shd w:val="clear" w:color="auto" w:fill="CFF0FC"/>
          </w:tcPr>
          <w:p>
            <w:pPr>
              <w:spacing w:after="0"/>
              <w:rPr>
                <w:sz w:val="23"/>
                <w:szCs w:val="23"/>
                <w:color w:val="auto"/>
              </w:rPr>
            </w:pP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179,165</w:t>
            </w:r>
          </w:p>
        </w:tc>
        <w:tc>
          <w:tcPr>
            <w:tcW w:w="18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(107,116 )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72,067</w:t>
            </w:r>
          </w:p>
        </w:tc>
        <w:tc>
          <w:tcPr>
            <w:tcW w:w="80" w:type="dxa"/>
            <w:vAlign w:val="bottom"/>
            <w:shd w:val="clear" w:color="auto" w:fill="CFF0FC"/>
          </w:tcPr>
          <w:p>
            <w:pPr>
              <w:spacing w:after="0"/>
              <w:rPr>
                <w:sz w:val="23"/>
                <w:szCs w:val="23"/>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-1397000</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-1379220</wp:posOffset>
            </wp:positionV>
            <wp:extent cx="128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-1397000</wp:posOffset>
            </wp:positionV>
            <wp:extent cx="128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-1379220</wp:posOffset>
            </wp:positionV>
            <wp:extent cx="128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-1397000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-1379220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-1397000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-1379220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-1397000</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-1379220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-1397000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-1379220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-1042035</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-1042035</wp:posOffset>
            </wp:positionV>
            <wp:extent cx="1289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-1042035</wp:posOffset>
            </wp:positionV>
            <wp:extent cx="1200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-1042035</wp:posOffset>
            </wp:positionV>
            <wp:extent cx="1200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-1042035</wp:posOffset>
            </wp:positionV>
            <wp:extent cx="1200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-1042035</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-8255</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128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(CONTINUED)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5"/>
        </w:trPr>
        <w:tc>
          <w:tcPr>
            <w:tcW w:w="408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 Value</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1020" w:type="dxa"/>
            <w:vAlign w:val="bottom"/>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22,432</w:t>
            </w:r>
          </w:p>
        </w:tc>
        <w:tc>
          <w:tcPr>
            <w:tcW w:w="38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(23,132 )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Capital contributions from related party</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(6,674 )</w:t>
            </w: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(6,674 )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March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6,091,250</w:t>
            </w:r>
          </w:p>
        </w:tc>
        <w:tc>
          <w:tcPr>
            <w:tcW w:w="20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w:t>
            </w:r>
          </w:p>
        </w:tc>
        <w:tc>
          <w:tcPr>
            <w:tcW w:w="18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(29,806 )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Capital contributions from related party</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Merger with Zafgen Inc.</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37,116</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20"/>
              <w:spacing w:after="0"/>
              <w:rPr>
                <w:sz w:val="20"/>
                <w:szCs w:val="20"/>
                <w:color w:val="auto"/>
              </w:rPr>
            </w:pPr>
            <w:r>
              <w:rPr>
                <w:rFonts w:ascii="Arial" w:cs="Arial" w:eastAsia="Arial" w:hAnsi="Arial"/>
                <w:sz w:val="18"/>
                <w:szCs w:val="18"/>
                <w:color w:val="auto"/>
                <w:w w:val="94"/>
              </w:rPr>
              <w:t>Private Placement of common shares and pre-funded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6,140,619</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75,344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75,350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warrants, net of transaction costs</w:t>
            </w: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(11,330 )</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(11,330 )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2020</w:t>
            </w:r>
          </w:p>
        </w:tc>
        <w:tc>
          <w:tcPr>
            <w:tcW w:w="1040" w:type="dxa"/>
            <w:vAlign w:val="bottom"/>
          </w:tcPr>
          <w:p>
            <w:pPr>
              <w:jc w:val="right"/>
              <w:spacing w:after="0"/>
              <w:rPr>
                <w:sz w:val="20"/>
                <w:szCs w:val="20"/>
                <w:color w:val="auto"/>
              </w:rPr>
            </w:pPr>
            <w:r>
              <w:rPr>
                <w:rFonts w:ascii="Arial" w:cs="Arial" w:eastAsia="Arial" w:hAnsi="Arial"/>
                <w:sz w:val="18"/>
                <w:szCs w:val="18"/>
                <w:color w:val="auto"/>
              </w:rPr>
              <w:t>15,356,206</w:t>
            </w:r>
          </w:p>
        </w:tc>
        <w:tc>
          <w:tcPr>
            <w:tcW w:w="200" w:type="dxa"/>
            <w:vAlign w:val="bottom"/>
          </w:tcPr>
          <w:p>
            <w:pPr>
              <w:spacing w:after="0"/>
              <w:rPr>
                <w:sz w:val="21"/>
                <w:szCs w:val="21"/>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153,668</w:t>
            </w:r>
          </w:p>
        </w:tc>
        <w:tc>
          <w:tcPr>
            <w:tcW w:w="1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(41,136 )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112,544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(10,274 )</w:t>
            </w: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(10,274 )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Balances as of September 30, 2020</w:t>
            </w:r>
          </w:p>
        </w:tc>
        <w:tc>
          <w:tcPr>
            <w:tcW w:w="1040" w:type="dxa"/>
            <w:vAlign w:val="bottom"/>
          </w:tcPr>
          <w:p>
            <w:pPr>
              <w:jc w:val="right"/>
              <w:spacing w:after="0"/>
              <w:rPr>
                <w:sz w:val="20"/>
                <w:szCs w:val="20"/>
                <w:color w:val="auto"/>
              </w:rPr>
            </w:pPr>
            <w:r>
              <w:rPr>
                <w:rFonts w:ascii="Arial" w:cs="Arial" w:eastAsia="Arial" w:hAnsi="Arial"/>
                <w:sz w:val="18"/>
                <w:szCs w:val="18"/>
                <w:color w:val="auto"/>
              </w:rPr>
              <w:t>15,356,206</w:t>
            </w:r>
          </w:p>
        </w:tc>
        <w:tc>
          <w:tcPr>
            <w:tcW w:w="200" w:type="dxa"/>
            <w:vAlign w:val="bottom"/>
          </w:tcPr>
          <w:p>
            <w:pPr>
              <w:spacing w:after="0"/>
              <w:rPr>
                <w:sz w:val="21"/>
                <w:szCs w:val="21"/>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154,038</w:t>
            </w:r>
          </w:p>
        </w:tc>
        <w:tc>
          <w:tcPr>
            <w:tcW w:w="1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(51,410 )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102,641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-2030730</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-2014220</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-2030730</wp:posOffset>
            </wp:positionV>
            <wp:extent cx="128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-2014220</wp:posOffset>
            </wp:positionV>
            <wp:extent cx="128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-2030730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-2014220</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-2030730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-2014220</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-2030730</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-2014220</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-2030730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-2014220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-879475</wp:posOffset>
            </wp:positionV>
            <wp:extent cx="1289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-879475</wp:posOffset>
            </wp:positionV>
            <wp:extent cx="1289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-879475</wp:posOffset>
            </wp:positionV>
            <wp:extent cx="1200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-879475</wp:posOffset>
            </wp:positionV>
            <wp:extent cx="1200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-879475</wp:posOffset>
            </wp:positionV>
            <wp:extent cx="1200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-879475</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-193675</wp:posOffset>
            </wp:positionV>
            <wp:extent cx="12890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-193675</wp:posOffset>
            </wp:positionV>
            <wp:extent cx="12890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-193675</wp:posOffset>
            </wp:positionV>
            <wp:extent cx="1200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1200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1200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(41,502 )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(28,278 )</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3,993</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r>
      <w:tr>
        <w:trPr>
          <w:trHeight w:val="263"/>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fixed asset</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94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r>
      <w:tr>
        <w:trPr>
          <w:trHeight w:val="263"/>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premium on marketable securities</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(12 )</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(1,840 )</w:t>
            </w:r>
          </w:p>
        </w:tc>
      </w:tr>
      <w:tr>
        <w:trPr>
          <w:trHeight w:val="250"/>
        </w:trPr>
        <w:tc>
          <w:tcPr>
            <w:tcW w:w="79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(877 )</w:t>
            </w: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(4,193 )</w:t>
            </w:r>
          </w:p>
        </w:tc>
      </w:tr>
      <w:tr>
        <w:trPr>
          <w:trHeight w:val="263"/>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38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r>
      <w:tr>
        <w:trPr>
          <w:trHeight w:val="263"/>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(378 )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(281 )</w:t>
            </w:r>
          </w:p>
        </w:tc>
      </w:tr>
      <w:tr>
        <w:trPr>
          <w:trHeight w:val="250"/>
        </w:trPr>
        <w:tc>
          <w:tcPr>
            <w:tcW w:w="79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(252 )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(34,187 )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(32,342 )</w:t>
            </w:r>
          </w:p>
        </w:tc>
      </w:tr>
      <w:tr>
        <w:trPr>
          <w:trHeight w:val="250"/>
        </w:trPr>
        <w:tc>
          <w:tcPr>
            <w:tcW w:w="79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(324 )</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(63 )</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Purchase of marketable debt securities</w:t>
            </w:r>
          </w:p>
        </w:tc>
        <w:tc>
          <w:tcPr>
            <w:tcW w:w="320" w:type="dxa"/>
            <w:vAlign w:val="bottom"/>
          </w:tcPr>
          <w:p>
            <w:pPr>
              <w:spacing w:after="0"/>
              <w:rPr>
                <w:sz w:val="21"/>
                <w:szCs w:val="21"/>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(8,247 )</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Maturities and sales of marketable debt securities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acquired in connection with the Merger</w:t>
            </w:r>
          </w:p>
        </w:tc>
        <w:tc>
          <w:tcPr>
            <w:tcW w:w="320" w:type="dxa"/>
            <w:vAlign w:val="bottom"/>
          </w:tcPr>
          <w:p>
            <w:pPr>
              <w:spacing w:after="0"/>
              <w:rPr>
                <w:sz w:val="21"/>
                <w:szCs w:val="21"/>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41,934</w:t>
            </w:r>
          </w:p>
        </w:tc>
        <w:tc>
          <w:tcPr>
            <w:tcW w:w="100" w:type="dxa"/>
            <w:vAlign w:val="bottom"/>
          </w:tcPr>
          <w:p>
            <w:pPr>
              <w:spacing w:after="0"/>
              <w:rPr>
                <w:sz w:val="21"/>
                <w:szCs w:val="21"/>
                <w:color w:val="auto"/>
              </w:rPr>
            </w:pPr>
          </w:p>
        </w:tc>
      </w:tr>
      <w:tr>
        <w:trPr>
          <w:trHeight w:val="257"/>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Merger transaction costs</w:t>
            </w:r>
          </w:p>
        </w:tc>
        <w:tc>
          <w:tcPr>
            <w:tcW w:w="32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(1,236 )</w:t>
            </w:r>
          </w:p>
        </w:tc>
      </w:tr>
      <w:tr>
        <w:trPr>
          <w:trHeight w:val="250"/>
        </w:trPr>
        <w:tc>
          <w:tcPr>
            <w:tcW w:w="794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58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40,635</w:t>
            </w:r>
          </w:p>
        </w:tc>
        <w:tc>
          <w:tcPr>
            <w:tcW w:w="100" w:type="dxa"/>
            <w:vAlign w:val="bottom"/>
            <w:tcBorders>
              <w:top w:val="single" w:sz="8" w:color="CFF0FC"/>
            </w:tcBorders>
          </w:tcPr>
          <w:p>
            <w:pPr>
              <w:spacing w:after="0"/>
              <w:rPr>
                <w:sz w:val="21"/>
                <w:szCs w:val="21"/>
                <w:color w:val="auto"/>
              </w:rPr>
            </w:pPr>
          </w:p>
        </w:tc>
      </w:tr>
      <w:tr>
        <w:trPr>
          <w:trHeight w:val="25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Capital contribution from related party</w:t>
            </w:r>
          </w:p>
        </w:tc>
        <w:tc>
          <w:tcPr>
            <w:tcW w:w="320" w:type="dxa"/>
            <w:vAlign w:val="bottom"/>
          </w:tcPr>
          <w:p>
            <w:pPr>
              <w:spacing w:after="0"/>
              <w:rPr>
                <w:sz w:val="21"/>
                <w:szCs w:val="21"/>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21"/>
                <w:szCs w:val="21"/>
                <w:color w:val="auto"/>
              </w:rPr>
            </w:pPr>
          </w:p>
        </w:tc>
      </w:tr>
      <w:tr>
        <w:trPr>
          <w:trHeight w:val="25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issuance of equity securities, net of issuance costs</w:t>
            </w:r>
          </w:p>
        </w:tc>
        <w:tc>
          <w:tcPr>
            <w:tcW w:w="3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19,885</w:t>
            </w:r>
          </w:p>
        </w:tc>
        <w:tc>
          <w:tcPr>
            <w:tcW w:w="5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940" w:type="dxa"/>
            <w:vAlign w:val="bottom"/>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19,885</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93,345</w:t>
            </w:r>
          </w:p>
        </w:tc>
        <w:tc>
          <w:tcPr>
            <w:tcW w:w="100" w:type="dxa"/>
            <w:vAlign w:val="bottom"/>
          </w:tcPr>
          <w:p>
            <w:pPr>
              <w:spacing w:after="0"/>
              <w:rPr>
                <w:sz w:val="21"/>
                <w:szCs w:val="21"/>
                <w:color w:val="auto"/>
              </w:rPr>
            </w:pPr>
          </w:p>
        </w:tc>
      </w:tr>
      <w:tr>
        <w:trPr>
          <w:trHeight w:val="256"/>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5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101,638</w:t>
            </w:r>
          </w:p>
        </w:tc>
        <w:tc>
          <w:tcPr>
            <w:tcW w:w="100" w:type="dxa"/>
            <w:vAlign w:val="bottom"/>
            <w:shd w:val="clear" w:color="auto" w:fill="CFF0FC"/>
          </w:tcPr>
          <w:p>
            <w:pPr>
              <w:spacing w:after="0"/>
              <w:rPr>
                <w:sz w:val="22"/>
                <w:szCs w:val="22"/>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69,487</w:t>
            </w:r>
          </w:p>
        </w:tc>
        <w:tc>
          <w:tcPr>
            <w:tcW w:w="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r>
      <w:tr>
        <w:trPr>
          <w:trHeight w:val="250"/>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72,864</w:t>
            </w:r>
          </w:p>
        </w:tc>
        <w:tc>
          <w:tcPr>
            <w:tcW w:w="5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Fair value of net assets acquired in the Merger, including $1.0 million of marketable debt securities and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excluding cash acquired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(4,815 )</w:t>
            </w:r>
          </w:p>
        </w:tc>
      </w:tr>
      <w:tr>
        <w:trPr>
          <w:trHeight w:val="250"/>
        </w:trPr>
        <w:tc>
          <w:tcPr>
            <w:tcW w:w="7940" w:type="dxa"/>
            <w:vAlign w:val="bottom"/>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Merger transaction costs included in accounts payable and accrued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2"/>
                <w:szCs w:val="22"/>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-3288030</wp:posOffset>
            </wp:positionV>
            <wp:extent cx="3771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-3288030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-2302510</wp:posOffset>
            </wp:positionV>
            <wp:extent cx="37719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-1633855</wp:posOffset>
            </wp:positionV>
            <wp:extent cx="3771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-956310</wp:posOffset>
            </wp:positionV>
            <wp:extent cx="37719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Clinical Development, Nature of the Business, COVID-19 Risk and Basis of Presentation</w:t>
      </w:r>
    </w:p>
    <w:p>
      <w:pPr>
        <w:spacing w:after="0" w:line="135"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Larimar Therapeutics, Inc., together with its subsidiaries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w:t>
      </w:r>
    </w:p>
    <w:p>
      <w:pPr>
        <w:spacing w:after="0" w:line="83" w:lineRule="exact"/>
        <w:rPr>
          <w:sz w:val="20"/>
          <w:szCs w:val="20"/>
          <w:color w:val="auto"/>
        </w:rPr>
      </w:pPr>
    </w:p>
    <w:p>
      <w:pPr>
        <w:ind w:right="180" w:firstLine="509"/>
        <w:spacing w:after="0" w:line="290" w:lineRule="auto"/>
        <w:rPr>
          <w:sz w:val="20"/>
          <w:szCs w:val="20"/>
          <w:color w:val="auto"/>
        </w:rPr>
      </w:pPr>
      <w:r>
        <w:rPr>
          <w:rFonts w:ascii="Arial" w:cs="Arial" w:eastAsia="Arial" w:hAnsi="Arial"/>
          <w:sz w:val="17"/>
          <w:szCs w:val="17"/>
          <w:color w:val="auto"/>
        </w:rPr>
        <w:t>In May 2021, Larimar reported positive topline data from its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spacing w:after="0" w:line="6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On May 25, 2021 the United States Food and Drug Administration ("FDA") placed a clinical hold on the CTI-1601 clinical program following the Company’s notification to the FDA of mortalities which occurred at the highest dose levels in an ongoing 180-day non-human primate ("NHP") toxicology study, which is designed to support extended dosing of patients with CTI-1601. In the clinical hold letter, the FDA stated that it needs a full study report from the ongoing NHP study and that Larimar may not initiate additional clinical trials until the company has submitted the report and received notification from the FDA that additional clinical trials may commence. At the time of the FDA clinical hold, the Company had no interventional clinical trials with patients enrolled or enrolling.</w:t>
      </w:r>
    </w:p>
    <w:p>
      <w:pPr>
        <w:spacing w:after="0" w:line="8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July 2021, the Company completed dosing in the NHP toxicology study discussed above. The Company is currently collecting and analyzing data from the study. There is no way to predict the timing of the FDA’s response (which the Company anticipates will not be received prior to the first quarter of 2022) or whether the FDA will require additional data or testing before lifting the clinical hold on CTI-1601 in full or in part. While the Company expects to initiate its Jive open-label extension and pediatric MAD trials in the first half of 2022, the timing of these trials could be delayed or modified depending on the results of the NHP toxicology study and/or the FDA's response to these results and any other data the Company will provide in its complete response to the clinical hold.</w:t>
      </w:r>
    </w:p>
    <w:p>
      <w:pPr>
        <w:spacing w:after="0" w:line="83"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8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The pandemic resulted in the temporary stoppage of the Company’s CTI-1601 Phase 1 clinical trials in patients with Friedreich’s ataxia in March 2020. In July 2020, the Company resumed these clinical trials, and has since completed dosing of both its single ascending dose and multiple ascending dose clinical trials. 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regions of the country. The incidence of variants of COVID-19, has been increasing particularly among unvaccinated individuals and the recent delta variant is proving to be more easily spread than earlier variants.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0" w:name="page11"/>
    <w:bookmarkEnd w:id="10"/>
    <w:p>
      <w:pPr>
        <w:ind w:right="40"/>
        <w:spacing w:after="0" w:line="315" w:lineRule="auto"/>
        <w:rPr>
          <w:sz w:val="20"/>
          <w:szCs w:val="20"/>
          <w:color w:val="auto"/>
        </w:rPr>
      </w:pPr>
      <w:r>
        <w:rPr>
          <w:rFonts w:ascii="Arial" w:cs="Arial" w:eastAsia="Arial" w:hAnsi="Arial"/>
          <w:sz w:val="16"/>
          <w:szCs w:val="16"/>
          <w:color w:val="auto"/>
        </w:rPr>
        <w:t>The low vaccination rate, the spread of variants,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additional booster doses which could make COVID-19 a long-term infectious disease concern. The Company’s business, results of operations, financial condition and cash flows could be materially and adversely affected. Specifically, the Company could experience additional delays in future clinical trial timelines as a result of additional travel and hospital restrictions related to the COVID-19 pandemic which may be imposed or could experience supply shortages or manufacturer shutdowns impacting the manufacture of drug substance or drug product, which could also impact clinical trial timelines. The financial statements do not reflect any adjustments as a result of the pandemic.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Zafgen</w:t>
      </w:r>
    </w:p>
    <w:p>
      <w:pPr>
        <w:spacing w:after="0" w:line="13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77"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 xml:space="preserve">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former shareholders of Chondrial owned a substantial majority of the voting rights of the combined company; (2) the majority of the board of directors of the combined company was composed of directors designated by Chondrial under the terms of the Merger Agreement; and (3) existing members of Chondrial management constituted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As a result, the historical financial statements of Chondrial are the historical financial statements of the combined company. As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accounted for as an asset acquisition, goodwill has not been recorded within the condensed consolidated balance sheet.</w:t>
      </w:r>
    </w:p>
    <w:p>
      <w:pPr>
        <w:spacing w:after="0" w:line="4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6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 owned subsidiary of the Company. In December 2020, Chondrial Therapeutics was legally merged into Larimar Therapeutics, Inc. As used herein, the words “the Company” refers to, for periods following the Merger, Larimar, together with its subsidiaries, and for periods prior to the Merger, Chondrial Therapeutics Inc., and its direct and indirect subsidiaries, as applicable.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The condensed consolidated financial statements include the accounts of Larimar and its wholly owned subsidiaries. All intercompany balances and transactions have been eliminated. The accompanying condensed consolidated financial statements have been prepared in conformity with GAAP. Unless otherwise noted, all references to common stock share and per share amounts have also been adjusted to reflect the Exchange Ratio.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On May 28, 2020, immediately prior to the closing of the Merger, Zafgen effected the Reverse Stock Split. Accordingly, all share and per share amounts for all periods presented in the accompanying condensed consolidated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ind w:right="420"/>
        <w:spacing w:after="0" w:line="261" w:lineRule="auto"/>
        <w:rPr>
          <w:sz w:val="20"/>
          <w:szCs w:val="20"/>
          <w:color w:val="auto"/>
        </w:rPr>
      </w:pPr>
      <w:r>
        <w:rPr>
          <w:rFonts w:ascii="Arial" w:cs="Arial" w:eastAsia="Arial" w:hAnsi="Arial"/>
          <w:sz w:val="18"/>
          <w:szCs w:val="18"/>
          <w:color w:val="auto"/>
        </w:rPr>
        <w:t>financial statements and notes thereto have been adjusted retroactively, where applicable, to reflect the Reverse Stock Split. No fractional shares were issued in connection with the Reverse Stock Split.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Assessment</w:t>
      </w:r>
    </w:p>
    <w:p>
      <w:pPr>
        <w:spacing w:after="0" w:line="131"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w:t>
      </w:r>
      <w:r>
        <w:rPr>
          <w:rFonts w:ascii="Arial" w:cs="Arial" w:eastAsia="Arial" w:hAnsi="Arial"/>
          <w:sz w:val="16"/>
          <w:szCs w:val="16"/>
          <w:color w:val="auto"/>
        </w:rPr>
        <w:t>, the Company has evaluated whether there are certain conditions and events, considered in the aggregate, that raise substantial doubt about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ability to continue as a going concern within one year after the date that the condensed consolidated financial statements are issued.</w:t>
      </w:r>
    </w:p>
    <w:p>
      <w:pPr>
        <w:spacing w:after="0" w:line="4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As of the issuance date of these condensed consolidated financial statements, the Company expects that its cash, cash equivalents and marketable debt securities will be sufficient to fund its forecasted operating expenses and capital expenditure requirements for at least the next twelve months from the issuance date of these financial statements.</w:t>
      </w:r>
    </w:p>
    <w:p>
      <w:pPr>
        <w:spacing w:after="0" w:line="75"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The Company has funded its operations to date primarily with proceeds from sales of common stock, prefunded warrants for the purchase of common stock and, prior to the merger with Zafgen described above, contributions from Holdings. In June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June 2020.</w:t>
      </w:r>
    </w:p>
    <w:p>
      <w:pPr>
        <w:spacing w:after="0" w:line="66"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In August 2020, the Company entered into an Equity Distribution Agreement (the “ATM Agreement”) with an investment bank in connection with the establishment of an “at-the-market” offering program under which the Company could sell up to an aggregate of $50,000,000 of shares of its common stock from time to time through this investment bank as sales agent. In July 2021, the Company sold 2,342,720 shares pursuant to the ATM Agreement for gross proceeds of $20.5 million. As of November 10, 2021, $29.2 million of additional shares of common stock remained available for sale by the Company under the ATM Agreement. See Note 8 for a further discussion of the ATM Agreement.</w:t>
      </w:r>
    </w:p>
    <w:p>
      <w:pPr>
        <w:spacing w:after="0" w:line="53" w:lineRule="exact"/>
        <w:rPr>
          <w:sz w:val="20"/>
          <w:szCs w:val="20"/>
          <w:color w:val="auto"/>
        </w:rPr>
      </w:pPr>
    </w:p>
    <w:p>
      <w:pPr>
        <w:ind w:right="20" w:firstLine="509"/>
        <w:spacing w:after="0" w:line="265" w:lineRule="auto"/>
        <w:rPr>
          <w:sz w:val="20"/>
          <w:szCs w:val="20"/>
          <w:color w:val="auto"/>
        </w:rPr>
      </w:pPr>
      <w:r>
        <w:rPr>
          <w:rFonts w:ascii="Arial" w:cs="Arial" w:eastAsia="Arial" w:hAnsi="Arial"/>
          <w:sz w:val="18"/>
          <w:szCs w:val="18"/>
          <w:color w:val="auto"/>
        </w:rPr>
        <w:t>Since its inception, the Company has incurred significant operating losses and negative cash flows from operations. The Company has incurred recurring losses since inception, including net losses of $41.5 million and $28.3 million for nine months ended September 30, 2021 and 2020, respectively. In addition, as of September 30, 2021, the Company had an accumulated deficit of $107.1 million. The Company expects to continue to generate operating losses for the foreseeable future. As of September 30, 2021, the Company had approximately $78.0 million of cash and cash equivalents available for use to fund its operations.</w:t>
      </w:r>
    </w:p>
    <w:p>
      <w:pPr>
        <w:spacing w:after="0" w:line="72"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operations, which it may raise through a combination of equity offerings, debt financings, other third-party funding, marketing and distribution arrangements, other collaborations, strategic alliances and licensing arrangements.</w:t>
      </w:r>
    </w:p>
    <w:p>
      <w:pPr>
        <w:spacing w:after="0" w:line="62" w:lineRule="exact"/>
        <w:rPr>
          <w:sz w:val="20"/>
          <w:szCs w:val="20"/>
          <w:color w:val="auto"/>
        </w:rPr>
      </w:pPr>
    </w:p>
    <w:p>
      <w:pPr>
        <w:ind w:firstLine="509"/>
        <w:spacing w:after="0" w:line="237" w:lineRule="exact"/>
        <w:rPr>
          <w:sz w:val="20"/>
          <w:szCs w:val="20"/>
          <w:color w:val="auto"/>
        </w:rPr>
      </w:pPr>
      <w:r>
        <w:rPr>
          <w:rFonts w:ascii="Arial" w:cs="Arial" w:eastAsia="Arial" w:hAnsi="Arial"/>
          <w:sz w:val="18"/>
          <w:szCs w:val="18"/>
          <w:color w:val="auto"/>
        </w:rPr>
        <w:t>If the Company is unable to obtain future funding when needed, the Company may be forced to delay, reduce or eliminate some or all of its research and development programs, product portfolio expansion or pre</w:t>
      </w:r>
      <w:r>
        <w:rPr>
          <w:rFonts w:ascii="MS PGothic" w:cs="MS PGothic" w:eastAsia="MS PGothic" w:hAnsi="MS PGothic"/>
          <w:sz w:val="18"/>
          <w:szCs w:val="18"/>
          <w:color w:val="auto"/>
        </w:rPr>
        <w:t>‑</w:t>
      </w:r>
      <w:r>
        <w:rPr>
          <w:rFonts w:ascii="Arial" w:cs="Arial" w:eastAsia="Arial" w:hAnsi="Arial"/>
          <w:sz w:val="18"/>
          <w:szCs w:val="18"/>
          <w:color w:val="auto"/>
        </w:rPr>
        <w:t>commercialization efforts, which could adversely affect its business prospects, or the Company may be unable to continue operations. There is no assurance that the Company will be successful in obtaining sufficient funding on terms acceptable to the Company to fund continuing operations, if at all.</w:t>
      </w:r>
    </w:p>
    <w:p>
      <w:pPr>
        <w:spacing w:after="0" w:line="225"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condensed consolidated balance sheet as of December 31, 2020 was derived from the Company’s audited financial statements but does not include all disclosures required by GAAP. The accompanying unaudited condensed consolidated financial statements as of September 30, 2021 and for the three and nine months ended September 30, 2021 and 2020,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2" w:name="page13"/>
    <w:bookmarkEnd w:id="12"/>
    <w:p>
      <w:pPr>
        <w:ind w:right="140"/>
        <w:spacing w:after="0" w:line="279" w:lineRule="auto"/>
        <w:rPr>
          <w:sz w:val="20"/>
          <w:szCs w:val="20"/>
          <w:color w:val="auto"/>
        </w:rPr>
      </w:pPr>
      <w:r>
        <w:rPr>
          <w:rFonts w:ascii="Arial" w:cs="Arial" w:eastAsia="Arial" w:hAnsi="Arial"/>
          <w:sz w:val="18"/>
          <w:szCs w:val="18"/>
          <w:color w:val="auto"/>
        </w:rPr>
        <w:t>make the information presented not misleading. These condensed consolidated financial statements should be read in conjunction with the Company’s audited consolidated financial statements and the notes thereto for the year ended December 31, 2020 included in the Company’s Annual Report on Form 10-K filed on March 4, 2021.</w:t>
      </w:r>
    </w:p>
    <w:p>
      <w:pPr>
        <w:spacing w:after="0" w:line="75"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condensed consolidated financial position as of September 30, 2021 and condensed consolidated results of operations and cash flows for the three and nine months ended September 30, 2021 and 2020 have been made. The results of operations for the three and nine months ended September 30, 2021 are not necessarily indicative of the results of operations that may be expected for the year ending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3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marketable debt securities. The Company generally maintains cash balances in various operating accounts at financial institutions that management believes to be of high credit quality in amounts that may exceed federally insured limits. The Company has not experienced losses related to its cash, cash equivalents or marketable debt securities.</w:t>
      </w:r>
    </w:p>
    <w:p>
      <w:pPr>
        <w:spacing w:after="0" w:line="77"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260" w:firstLine="509"/>
        <w:spacing w:after="0" w:line="282" w:lineRule="auto"/>
        <w:rPr>
          <w:sz w:val="20"/>
          <w:szCs w:val="20"/>
          <w:color w:val="auto"/>
        </w:rPr>
      </w:pPr>
      <w:r>
        <w:rPr>
          <w:rFonts w:ascii="Arial" w:cs="Arial" w:eastAsia="Arial" w:hAnsi="Arial"/>
          <w:sz w:val="16"/>
          <w:szCs w:val="16"/>
          <w:color w:val="auto"/>
        </w:rPr>
        <w:t>The Company considers all highly liquid investments with maturities of three months or less at the date of purchase to be cash equivalents. At September 30, 2021 and December 31, 2020, cash equivalents consisted of commercial paper and corporate bonds with maturity dates of less than three</w:t>
      </w:r>
    </w:p>
    <w:p>
      <w:pPr>
        <w:spacing w:after="0"/>
        <w:rPr>
          <w:sz w:val="20"/>
          <w:szCs w:val="20"/>
          <w:color w:val="auto"/>
        </w:rPr>
      </w:pPr>
      <w:r>
        <w:rPr>
          <w:rFonts w:ascii="Arial" w:cs="Arial" w:eastAsia="Arial" w:hAnsi="Arial"/>
          <w:sz w:val="18"/>
          <w:szCs w:val="18"/>
          <w:color w:val="auto"/>
        </w:rPr>
        <w:t>months at the date of acquisition and money market funds.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debt securities</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Long-lived assets consist of property and equipment, net¸ and the net operating lease asset.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ind w:right="40" w:firstLine="509"/>
        <w:spacing w:after="0" w:line="324"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6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Upfront payments, milestone payments and annual maintenance fees under license agreements are currently expensed in the period in which they are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7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 or in which the award recipient's service payments are classified.</w:t>
      </w:r>
    </w:p>
    <w:p>
      <w:pPr>
        <w:spacing w:after="0" w:line="7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14" w:name="page15"/>
    <w:bookmarkEnd w:id="14"/>
    <w:p>
      <w:pPr>
        <w:ind w:right="100"/>
        <w:spacing w:after="0" w:line="241" w:lineRule="auto"/>
        <w:rPr>
          <w:sz w:val="20"/>
          <w:szCs w:val="20"/>
          <w:color w:val="auto"/>
        </w:rPr>
      </w:pPr>
      <w:r>
        <w:rPr>
          <w:rFonts w:ascii="Arial" w:cs="Arial" w:eastAsia="Arial" w:hAnsi="Arial"/>
          <w:sz w:val="18"/>
          <w:szCs w:val="18"/>
          <w:color w:val="auto"/>
        </w:rPr>
        <w:t>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condensed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6"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Company accounts for uncertainty in income taxes recognized in the condensed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and nine months ended September 30, 2021 and 2020 includes the weighted average effect of 628,403 prefunded warrants for the purchase of shares of common stock, for which the remaining unfunded exercise price is $0.01 per share.</w:t>
      </w:r>
    </w:p>
    <w:p>
      <w:pPr>
        <w:spacing w:after="0" w:line="5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9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excluded 2,545,962 and 1,957,584 common stock equivalents, outstanding as of September 30, 2021 and 2020, respectively, from the computation of diluted net loss per share for the three and nine months ended September 30, 2021 and 2020 because they had an anti-dilutive impact due to the net loss incurred for the periods presented.</w:t>
      </w:r>
    </w:p>
    <w:p>
      <w:pPr>
        <w:spacing w:after="0" w:line="80"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w:t>
      </w:r>
    </w:p>
    <w:p>
      <w:pPr>
        <w:spacing w:after="0"/>
        <w:rPr>
          <w:sz w:val="20"/>
          <w:szCs w:val="20"/>
          <w:color w:val="auto"/>
        </w:rPr>
      </w:pPr>
      <w:r>
        <w:rPr>
          <w:rFonts w:ascii="Arial" w:cs="Arial" w:eastAsia="Arial" w:hAnsi="Arial"/>
          <w:sz w:val="18"/>
          <w:szCs w:val="18"/>
          <w:color w:val="auto"/>
        </w:rPr>
        <w:t>the shares of common stock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p>
    <w:p>
      <w:pPr>
        <w:spacing w:after="0" w:line="46" w:lineRule="exact"/>
        <w:rPr>
          <w:sz w:val="20"/>
          <w:szCs w:val="20"/>
          <w:color w:val="auto"/>
        </w:rPr>
      </w:pPr>
    </w:p>
    <w:p>
      <w:pPr>
        <w:jc w:val="both"/>
        <w:ind w:right="260"/>
        <w:spacing w:after="0" w:line="302" w:lineRule="auto"/>
        <w:rPr>
          <w:sz w:val="20"/>
          <w:szCs w:val="20"/>
          <w:color w:val="auto"/>
        </w:rPr>
      </w:pPr>
      <w:r>
        <w:rPr>
          <w:rFonts w:ascii="Arial" w:cs="Arial" w:eastAsia="Arial" w:hAnsi="Arial"/>
          <w:sz w:val="17"/>
          <w:szCs w:val="17"/>
          <w:i w:val="1"/>
          <w:iCs w:val="1"/>
          <w:color w:val="auto"/>
        </w:rPr>
        <w:t>Instruments</w:t>
      </w:r>
      <w:r>
        <w:rPr>
          <w:rFonts w:ascii="Arial" w:cs="Arial" w:eastAsia="Arial" w:hAnsi="Arial"/>
          <w:sz w:val="17"/>
          <w:szCs w:val="17"/>
          <w:color w:val="auto"/>
        </w:rPr>
        <w:t>. The FASB subsequently issued amendments to ASU 2016-13. This standard requires entities to estimate an expected lifetime credit loss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 w:name="page16"/>
    <w:bookmarkEnd w:id="15"/>
    <w:p>
      <w:pPr>
        <w:ind w:right="120"/>
        <w:spacing w:after="0" w:line="272" w:lineRule="auto"/>
        <w:rPr>
          <w:sz w:val="20"/>
          <w:szCs w:val="20"/>
          <w:color w:val="auto"/>
        </w:rPr>
      </w:pPr>
      <w:r>
        <w:rPr>
          <w:rFonts w:ascii="Arial" w:cs="Arial" w:eastAsia="Arial" w:hAnsi="Arial"/>
          <w:sz w:val="18"/>
          <w:szCs w:val="18"/>
          <w:color w:val="auto"/>
        </w:rPr>
        <w:t>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condensed consolidated financial statements and related disclosures.</w:t>
      </w:r>
    </w:p>
    <w:p>
      <w:pPr>
        <w:spacing w:after="0" w:line="83" w:lineRule="exact"/>
        <w:rPr>
          <w:sz w:val="20"/>
          <w:szCs w:val="20"/>
          <w:color w:val="auto"/>
        </w:rPr>
      </w:pPr>
    </w:p>
    <w:p>
      <w:pPr>
        <w:ind w:right="400" w:firstLine="509"/>
        <w:spacing w:after="0" w:line="27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This standard modifies certain disclosure requirements on fair value measurements. This standard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and was adopted by the Company, on January 1, 2020. The adoption of this standard did not have a material impact on the Company’s disclosures.</w:t>
      </w:r>
    </w:p>
    <w:p>
      <w:pPr>
        <w:spacing w:after="0" w:line="18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Merger Accounting</w:t>
      </w:r>
    </w:p>
    <w:p>
      <w:pPr>
        <w:spacing w:after="0" w:line="13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75" w:lineRule="exact"/>
        <w:rPr>
          <w:sz w:val="20"/>
          <w:szCs w:val="20"/>
          <w:color w:val="auto"/>
        </w:rPr>
      </w:pPr>
    </w:p>
    <w:p>
      <w:pPr>
        <w:ind w:right="200" w:firstLine="509"/>
        <w:spacing w:after="0" w:line="356" w:lineRule="auto"/>
        <w:rPr>
          <w:sz w:val="20"/>
          <w:szCs w:val="20"/>
          <w:color w:val="auto"/>
        </w:rPr>
      </w:pPr>
      <w:r>
        <w:rPr>
          <w:rFonts w:ascii="Arial" w:cs="Arial" w:eastAsia="Arial" w:hAnsi="Arial"/>
          <w:sz w:val="16"/>
          <w:szCs w:val="16"/>
          <w:color w:val="auto"/>
        </w:rPr>
        <w:t>The total purchase price paid in the Merger was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Number of shares of the combined organization owned by Zafgen stockholders</w:t>
            </w:r>
            <w:r>
              <w:rPr>
                <w:rFonts w:ascii="Arial" w:cs="Arial" w:eastAsia="Arial" w:hAnsi="Arial"/>
                <w:sz w:val="24"/>
                <w:szCs w:val="24"/>
                <w:color w:val="auto"/>
                <w:vertAlign w:val="superscript"/>
              </w:rPr>
              <w:t>(1)</w:t>
            </w:r>
          </w:p>
        </w:tc>
        <w:tc>
          <w:tcPr>
            <w:tcW w:w="68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3,124,337</w:t>
            </w:r>
          </w:p>
        </w:tc>
        <w:tc>
          <w:tcPr>
            <w:tcW w:w="100" w:type="dxa"/>
            <w:vAlign w:val="bottom"/>
            <w:shd w:val="clear" w:color="auto" w:fill="CFF0FC"/>
          </w:tcPr>
          <w:p>
            <w:pPr>
              <w:spacing w:after="0"/>
              <w:rPr>
                <w:sz w:val="23"/>
                <w:szCs w:val="23"/>
                <w:color w:val="auto"/>
              </w:rPr>
            </w:pPr>
          </w:p>
        </w:tc>
      </w:tr>
      <w:tr>
        <w:trPr>
          <w:trHeight w:val="256"/>
        </w:trPr>
        <w:tc>
          <w:tcPr>
            <w:tcW w:w="918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Multiplied by the fair value per share of Zafgen common stock</w:t>
            </w:r>
            <w:r>
              <w:rPr>
                <w:rFonts w:ascii="Arial" w:cs="Arial" w:eastAsia="Arial" w:hAnsi="Arial"/>
                <w:sz w:val="24"/>
                <w:szCs w:val="24"/>
                <w:color w:val="auto"/>
                <w:vertAlign w:val="superscript"/>
              </w:rPr>
              <w:t>(2)</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r>
      <w:tr>
        <w:trPr>
          <w:trHeight w:val="250"/>
        </w:trPr>
        <w:tc>
          <w:tcPr>
            <w:tcW w:w="9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Fair value of consideration issued in effect of the Merger</w:t>
            </w: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shd w:val="clear" w:color="auto" w:fill="CFF0FC"/>
          </w:tcPr>
          <w:p>
            <w:pPr>
              <w:spacing w:after="0"/>
              <w:rPr>
                <w:sz w:val="21"/>
                <w:szCs w:val="21"/>
                <w:color w:val="auto"/>
              </w:rPr>
            </w:pPr>
          </w:p>
        </w:tc>
      </w:tr>
      <w:tr>
        <w:trPr>
          <w:trHeight w:val="250"/>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r>
      <w:tr>
        <w:trPr>
          <w:trHeight w:val="290"/>
        </w:trPr>
        <w:tc>
          <w:tcPr>
            <w:tcW w:w="9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Purchase price:</w:t>
            </w: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-128270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-111125</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 w:lineRule="exact"/>
        <w:rPr>
          <w:sz w:val="20"/>
          <w:szCs w:val="20"/>
          <w:color w:val="auto"/>
        </w:rPr>
      </w:pPr>
    </w:p>
    <w:p>
      <w:pPr>
        <w:ind w:left="960" w:right="140" w:hanging="439"/>
        <w:spacing w:after="0" w:line="228" w:lineRule="auto"/>
        <w:tabs>
          <w:tab w:leader="none" w:pos="96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The number of shares of 3,124,337 represents the historical 37,492,044 shares of Zafgen common stock outstanding immediately prior to the closing of the Merger, adjusted for the Reverse Stock Split.</w:t>
      </w:r>
    </w:p>
    <w:p>
      <w:pPr>
        <w:spacing w:after="0" w:line="1" w:lineRule="exact"/>
        <w:rPr>
          <w:rFonts w:ascii="Arial" w:cs="Arial" w:eastAsia="Arial" w:hAnsi="Arial"/>
          <w:sz w:val="24"/>
          <w:szCs w:val="24"/>
          <w:color w:val="auto"/>
          <w:vertAlign w:val="superscript"/>
        </w:rPr>
      </w:pPr>
    </w:p>
    <w:p>
      <w:pPr>
        <w:ind w:left="960" w:right="100" w:hanging="439"/>
        <w:spacing w:after="0" w:line="228" w:lineRule="auto"/>
        <w:tabs>
          <w:tab w:leader="none" w:pos="96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Based on the last reported sale price of Zafgen common stock on the Nasdaq Global Market on May 28, 2020, the closing date of the Merger, and after giving effect to the Reverse Stock Split.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right="60" w:firstLine="509"/>
        <w:spacing w:after="0" w:line="279" w:lineRule="auto"/>
        <w:rPr>
          <w:sz w:val="20"/>
          <w:szCs w:val="20"/>
          <w:color w:val="auto"/>
        </w:rPr>
      </w:pPr>
      <w:r>
        <w:rPr>
          <w:rFonts w:ascii="Arial" w:cs="Arial" w:eastAsia="Arial" w:hAnsi="Arial"/>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40,595</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Marketable debt securities</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and noncurrent assets</w:t>
            </w:r>
          </w:p>
        </w:tc>
        <w:tc>
          <w:tcPr>
            <w:tcW w:w="7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7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(2,685 )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Lease liability, net of current portion</w:t>
            </w:r>
          </w:p>
        </w:tc>
        <w:tc>
          <w:tcPr>
            <w:tcW w:w="7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(5,990 )</w:t>
            </w:r>
          </w:p>
        </w:tc>
      </w:tr>
      <w:tr>
        <w:trPr>
          <w:trHeight w:val="290"/>
        </w:trPr>
        <w:tc>
          <w:tcPr>
            <w:tcW w:w="9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Purchase price</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1"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September 30, 2021 and December 31, 2020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517"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 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Inputs to the valuation methodology are quoted prices (unadjusted) for identical assets or liabilities in active markets.</w:t>
      </w:r>
    </w:p>
    <w:p>
      <w:pPr>
        <w:spacing w:after="0" w:line="181" w:lineRule="exact"/>
        <w:rPr>
          <w:sz w:val="20"/>
          <w:szCs w:val="20"/>
          <w:color w:val="auto"/>
        </w:rPr>
      </w:pPr>
    </w:p>
    <w:p>
      <w:pPr>
        <w:sectPr>
          <w:pgSz w:w="11900" w:h="16838" w:orient="portrait"/>
          <w:cols w:equalWidth="0" w:num="2">
            <w:col w:w="700" w:space="620"/>
            <w:col w:w="9920"/>
          </w:cols>
          <w:pgMar w:left="320" w:top="51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2</w:t>
      </w:r>
    </w:p>
    <w:p>
      <w:pPr>
        <w:spacing w:after="0" w:line="20" w:lineRule="exact"/>
        <w:rPr>
          <w:sz w:val="20"/>
          <w:szCs w:val="20"/>
          <w:color w:val="auto"/>
        </w:rPr>
      </w:pPr>
      <w:r>
        <w:rPr>
          <w:sz w:val="20"/>
          <w:szCs w:val="20"/>
          <w:color w:val="auto"/>
        </w:rPr>
        <w:br w:type="column"/>
      </w:r>
    </w:p>
    <w:p>
      <w:pPr>
        <w:ind w:right="760"/>
        <w:spacing w:after="0" w:line="359" w:lineRule="auto"/>
        <w:rPr>
          <w:sz w:val="20"/>
          <w:szCs w:val="20"/>
          <w:color w:val="auto"/>
        </w:rPr>
      </w:pPr>
      <w:r>
        <w:rPr>
          <w:rFonts w:ascii="Arial" w:cs="Arial" w:eastAsia="Arial" w:hAnsi="Arial"/>
          <w:sz w:val="16"/>
          <w:szCs w:val="16"/>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4" w:lineRule="exact"/>
        <w:rPr>
          <w:sz w:val="20"/>
          <w:szCs w:val="20"/>
          <w:color w:val="auto"/>
        </w:rPr>
      </w:pPr>
    </w:p>
    <w:p>
      <w:pPr>
        <w:sectPr>
          <w:pgSz w:w="11900" w:h="16838" w:orient="portrait"/>
          <w:cols w:equalWidth="0" w:num="2">
            <w:col w:w="700" w:space="620"/>
            <w:col w:w="9920"/>
          </w:cols>
          <w:pgMar w:left="320" w:top="51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are unobservable and significant to the fair value measurement.</w:t>
      </w:r>
    </w:p>
    <w:p>
      <w:pPr>
        <w:spacing w:after="0" w:line="167" w:lineRule="exact"/>
        <w:rPr>
          <w:sz w:val="20"/>
          <w:szCs w:val="20"/>
          <w:color w:val="auto"/>
        </w:rPr>
      </w:pPr>
    </w:p>
    <w:p>
      <w:pPr>
        <w:sectPr>
          <w:pgSz w:w="11900" w:h="16838" w:orient="portrait"/>
          <w:cols w:equalWidth="0" w:num="2">
            <w:col w:w="700" w:space="620"/>
            <w:col w:w="9920"/>
          </w:cols>
          <w:pgMar w:left="320" w:top="517" w:right="339" w:bottom="1440" w:gutter="0" w:footer="0" w:header="0"/>
          <w:type w:val="continuous"/>
        </w:sectPr>
      </w:pPr>
    </w:p>
    <w:p>
      <w:pPr>
        <w:ind w:right="300" w:firstLine="509"/>
        <w:spacing w:after="0" w:line="279" w:lineRule="auto"/>
        <w:rPr>
          <w:sz w:val="20"/>
          <w:szCs w:val="20"/>
          <w:color w:val="auto"/>
        </w:rPr>
      </w:pPr>
      <w:r>
        <w:rPr>
          <w:rFonts w:ascii="Arial" w:cs="Arial" w:eastAsia="Arial" w:hAnsi="Arial"/>
          <w:sz w:val="18"/>
          <w:szCs w:val="18"/>
          <w:color w:val="auto"/>
        </w:rPr>
        <w:t>The Company’s financial instruments consist primarily of cash, cash equivalents, marketable debt securities, accounts payable and accrued liabilities. For accounts payable and accrued liabilities, the carrying amounts of these financial instruments as of September 30, 2021 and December 31, 2020 were considered representative of their fair values due to their short term to maturity.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7" w:name="page18"/>
    <w:bookmarkEnd w:id="17"/>
    <w:p>
      <w:pPr>
        <w:ind w:left="520"/>
        <w:spacing w:after="0"/>
        <w:rPr>
          <w:sz w:val="20"/>
          <w:szCs w:val="20"/>
          <w:color w:val="auto"/>
        </w:rPr>
      </w:pPr>
      <w:r>
        <w:rPr>
          <w:rFonts w:ascii="Arial" w:cs="Arial" w:eastAsia="Arial" w:hAnsi="Arial"/>
          <w:sz w:val="16"/>
          <w:szCs w:val="16"/>
          <w:color w:val="auto"/>
        </w:rPr>
        <w:t>The following tables summarize the Company’s cash equivalents and marketable debt securities as of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3578860" cy="6083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78860" cy="60833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Prices 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Markets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September 30, 2021</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80" w:type="dxa"/>
            <w:vAlign w:val="bottom"/>
            <w:shd w:val="clear" w:color="auto" w:fill="CFF0FC"/>
          </w:tcPr>
          <w:p>
            <w:pPr>
              <w:spacing w:after="0"/>
              <w:rPr>
                <w:sz w:val="22"/>
                <w:szCs w:val="22"/>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Borders>
              <w:top w:val="single" w:sz="8" w:color="CFF0FC"/>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6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9,499</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Marketable debt securities: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Total marketable debt securities</w:t>
            </w:r>
          </w:p>
        </w:tc>
        <w:tc>
          <w:tcPr>
            <w:tcW w:w="8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160"/>
              <w:spacing w:after="0"/>
              <w:rPr>
                <w:sz w:val="20"/>
                <w:szCs w:val="20"/>
                <w:color w:val="auto"/>
              </w:rPr>
            </w:pPr>
            <w:r>
              <w:rPr>
                <w:rFonts w:ascii="Arial" w:cs="Arial" w:eastAsia="Arial" w:hAnsi="Arial"/>
                <w:sz w:val="18"/>
                <w:szCs w:val="18"/>
                <w:color w:val="auto"/>
              </w:rPr>
              <w:t>Total cash equivalents and marketable debt securities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21,170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5,172</w:t>
            </w:r>
          </w:p>
        </w:tc>
        <w:tc>
          <w:tcPr>
            <w:tcW w:w="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15,998</w:t>
            </w:r>
          </w:p>
        </w:tc>
        <w:tc>
          <w:tcPr>
            <w:tcW w:w="80" w:type="dxa"/>
            <w:vAlign w:val="bottom"/>
          </w:tcPr>
          <w:p>
            <w:pPr>
              <w:spacing w:after="0"/>
              <w:rPr>
                <w:sz w:val="21"/>
                <w:szCs w:val="2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2020</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4,229</w:t>
            </w:r>
          </w:p>
        </w:tc>
        <w:tc>
          <w:tcPr>
            <w:tcW w:w="80" w:type="dxa"/>
            <w:vAlign w:val="bottom"/>
            <w:shd w:val="clear" w:color="auto" w:fill="CFF0FC"/>
          </w:tcPr>
          <w:p>
            <w:pPr>
              <w:spacing w:after="0"/>
              <w:rPr>
                <w:sz w:val="22"/>
                <w:szCs w:val="22"/>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top w:val="single" w:sz="8" w:color="CFF0FC"/>
            </w:tcBorders>
          </w:tcPr>
          <w:p>
            <w:pPr>
              <w:ind w:left="600"/>
              <w:spacing w:after="0"/>
              <w:rPr>
                <w:sz w:val="20"/>
                <w:szCs w:val="20"/>
                <w:color w:val="auto"/>
              </w:rPr>
            </w:pPr>
            <w:r>
              <w:rPr>
                <w:rFonts w:ascii="Arial" w:cs="Arial" w:eastAsia="Arial" w:hAnsi="Arial"/>
                <w:sz w:val="18"/>
                <w:szCs w:val="18"/>
                <w:color w:val="auto"/>
              </w:rPr>
              <w:t>Total cash equivalents</w:t>
            </w:r>
          </w:p>
        </w:tc>
        <w:tc>
          <w:tcPr>
            <w:tcW w:w="8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Marketable debt securities: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Total marketable debt securities</w:t>
            </w:r>
          </w:p>
        </w:tc>
        <w:tc>
          <w:tcPr>
            <w:tcW w:w="8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160"/>
              <w:spacing w:after="0"/>
              <w:rPr>
                <w:sz w:val="20"/>
                <w:szCs w:val="20"/>
                <w:color w:val="auto"/>
              </w:rPr>
            </w:pPr>
            <w:r>
              <w:rPr>
                <w:rFonts w:ascii="Arial" w:cs="Arial" w:eastAsia="Arial" w:hAnsi="Arial"/>
                <w:sz w:val="18"/>
                <w:szCs w:val="18"/>
                <w:color w:val="auto"/>
              </w:rPr>
              <w:t>Total cash equivalents and marketable debt securities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37,125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32,896</w:t>
            </w:r>
          </w:p>
        </w:tc>
        <w:tc>
          <w:tcPr>
            <w:tcW w:w="80" w:type="dxa"/>
            <w:vAlign w:val="bottom"/>
          </w:tcPr>
          <w:p>
            <w:pPr>
              <w:spacing w:after="0"/>
              <w:rPr>
                <w:sz w:val="21"/>
                <w:szCs w:val="2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Marketable Debt Securities</w:t>
            </w: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0" w:type="dxa"/>
            <w:vAlign w:val="bottom"/>
            <w:gridSpan w:val="14"/>
          </w:tcPr>
          <w:p>
            <w:pPr>
              <w:ind w:left="520"/>
              <w:spacing w:after="0"/>
              <w:rPr>
                <w:sz w:val="20"/>
                <w:szCs w:val="20"/>
                <w:color w:val="auto"/>
              </w:rPr>
            </w:pPr>
            <w:r>
              <w:rPr>
                <w:rFonts w:ascii="Arial" w:cs="Arial" w:eastAsia="Arial" w:hAnsi="Arial"/>
                <w:sz w:val="18"/>
                <w:szCs w:val="18"/>
                <w:color w:val="auto"/>
                <w:w w:val="91"/>
              </w:rPr>
              <w:t>The following tables summarize the Company’s marketable debt securities as of September 30, 2021 and December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September 30, 2021</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6,499</w:t>
            </w:r>
          </w:p>
        </w:tc>
        <w:tc>
          <w:tcPr>
            <w:tcW w:w="240" w:type="dxa"/>
            <w:vAlign w:val="bottom"/>
            <w:gridSpan w:val="2"/>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gridSpan w:val="2"/>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gridSpan w:val="2"/>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76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240" w:type="dxa"/>
            <w:vAlign w:val="bottom"/>
            <w:gridSpan w:val="2"/>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c>
          <w:tcPr>
            <w:tcW w:w="140" w:type="dxa"/>
            <w:vAlign w:val="bottom"/>
            <w:tcBorders>
              <w:right w:val="single" w:sz="8" w:color="CFF0FC"/>
            </w:tcBorders>
            <w:gridSpan w:val="2"/>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60" w:type="dxa"/>
            <w:vAlign w:val="bottom"/>
            <w:tcBorders>
              <w:top w:val="single" w:sz="8" w:color="CFF0FC"/>
            </w:tcBorders>
          </w:tcPr>
          <w:p>
            <w:pPr>
              <w:spacing w:after="0"/>
              <w:rPr>
                <w:sz w:val="21"/>
                <w:szCs w:val="21"/>
                <w:color w:val="auto"/>
              </w:rPr>
            </w:pPr>
          </w:p>
        </w:tc>
        <w:tc>
          <w:tcPr>
            <w:tcW w:w="8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2020</w:t>
            </w: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24,489</w:t>
            </w:r>
          </w:p>
        </w:tc>
        <w:tc>
          <w:tcPr>
            <w:tcW w:w="240" w:type="dxa"/>
            <w:vAlign w:val="bottom"/>
            <w:gridSpan w:val="2"/>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3"/>
                <w:szCs w:val="23"/>
                <w:color w:val="auto"/>
              </w:rPr>
            </w:pPr>
          </w:p>
        </w:tc>
        <w:tc>
          <w:tcPr>
            <w:tcW w:w="140" w:type="dxa"/>
            <w:vAlign w:val="bottom"/>
            <w:tcBorders>
              <w:right w:val="single" w:sz="8" w:color="CFF0FC"/>
            </w:tcBorders>
            <w:gridSpan w:val="2"/>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-6561455</wp:posOffset>
            </wp:positionV>
            <wp:extent cx="179705"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-6561455</wp:posOffset>
            </wp:positionV>
            <wp:extent cx="16256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196850"/>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-6561455</wp:posOffset>
            </wp:positionV>
            <wp:extent cx="16256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56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-6561455</wp:posOffset>
            </wp:positionV>
            <wp:extent cx="8509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-5714365</wp:posOffset>
            </wp:positionV>
            <wp:extent cx="1543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-5714365</wp:posOffset>
            </wp:positionV>
            <wp:extent cx="13716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-5714365</wp:posOffset>
            </wp:positionV>
            <wp:extent cx="13716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-5714365</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-4539615</wp:posOffset>
            </wp:positionV>
            <wp:extent cx="1543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-4539615</wp:posOffset>
            </wp:positionV>
            <wp:extent cx="1371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-4539615</wp:posOffset>
            </wp:positionV>
            <wp:extent cx="13716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-4539615</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-3536950</wp:posOffset>
            </wp:positionV>
            <wp:extent cx="1543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-3536950</wp:posOffset>
            </wp:positionV>
            <wp:extent cx="13716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-3536950</wp:posOffset>
            </wp:positionV>
            <wp:extent cx="1371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-3536950</wp:posOffset>
            </wp:positionV>
            <wp:extent cx="596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-2712085</wp:posOffset>
            </wp:positionV>
            <wp:extent cx="93980" cy="3854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38544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-2712085</wp:posOffset>
            </wp:positionV>
            <wp:extent cx="85090" cy="3854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090" cy="38544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-2712085</wp:posOffset>
            </wp:positionV>
            <wp:extent cx="93980" cy="3854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-2712085</wp:posOffset>
            </wp:positionV>
            <wp:extent cx="85090" cy="3854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090" cy="3854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-1550670</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-1533525</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-1722120</wp:posOffset>
            </wp:positionV>
            <wp:extent cx="15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-1550670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-1533525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-1722120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-1550670</wp:posOffset>
            </wp:positionV>
            <wp:extent cx="1460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-1533525</wp:posOffset>
            </wp:positionV>
            <wp:extent cx="1460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-1722120</wp:posOffset>
            </wp:positionV>
            <wp:extent cx="146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-1550670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-1533525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-1722120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-539115</wp:posOffset>
            </wp:positionV>
            <wp:extent cx="1543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-522605</wp:posOffset>
            </wp:positionV>
            <wp:extent cx="1543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-539115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-522605</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-539115</wp:posOffset>
            </wp:positionV>
            <wp:extent cx="1460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-522605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-539115</wp:posOffset>
            </wp:positionV>
            <wp:extent cx="59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-522605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920" w:type="dxa"/>
            <w:vAlign w:val="bottom"/>
            <w:gridSpan w:val="6"/>
          </w:tcPr>
          <w:p>
            <w:pPr>
              <w:ind w:left="3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3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5"/>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4,460</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Prepaid insurance</w:t>
            </w:r>
          </w:p>
        </w:tc>
        <w:tc>
          <w:tcPr>
            <w:tcW w:w="2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1"/>
                <w:szCs w:val="21"/>
                <w:color w:val="auto"/>
              </w:rPr>
            </w:pPr>
          </w:p>
        </w:tc>
      </w:tr>
      <w:tr>
        <w:trPr>
          <w:trHeight w:val="263"/>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Payroll tax receivable</w:t>
            </w:r>
          </w:p>
        </w:tc>
        <w:tc>
          <w:tcPr>
            <w:tcW w:w="23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2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r>
      <w:tr>
        <w:trPr>
          <w:trHeight w:val="290"/>
        </w:trPr>
        <w:tc>
          <w:tcPr>
            <w:tcW w:w="300" w:type="dxa"/>
            <w:vAlign w:val="bottom"/>
            <w:tcBorders>
              <w:bottom w:val="single" w:sz="8" w:color="CFF0FC"/>
            </w:tcBorders>
            <w:shd w:val="clear" w:color="auto" w:fill="CFF0FC"/>
          </w:tcPr>
          <w:p>
            <w:pPr>
              <w:spacing w:after="0"/>
              <w:rPr>
                <w:sz w:val="24"/>
                <w:szCs w:val="24"/>
                <w:color w:val="auto"/>
              </w:rPr>
            </w:pPr>
          </w:p>
        </w:tc>
        <w:tc>
          <w:tcPr>
            <w:tcW w:w="4980" w:type="dxa"/>
            <w:vAlign w:val="bottom"/>
            <w:tcBorders>
              <w:bottom w:val="single" w:sz="8" w:color="CFF0FC"/>
            </w:tcBorders>
            <w:shd w:val="clear" w:color="auto" w:fill="CFF0FC"/>
          </w:tcPr>
          <w:p>
            <w:pPr>
              <w:spacing w:after="0"/>
              <w:rPr>
                <w:sz w:val="24"/>
                <w:szCs w:val="24"/>
                <w:color w:val="auto"/>
              </w:rPr>
            </w:pPr>
          </w:p>
        </w:tc>
        <w:tc>
          <w:tcPr>
            <w:tcW w:w="23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5,314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4980" w:type="dxa"/>
            <w:vAlign w:val="bottom"/>
          </w:tcPr>
          <w:p>
            <w:pPr>
              <w:ind w:left="140"/>
              <w:spacing w:after="0"/>
              <w:rPr>
                <w:sz w:val="20"/>
                <w:szCs w:val="20"/>
                <w:color w:val="auto"/>
              </w:rPr>
            </w:pPr>
            <w:r>
              <w:rPr>
                <w:rFonts w:ascii="Arial" w:cs="Arial" w:eastAsia="Arial" w:hAnsi="Arial"/>
                <w:sz w:val="18"/>
                <w:szCs w:val="18"/>
                <w:b w:val="1"/>
                <w:bCs w:val="1"/>
                <w:color w:val="auto"/>
              </w:rPr>
              <w:t>Fixed Assets</w:t>
            </w: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30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Fixed assets, net consisted of the following:</w:t>
            </w: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340" w:type="dxa"/>
            <w:vAlign w:val="bottom"/>
          </w:tcPr>
          <w:p>
            <w:pPr>
              <w:jc w:val="center"/>
              <w:ind w:left="1514"/>
              <w:spacing w:after="0"/>
              <w:rPr>
                <w:sz w:val="20"/>
                <w:szCs w:val="20"/>
                <w:color w:val="auto"/>
              </w:rPr>
            </w:pPr>
            <w:r>
              <w:rPr>
                <w:rFonts w:ascii="Arial" w:cs="Arial" w:eastAsia="Arial" w:hAnsi="Arial"/>
                <w:sz w:val="14"/>
                <w:szCs w:val="14"/>
                <w:b w:val="1"/>
                <w:bCs w:val="1"/>
                <w:color w:val="auto"/>
                <w:w w:val="92"/>
              </w:rPr>
              <w:t>Useful Life</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3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10"/>
          </w:tcPr>
          <w:p>
            <w:pPr>
              <w:jc w:val="right"/>
              <w:ind w:right="118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340" w:type="dxa"/>
            <w:vAlign w:val="bottom"/>
            <w:shd w:val="clear" w:color="auto" w:fill="CFF0FC"/>
          </w:tcPr>
          <w:p>
            <w:pPr>
              <w:jc w:val="center"/>
              <w:ind w:left="1514"/>
              <w:spacing w:after="0"/>
              <w:rPr>
                <w:sz w:val="20"/>
                <w:szCs w:val="20"/>
                <w:color w:val="auto"/>
              </w:rPr>
            </w:pPr>
            <w:r>
              <w:rPr>
                <w:rFonts w:ascii="Arial" w:cs="Arial" w:eastAsia="Arial" w:hAnsi="Arial"/>
                <w:sz w:val="18"/>
                <w:szCs w:val="18"/>
                <w:color w:val="auto"/>
                <w:w w:val="84"/>
              </w:rPr>
              <w:t>5 years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FF0FC"/>
          </w:tcPr>
          <w:p>
            <w:pPr>
              <w:spacing w:after="0"/>
              <w:rPr>
                <w:sz w:val="22"/>
                <w:szCs w:val="22"/>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Lab equipment</w:t>
            </w:r>
          </w:p>
        </w:tc>
        <w:tc>
          <w:tcPr>
            <w:tcW w:w="2340" w:type="dxa"/>
            <w:vAlign w:val="bottom"/>
          </w:tcPr>
          <w:p>
            <w:pPr>
              <w:jc w:val="center"/>
              <w:ind w:left="1514"/>
              <w:spacing w:after="0"/>
              <w:rPr>
                <w:sz w:val="20"/>
                <w:szCs w:val="20"/>
                <w:color w:val="auto"/>
              </w:rPr>
            </w:pPr>
            <w:r>
              <w:rPr>
                <w:rFonts w:ascii="Arial" w:cs="Arial" w:eastAsia="Arial" w:hAnsi="Arial"/>
                <w:sz w:val="18"/>
                <w:szCs w:val="18"/>
                <w:color w:val="auto"/>
                <w:w w:val="84"/>
              </w:rPr>
              <w:t>5 years</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340" w:type="dxa"/>
            <w:vAlign w:val="bottom"/>
            <w:shd w:val="clear" w:color="auto" w:fill="CFF0FC"/>
          </w:tcPr>
          <w:p>
            <w:pPr>
              <w:jc w:val="center"/>
              <w:ind w:left="1514"/>
              <w:spacing w:after="0"/>
              <w:rPr>
                <w:sz w:val="20"/>
                <w:szCs w:val="20"/>
                <w:color w:val="auto"/>
              </w:rPr>
            </w:pPr>
            <w:r>
              <w:rPr>
                <w:rFonts w:ascii="Arial" w:cs="Arial" w:eastAsia="Arial" w:hAnsi="Arial"/>
                <w:sz w:val="18"/>
                <w:szCs w:val="18"/>
                <w:color w:val="auto"/>
                <w:w w:val="84"/>
              </w:rPr>
              <w:t>7 years</w:t>
            </w: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340" w:type="dxa"/>
            <w:vAlign w:val="bottom"/>
          </w:tcPr>
          <w:p>
            <w:pPr>
              <w:jc w:val="center"/>
              <w:ind w:left="1514"/>
              <w:spacing w:after="0"/>
              <w:rPr>
                <w:sz w:val="20"/>
                <w:szCs w:val="20"/>
                <w:color w:val="auto"/>
              </w:rPr>
            </w:pPr>
            <w:r>
              <w:rPr>
                <w:rFonts w:ascii="Arial" w:cs="Arial" w:eastAsia="Arial" w:hAnsi="Arial"/>
                <w:sz w:val="18"/>
                <w:szCs w:val="18"/>
                <w:color w:val="auto"/>
                <w:w w:val="88"/>
              </w:rPr>
              <w:t>lease term</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shd w:val="clear" w:color="auto" w:fill="CFF0FC"/>
          </w:tcPr>
          <w:p>
            <w:pPr>
              <w:spacing w:after="0"/>
              <w:rPr>
                <w:sz w:val="21"/>
                <w:szCs w:val="21"/>
                <w:color w:val="auto"/>
              </w:rPr>
            </w:pPr>
          </w:p>
        </w:tc>
        <w:tc>
          <w:tcPr>
            <w:tcW w:w="4980" w:type="dxa"/>
            <w:vAlign w:val="bottom"/>
            <w:shd w:val="clear" w:color="auto" w:fill="CFF0FC"/>
          </w:tcPr>
          <w:p>
            <w:pPr>
              <w:spacing w:after="0"/>
              <w:rPr>
                <w:sz w:val="21"/>
                <w:szCs w:val="21"/>
                <w:color w:val="auto"/>
              </w:rPr>
            </w:pPr>
          </w:p>
        </w:tc>
        <w:tc>
          <w:tcPr>
            <w:tcW w:w="23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(510 )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(335 )</w:t>
            </w:r>
          </w:p>
        </w:tc>
      </w:tr>
      <w:tr>
        <w:trPr>
          <w:trHeight w:val="290"/>
        </w:trPr>
        <w:tc>
          <w:tcPr>
            <w:tcW w:w="300" w:type="dxa"/>
            <w:vAlign w:val="bottom"/>
            <w:tcBorders>
              <w:bottom w:val="single" w:sz="8" w:color="CFF0FC"/>
            </w:tcBorders>
            <w:shd w:val="clear" w:color="auto" w:fill="CFF0FC"/>
          </w:tcPr>
          <w:p>
            <w:pPr>
              <w:spacing w:after="0"/>
              <w:rPr>
                <w:sz w:val="24"/>
                <w:szCs w:val="24"/>
                <w:color w:val="auto"/>
              </w:rPr>
            </w:pPr>
          </w:p>
        </w:tc>
        <w:tc>
          <w:tcPr>
            <w:tcW w:w="4980" w:type="dxa"/>
            <w:vAlign w:val="bottom"/>
            <w:tcBorders>
              <w:bottom w:val="single" w:sz="8" w:color="CFF0FC"/>
            </w:tcBorders>
            <w:shd w:val="clear" w:color="auto" w:fill="CFF0FC"/>
          </w:tcPr>
          <w:p>
            <w:pPr>
              <w:spacing w:after="0"/>
              <w:rPr>
                <w:sz w:val="24"/>
                <w:szCs w:val="24"/>
                <w:color w:val="auto"/>
              </w:rPr>
            </w:pPr>
          </w:p>
        </w:tc>
        <w:tc>
          <w:tcPr>
            <w:tcW w:w="23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1,135</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-2287905</wp:posOffset>
            </wp:positionV>
            <wp:extent cx="1803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-2271395</wp:posOffset>
            </wp:positionV>
            <wp:extent cx="1803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-2287905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-2271395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1543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543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ind w:right="340" w:firstLine="509"/>
        <w:spacing w:after="0" w:line="357" w:lineRule="auto"/>
        <w:rPr>
          <w:sz w:val="20"/>
          <w:szCs w:val="20"/>
          <w:color w:val="auto"/>
        </w:rPr>
      </w:pPr>
      <w:r>
        <w:rPr>
          <w:rFonts w:ascii="Arial" w:cs="Arial" w:eastAsia="Arial" w:hAnsi="Arial"/>
          <w:sz w:val="17"/>
          <w:szCs w:val="17"/>
          <w:color w:val="auto"/>
        </w:rPr>
        <w:t>Depreciation expense during the three and nine months ended September 30, 2021 was $0.1 million and $0.2 million, respectively. Depreciation expense during the three and nine months ended September 30, 2020 was less than $0.1 million and $0.1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0"/>
        </w:trPr>
        <w:tc>
          <w:tcPr>
            <w:tcW w:w="3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9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24"/>
                <w:szCs w:val="24"/>
                <w:color w:val="auto"/>
              </w:rPr>
            </w:pPr>
          </w:p>
        </w:tc>
      </w:tr>
      <w:tr>
        <w:trPr>
          <w:trHeight w:val="208"/>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3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w:t>
            </w:r>
          </w:p>
        </w:tc>
        <w:tc>
          <w:tcPr>
            <w:tcW w:w="6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r>
      <w:tr>
        <w:trPr>
          <w:trHeight w:val="263"/>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290"/>
        </w:trPr>
        <w:tc>
          <w:tcPr>
            <w:tcW w:w="300" w:type="dxa"/>
            <w:vAlign w:val="bottom"/>
            <w:tcBorders>
              <w:bottom w:val="single" w:sz="8" w:color="CFF0FC"/>
            </w:tcBorders>
            <w:shd w:val="clear" w:color="auto" w:fill="CFF0FC"/>
          </w:tcPr>
          <w:p>
            <w:pPr>
              <w:spacing w:after="0"/>
              <w:rPr>
                <w:sz w:val="24"/>
                <w:szCs w:val="24"/>
                <w:color w:val="auto"/>
              </w:rPr>
            </w:pPr>
          </w:p>
        </w:tc>
        <w:tc>
          <w:tcPr>
            <w:tcW w:w="7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1797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797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As of September 30, 2021, the Company’s Certificate of Incorporation, as amended and restated, authorized the Company to issue up to 115,000,000 shares of $0.001 par value common stock, of which 17,710,450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53"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ind w:right="200"/>
        <w:spacing w:after="0" w:line="271" w:lineRule="auto"/>
        <w:rPr>
          <w:sz w:val="20"/>
          <w:szCs w:val="20"/>
          <w:color w:val="auto"/>
        </w:rPr>
      </w:pPr>
      <w:r>
        <w:rPr>
          <w:rFonts w:ascii="Arial" w:cs="Arial" w:eastAsia="Arial" w:hAnsi="Arial"/>
          <w:sz w:val="16"/>
          <w:szCs w:val="16"/>
          <w:color w:val="auto"/>
        </w:rPr>
        <w:t>warrants are 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On August 14, 2020, the Company entered into the ATM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74" w:lineRule="exact"/>
        <w:rPr>
          <w:sz w:val="20"/>
          <w:szCs w:val="20"/>
          <w:color w:val="auto"/>
        </w:rPr>
      </w:pPr>
    </w:p>
    <w:p>
      <w:pPr>
        <w:ind w:right="300" w:firstLine="509"/>
        <w:spacing w:after="0" w:line="269" w:lineRule="auto"/>
        <w:rPr>
          <w:sz w:val="20"/>
          <w:szCs w:val="20"/>
          <w:color w:val="auto"/>
        </w:rPr>
      </w:pPr>
      <w:r>
        <w:rPr>
          <w:rFonts w:ascii="Arial" w:cs="Arial" w:eastAsia="Arial" w:hAnsi="Arial"/>
          <w:sz w:val="16"/>
          <w:szCs w:val="16"/>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ATM Shares and may at any time suspend offers under the ATM Agreement.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2021, the Company sold 2,342,720 shares under the ATM Agreement for net proceeds of $19.9 million.</w:t>
      </w:r>
    </w:p>
    <w:p>
      <w:pPr>
        <w:spacing w:after="0" w:line="104"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As of September 30, 2021, 2,354,244 shares of Common Stock have been sold under the ATM Agreement for net proceeds of $20.1 million. As of November 10, 2021, approximately $29.2 million shares of common stock remained available for sale by the Company under the ATM Agreement.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Plans</w:t>
      </w:r>
    </w:p>
    <w:p>
      <w:pPr>
        <w:spacing w:after="0" w:line="131"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3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The Board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 of the Prior Plans and the respective award agreements, and no further awards will be made under the 2014 Plan.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5"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line="272" w:lineRule="auto"/>
        <w:rPr>
          <w:sz w:val="20"/>
          <w:szCs w:val="20"/>
          <w:color w:val="auto"/>
        </w:rPr>
      </w:pPr>
      <w:r>
        <w:rPr>
          <w:rFonts w:ascii="Arial" w:cs="Arial" w:eastAsia="Arial" w:hAnsi="Arial"/>
          <w:sz w:val="18"/>
          <w:szCs w:val="18"/>
          <w:color w:val="auto"/>
        </w:rPr>
        <w:t>the “Plan Limit”). As permitted by the 2020 Plan, the Company added 614,709 shares available for grant to the 2020 Plan on January 1, 2021 increasing the maximum number of shares of the Company’s common stock that may be issued under the 2020 Plan to 2,314,709 shares. The maximum aggregate number of shares that may be issued under the 2020 Plan in respect of ISOs is 8,000,000 over the ten-year term of the 2020 Plan. On May 28, 2021, options to purchase 38,090 shares issued under the 2014 Plan were cancelled and became available for grant under the 2020 Plan. As of September 30, 2021, 971,349 shares of common stock were available for grant under the 2020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Incentive Plan and 2006 Stock Option Plan</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and Incentive Plan</w:t>
      </w:r>
    </w:p>
    <w:p>
      <w:pPr>
        <w:spacing w:after="0" w:line="13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From January 1, 2020 through the Merger date Holdings did not issue options to purchase Common Units to employees of the Company.</w:t>
      </w:r>
    </w:p>
    <w:p>
      <w:pPr>
        <w:spacing w:after="0" w:line="156"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of $12.14 per share were substituted for the 202,392 options to purchase Common Units, with a weighted average exercise price of $10.36 per Common Unit, that were outstanding immediately prior to the Merger.</w:t>
      </w:r>
    </w:p>
    <w:p>
      <w:pPr>
        <w:spacing w:after="0" w:line="77"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 xml:space="preserve">The Company treated the conversion as a modification pursuant to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the remaining $0.5 million is recognized over the remaining vesting term with the original grant date fair value remaining of $0.1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Valuation</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80" w:type="dxa"/>
            <w:vAlign w:val="bottom"/>
          </w:tcPr>
          <w:p>
            <w:pPr>
              <w:ind w:left="4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36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5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5740" w:type="dxa"/>
            <w:vAlign w:val="bottom"/>
            <w:gridSpan w:val="2"/>
            <w:shd w:val="clear" w:color="auto" w:fill="CFF0FC"/>
          </w:tcPr>
          <w:p>
            <w:pPr>
              <w:jc w:val="center"/>
              <w:ind w:left="3990"/>
              <w:spacing w:after="0"/>
              <w:rPr>
                <w:sz w:val="20"/>
                <w:szCs w:val="20"/>
                <w:color w:val="auto"/>
              </w:rPr>
            </w:pPr>
            <w:r>
              <w:rPr>
                <w:rFonts w:ascii="Arial" w:cs="Arial" w:eastAsia="Arial" w:hAnsi="Arial"/>
                <w:sz w:val="18"/>
                <w:szCs w:val="18"/>
                <w:color w:val="auto"/>
                <w:w w:val="90"/>
              </w:rPr>
              <w:t>0.88%</w:t>
            </w:r>
          </w:p>
        </w:tc>
        <w:tc>
          <w:tcPr>
            <w:tcW w:w="18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0"/>
              </w:rPr>
              <w:t>0.37%</w:t>
            </w:r>
          </w:p>
        </w:tc>
      </w:tr>
      <w:tr>
        <w:trPr>
          <w:trHeight w:val="250"/>
        </w:trPr>
        <w:tc>
          <w:tcPr>
            <w:tcW w:w="3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740" w:type="dxa"/>
            <w:vAlign w:val="bottom"/>
            <w:gridSpan w:val="2"/>
          </w:tcPr>
          <w:p>
            <w:pPr>
              <w:jc w:val="center"/>
              <w:ind w:left="3970"/>
              <w:spacing w:after="0"/>
              <w:rPr>
                <w:sz w:val="20"/>
                <w:szCs w:val="20"/>
                <w:color w:val="auto"/>
              </w:rPr>
            </w:pPr>
            <w:r>
              <w:rPr>
                <w:rFonts w:ascii="Arial" w:cs="Arial" w:eastAsia="Arial" w:hAnsi="Arial"/>
                <w:sz w:val="18"/>
                <w:szCs w:val="18"/>
                <w:color w:val="auto"/>
                <w:w w:val="91"/>
              </w:rPr>
              <w:t>6.19</w:t>
            </w:r>
          </w:p>
        </w:tc>
        <w:tc>
          <w:tcPr>
            <w:tcW w:w="184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6.08</w:t>
            </w:r>
          </w:p>
        </w:tc>
      </w:tr>
      <w:tr>
        <w:trPr>
          <w:trHeight w:val="26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5740" w:type="dxa"/>
            <w:vAlign w:val="bottom"/>
            <w:gridSpan w:val="2"/>
            <w:shd w:val="clear" w:color="auto" w:fill="CFF0FC"/>
          </w:tcPr>
          <w:p>
            <w:pPr>
              <w:jc w:val="center"/>
              <w:ind w:left="3990"/>
              <w:spacing w:after="0"/>
              <w:rPr>
                <w:sz w:val="20"/>
                <w:szCs w:val="20"/>
                <w:color w:val="auto"/>
              </w:rPr>
            </w:pPr>
            <w:r>
              <w:rPr>
                <w:rFonts w:ascii="Arial" w:cs="Arial" w:eastAsia="Arial" w:hAnsi="Arial"/>
                <w:sz w:val="18"/>
                <w:szCs w:val="18"/>
                <w:color w:val="auto"/>
                <w:w w:val="94"/>
              </w:rPr>
              <w:t>91%</w:t>
            </w:r>
          </w:p>
        </w:tc>
        <w:tc>
          <w:tcPr>
            <w:tcW w:w="18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91%</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740" w:type="dxa"/>
            <w:vAlign w:val="bottom"/>
            <w:gridSpan w:val="2"/>
          </w:tcPr>
          <w:p>
            <w:pPr>
              <w:jc w:val="center"/>
              <w:ind w:left="3990"/>
              <w:spacing w:after="0"/>
              <w:rPr>
                <w:sz w:val="20"/>
                <w:szCs w:val="20"/>
                <w:color w:val="auto"/>
              </w:rPr>
            </w:pPr>
            <w:r>
              <w:rPr>
                <w:rFonts w:ascii="Arial" w:cs="Arial" w:eastAsia="Arial" w:hAnsi="Arial"/>
                <w:sz w:val="18"/>
                <w:szCs w:val="18"/>
                <w:color w:val="auto"/>
                <w:w w:val="90"/>
              </w:rPr>
              <w:t>0.00%</w:t>
            </w:r>
          </w:p>
        </w:tc>
        <w:tc>
          <w:tcPr>
            <w:tcW w:w="18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0.00%</w:t>
            </w:r>
          </w:p>
        </w:tc>
      </w:tr>
      <w:tr>
        <w:trPr>
          <w:trHeight w:val="688"/>
        </w:trPr>
        <w:tc>
          <w:tcPr>
            <w:tcW w:w="3660" w:type="dxa"/>
            <w:vAlign w:val="bottom"/>
          </w:tcPr>
          <w:p>
            <w:pPr>
              <w:spacing w:after="0"/>
              <w:rPr>
                <w:sz w:val="24"/>
                <w:szCs w:val="24"/>
                <w:color w:val="auto"/>
              </w:rPr>
            </w:pPr>
          </w:p>
        </w:tc>
        <w:tc>
          <w:tcPr>
            <w:tcW w:w="4060" w:type="dxa"/>
            <w:vAlign w:val="bottom"/>
          </w:tcPr>
          <w:p>
            <w:pPr>
              <w:jc w:val="right"/>
              <w:ind w:right="1910"/>
              <w:spacing w:after="0"/>
              <w:rPr>
                <w:sz w:val="20"/>
                <w:szCs w:val="20"/>
                <w:color w:val="auto"/>
              </w:rPr>
            </w:pPr>
            <w:r>
              <w:rPr>
                <w:rFonts w:ascii="Arial" w:cs="Arial" w:eastAsia="Arial" w:hAnsi="Arial"/>
                <w:sz w:val="18"/>
                <w:szCs w:val="18"/>
                <w:color w:val="auto"/>
              </w:rPr>
              <w:t>19</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following table summarizes the Company’s stock option activity for the nine months ended September 30, 2021 (amounts in millions, except for share and per share data):</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6"/>
                <w:szCs w:val="16"/>
                <w:color w:val="auto"/>
              </w:rPr>
            </w:pPr>
          </w:p>
        </w:tc>
      </w:tr>
      <w:tr>
        <w:trPr>
          <w:trHeight w:val="203"/>
        </w:trPr>
        <w:tc>
          <w:tcPr>
            <w:tcW w:w="5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Intrinsic</w:t>
            </w:r>
          </w:p>
        </w:tc>
        <w:tc>
          <w:tcPr>
            <w:tcW w:w="1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7"/>
                <w:szCs w:val="17"/>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Value (a)</w:t>
            </w:r>
          </w:p>
        </w:tc>
        <w:tc>
          <w:tcPr>
            <w:tcW w:w="140" w:type="dxa"/>
            <w:vAlign w:val="bottom"/>
          </w:tcPr>
          <w:p>
            <w:pPr>
              <w:spacing w:after="0"/>
              <w:rPr>
                <w:sz w:val="17"/>
                <w:szCs w:val="17"/>
                <w:color w:val="auto"/>
              </w:rPr>
            </w:pPr>
          </w:p>
        </w:tc>
      </w:tr>
      <w:tr>
        <w:trPr>
          <w:trHeight w:val="208"/>
        </w:trPr>
        <w:tc>
          <w:tcPr>
            <w:tcW w:w="5520" w:type="dxa"/>
            <w:vAlign w:val="bottom"/>
          </w:tcPr>
          <w:p>
            <w:pPr>
              <w:spacing w:after="0"/>
              <w:rPr>
                <w:sz w:val="18"/>
                <w:szCs w:val="18"/>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8"/>
                <w:szCs w:val="18"/>
                <w:color w:val="auto"/>
              </w:rPr>
            </w:pPr>
          </w:p>
        </w:tc>
      </w:tr>
      <w:tr>
        <w:trPr>
          <w:trHeight w:val="256"/>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2,008,902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r>
      <w:tr>
        <w:trPr>
          <w:trHeight w:val="250"/>
        </w:trPr>
        <w:tc>
          <w:tcPr>
            <w:tcW w:w="55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617,150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03"/>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Forfeited/Expired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(80,090 )</w:t>
            </w:r>
          </w:p>
        </w:tc>
        <w:tc>
          <w:tcPr>
            <w:tcW w:w="12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220" w:type="dxa"/>
            <w:vAlign w:val="bottom"/>
            <w:shd w:val="clear" w:color="auto" w:fill="CFF0FC"/>
          </w:tcPr>
          <w:p>
            <w:pPr>
              <w:spacing w:after="0"/>
              <w:rPr>
                <w:sz w:val="24"/>
                <w:szCs w:val="24"/>
                <w:color w:val="auto"/>
              </w:rPr>
            </w:pPr>
          </w:p>
        </w:tc>
        <w:tc>
          <w:tcPr>
            <w:tcW w:w="15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r>
      <w:tr>
        <w:trPr>
          <w:trHeight w:val="237"/>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Outstanding as of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2,545,962</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19.43</w:t>
            </w:r>
          </w:p>
        </w:tc>
        <w:tc>
          <w:tcPr>
            <w:tcW w:w="17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FF0FC"/>
            </w:tcBorders>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Exercisable as of September 30, 2021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944,249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Vested and expected to vest as of September 30,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2,545,962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-591185</wp:posOffset>
            </wp:positionV>
            <wp:extent cx="1543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-573405</wp:posOffset>
            </wp:positionV>
            <wp:extent cx="15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-213995</wp:posOffset>
            </wp:positionV>
            <wp:extent cx="154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-196215</wp:posOffset>
            </wp:positionV>
            <wp:extent cx="1543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87" w:lineRule="exact"/>
        <w:rPr>
          <w:sz w:val="20"/>
          <w:szCs w:val="20"/>
          <w:color w:val="auto"/>
        </w:rPr>
      </w:pPr>
    </w:p>
    <w:p>
      <w:pPr>
        <w:ind w:left="1200" w:right="220" w:hanging="443"/>
        <w:spacing w:after="0" w:line="293"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Option Grants</w:t>
      </w:r>
    </w:p>
    <w:p>
      <w:pPr>
        <w:spacing w:after="0" w:line="131" w:lineRule="exact"/>
        <w:rPr>
          <w:sz w:val="20"/>
          <w:szCs w:val="20"/>
          <w:color w:val="auto"/>
        </w:rPr>
      </w:pPr>
    </w:p>
    <w:p>
      <w:pPr>
        <w:ind w:right="240" w:firstLine="509"/>
        <w:spacing w:after="0" w:line="319" w:lineRule="auto"/>
        <w:rPr>
          <w:sz w:val="20"/>
          <w:szCs w:val="20"/>
          <w:color w:val="auto"/>
        </w:rPr>
      </w:pPr>
      <w:r>
        <w:rPr>
          <w:rFonts w:ascii="Arial" w:cs="Arial" w:eastAsia="Arial" w:hAnsi="Arial"/>
          <w:sz w:val="16"/>
          <w:szCs w:val="16"/>
          <w:color w:val="auto"/>
        </w:rPr>
        <w:t>During the nine months ended September 30, 2021, the Company granted options to purchase 617,150 shares of common stock to employees and directors of the Company under the 2020 Plan. The options have an exercise price equal to the closing stock price as of the grant date. Of the 617,150 options granted in 2021, 567,350 vest over four years, with 25% vesting on the first anniversary of the grant and the remainder vesting in equal monthly installments thereafter. The remaining 49,800 options were annual grants to the Company's directors and vest one year from the grant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classified in the condensed consolidated statements of operations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66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208"/>
        </w:trPr>
        <w:tc>
          <w:tcPr>
            <w:tcW w:w="56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5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r>
      <w:tr>
        <w:trPr>
          <w:trHeight w:val="290"/>
        </w:trPr>
        <w:tc>
          <w:tcPr>
            <w:tcW w:w="56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1,463</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1460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460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46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460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jc w:val="both"/>
        <w:ind w:right="120" w:firstLine="509"/>
        <w:spacing w:after="0" w:line="293" w:lineRule="auto"/>
        <w:rPr>
          <w:sz w:val="20"/>
          <w:szCs w:val="20"/>
          <w:color w:val="auto"/>
        </w:rPr>
      </w:pPr>
      <w:r>
        <w:rPr>
          <w:rFonts w:ascii="Arial" w:cs="Arial" w:eastAsia="Arial" w:hAnsi="Arial"/>
          <w:sz w:val="18"/>
          <w:szCs w:val="18"/>
          <w:color w:val="auto"/>
        </w:rPr>
        <w:t>As of September 30, 2021, total unrecognized compensation expense related to unvested stock options and restricted stock units was $16.2 million, which is expected to be recognized over a weighted average period of 2.88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3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The Company is party to an exclusive License Agreement (the “WFUHS License”), dated November 30, 2016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7"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5"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During the three and nine months ended September 30, 2021, no milestones were achieved and no milestone expense was recognized. Both agreements continue from their effective date through the last to expire of the licensed patents unless earlier terminated by either party in accordance with their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In the quarter ended March 31, 2020, the Company recorded an operating lease right-of-use asset and operating lease liability of $0.4 million.</w:t>
      </w:r>
    </w:p>
    <w:p>
      <w:pPr>
        <w:spacing w:after="0" w:line="48" w:lineRule="exact"/>
        <w:rPr>
          <w:sz w:val="20"/>
          <w:szCs w:val="20"/>
          <w:color w:val="auto"/>
        </w:rPr>
      </w:pPr>
    </w:p>
    <w:p>
      <w:pPr>
        <w:ind w:firstLine="509"/>
        <w:spacing w:after="0" w:line="300" w:lineRule="auto"/>
        <w:rPr>
          <w:sz w:val="20"/>
          <w:szCs w:val="20"/>
          <w:color w:val="auto"/>
        </w:rPr>
      </w:pPr>
      <w:r>
        <w:rPr>
          <w:rFonts w:ascii="Arial" w:cs="Arial" w:eastAsia="Arial" w:hAnsi="Arial"/>
          <w:sz w:val="17"/>
          <w:szCs w:val="17"/>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Starting in 2021, the right-of-use asset is being amortized to other income/(expense), over the remaining lease term as a result of the sublease described below.</w:t>
      </w:r>
    </w:p>
    <w:p>
      <w:pPr>
        <w:spacing w:after="0" w:line="5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3" w:name="page24"/>
    <w:bookmarkEnd w:id="23"/>
    <w:p>
      <w:pPr>
        <w:ind w:right="100" w:firstLine="509"/>
        <w:spacing w:after="0" w:line="311" w:lineRule="auto"/>
        <w:rPr>
          <w:sz w:val="20"/>
          <w:szCs w:val="20"/>
          <w:color w:val="auto"/>
        </w:rPr>
      </w:pPr>
      <w:r>
        <w:rPr>
          <w:rFonts w:ascii="Arial" w:cs="Arial" w:eastAsia="Arial" w:hAnsi="Arial"/>
          <w:sz w:val="16"/>
          <w:szCs w:val="16"/>
          <w:color w:val="auto"/>
        </w:rPr>
        <w:t>The Sublease provides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55"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the Company has determined this lease extension qualifies as a short-term lease and have applied the accounting policy election to not record the related right-of-use asset and lease liabilities.</w:t>
      </w:r>
    </w:p>
    <w:p>
      <w:pPr>
        <w:spacing w:after="0" w:line="93" w:lineRule="exact"/>
        <w:rPr>
          <w:sz w:val="20"/>
          <w:szCs w:val="20"/>
          <w:color w:val="auto"/>
        </w:rPr>
      </w:pPr>
    </w:p>
    <w:p>
      <w:pPr>
        <w:ind w:right="120" w:firstLine="509"/>
        <w:spacing w:after="0" w:line="325" w:lineRule="auto"/>
        <w:rPr>
          <w:sz w:val="20"/>
          <w:szCs w:val="20"/>
          <w:color w:val="auto"/>
        </w:rPr>
      </w:pPr>
      <w:r>
        <w:rPr>
          <w:rFonts w:ascii="Arial" w:cs="Arial" w:eastAsia="Arial" w:hAnsi="Arial"/>
          <w:sz w:val="16"/>
          <w:szCs w:val="16"/>
          <w:color w:val="auto"/>
        </w:rPr>
        <w:t>Expense arising from operating leases was $0.1 million and $0.2 million during the three and nine months ended September 30, 2021, respectively, and $0.3 million and $0.4 million during the three and nine months ended September 30, 2020, respectively. For operating leases, the weighted-average remaining lease term for leases at September 30, 2021 and December 31, 2020 was 7.9 and 8.6 years, respectively. For operating leases, the weighted average discount rate for leases at September 30, 2021 and December 31, 2020 was 11.0%. The Company has not entered into any financing leases.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due under these lease agreements as of September 30, 2021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Operating</w:t>
            </w:r>
          </w:p>
        </w:tc>
      </w:tr>
      <w:tr>
        <w:trPr>
          <w:trHeight w:val="20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Leases</w:t>
            </w: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Three months ending December 31, 2021</w:t>
            </w:r>
          </w:p>
        </w:tc>
        <w:tc>
          <w:tcPr>
            <w:tcW w:w="52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4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2023</w:t>
            </w:r>
          </w:p>
        </w:tc>
        <w:tc>
          <w:tcPr>
            <w:tcW w:w="48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4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2025</w:t>
            </w:r>
          </w:p>
        </w:tc>
        <w:tc>
          <w:tcPr>
            <w:tcW w:w="48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1"/>
                <w:szCs w:val="21"/>
                <w:color w:val="auto"/>
              </w:rPr>
            </w:pPr>
          </w:p>
        </w:tc>
      </w:tr>
      <w:tr>
        <w:trPr>
          <w:trHeight w:val="257"/>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48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(2,963 )</w:t>
            </w:r>
          </w:p>
        </w:tc>
      </w:tr>
      <w:tr>
        <w:trPr>
          <w:trHeight w:val="290"/>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Present value of lease liabilities</w:t>
            </w:r>
          </w:p>
        </w:tc>
        <w:tc>
          <w:tcPr>
            <w:tcW w:w="48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62"/>
        </w:trPr>
        <w:tc>
          <w:tcPr>
            <w:tcW w:w="4280" w:type="dxa"/>
            <w:vAlign w:val="bottom"/>
          </w:tcPr>
          <w:p>
            <w:pPr>
              <w:spacing w:after="0"/>
              <w:rPr>
                <w:sz w:val="24"/>
                <w:szCs w:val="24"/>
                <w:color w:val="auto"/>
              </w:rPr>
            </w:pPr>
          </w:p>
        </w:tc>
        <w:tc>
          <w:tcPr>
            <w:tcW w:w="4880" w:type="dxa"/>
            <w:vAlign w:val="bottom"/>
          </w:tcPr>
          <w:p>
            <w:pPr>
              <w:jc w:val="right"/>
              <w:ind w:right="335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immediately vested and was associated with Chondrial Therapeutics IP, LLC (“IP LLC”) becoming a subsidiary of Holdings, which was subsequently contributed to the Company on December 31, 2018. The remaining 70% vested ratably over 48 months beginning on December 1, 2016 and were fully vested as of December 31, 2020. The consulting agreement has a four-year term, subject to earlier termination. On November 30, 2020, The Company entered into a 1-month extension of the Consulting Engagement, expiring on December 31, 2020 and on January 1, 2021, the Company entered into a new consulting agreement with Dr. Payne which extended the term of the Consulting Engagement for a four-year term beginning on January 1, 2021. During the three and nine months ended September 30, 2021 and 2020 the Company recognized less than $0.1 million and $0.1 million, respectively, related to this consulting agreement, recorded as research and development expense in the Condensed, Consolidated Statements of Operations.</w:t>
      </w:r>
    </w:p>
    <w:p>
      <w:pPr>
        <w:spacing w:after="0" w:line="6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funding to the Company originated from Holdings’ sale of Series A Preferred Units and Series B convertible preferred units (the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7"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of $35.6 million were contributed to the Company.</w:t>
      </w:r>
    </w:p>
    <w:p>
      <w:pPr>
        <w:spacing w:after="0" w:line="75" w:lineRule="exact"/>
        <w:rPr>
          <w:sz w:val="20"/>
          <w:szCs w:val="20"/>
          <w:color w:val="auto"/>
        </w:rPr>
      </w:pPr>
    </w:p>
    <w:p>
      <w:pPr>
        <w:jc w:val="both"/>
        <w:ind w:right="120" w:firstLine="509"/>
        <w:spacing w:after="0" w:line="329" w:lineRule="auto"/>
        <w:rPr>
          <w:sz w:val="20"/>
          <w:szCs w:val="20"/>
          <w:color w:val="auto"/>
        </w:rPr>
      </w:pPr>
      <w:r>
        <w:rPr>
          <w:rFonts w:ascii="Arial" w:cs="Arial" w:eastAsia="Arial" w:hAnsi="Arial"/>
          <w:sz w:val="16"/>
          <w:szCs w:val="16"/>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of $10.0 million were contributed to the Company.</w:t>
      </w:r>
    </w:p>
    <w:p>
      <w:pPr>
        <w:spacing w:after="0" w:line="40" w:lineRule="exact"/>
        <w:rPr>
          <w:sz w:val="20"/>
          <w:szCs w:val="20"/>
          <w:color w:val="auto"/>
        </w:rPr>
      </w:pPr>
    </w:p>
    <w:p>
      <w:pPr>
        <w:ind w:right="280" w:firstLine="509"/>
        <w:spacing w:after="0" w:line="303"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of $11.4 million were contributed to the Company.</w:t>
      </w:r>
    </w:p>
    <w:p>
      <w:pPr>
        <w:spacing w:after="0" w:line="56"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During the nine months ended September 30, 2020, Holdings provided the Company non-interest bearing, permanent funding from the above Series A and Series B preferred unit transactions, totaling $18.0 million, which were recorded as capital contributions with the balance of combined equity and additional paid in capital on the condensed consolidated balance sheets and condensed consolidated statements of changes in stockholders’ equity for each respective period.</w:t>
      </w:r>
    </w:p>
    <w:p>
      <w:pPr>
        <w:spacing w:after="0" w:line="77" w:lineRule="exact"/>
        <w:rPr>
          <w:sz w:val="20"/>
          <w:szCs w:val="20"/>
          <w:color w:val="auto"/>
        </w:rPr>
      </w:pPr>
    </w:p>
    <w:p>
      <w:pPr>
        <w:ind w:right="40" w:firstLine="509"/>
        <w:spacing w:after="0" w:line="324" w:lineRule="auto"/>
        <w:rPr>
          <w:sz w:val="20"/>
          <w:szCs w:val="20"/>
          <w:color w:val="auto"/>
        </w:rPr>
      </w:pPr>
      <w:r>
        <w:rPr>
          <w:rFonts w:ascii="Arial" w:cs="Arial" w:eastAsia="Arial" w:hAnsi="Arial"/>
          <w:sz w:val="17"/>
          <w:szCs w:val="17"/>
          <w:color w:val="auto"/>
        </w:rPr>
        <w:t>During 2021, the Company purchased a piece of laboratory equipment and lab supplies for a cumulative $0.1 million from a supplier that one of our Board members is also a member of this supplier’s board of directors. The purchases were billed at market rates with market payment terms.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2020 included in our Annual Report on Form 10-K filed with the Securities and Exchange Commission (“SEC”), on March 4,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Annual Report on Form 10-K filed with the SEC on March 4, 2021 and our subsequently filed Quarterly Reports on Form 10-Q for the periods ended March 31, 2021 and June 30, 2021, respectively, in addition to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enough FXN due to a genetic abnormality. There is currently no effective therapy for FA.</w:t>
      </w:r>
    </w:p>
    <w:p>
      <w:pPr>
        <w:spacing w:after="0" w:line="48" w:lineRule="exact"/>
        <w:rPr>
          <w:sz w:val="20"/>
          <w:szCs w:val="20"/>
          <w:color w:val="auto"/>
        </w:rPr>
      </w:pPr>
    </w:p>
    <w:p>
      <w:pPr>
        <w:ind w:right="60" w:firstLine="509"/>
        <w:spacing w:after="0" w:line="230" w:lineRule="exact"/>
        <w:rPr>
          <w:sz w:val="20"/>
          <w:szCs w:val="20"/>
          <w:color w:val="auto"/>
        </w:rPr>
      </w:pPr>
      <w:r>
        <w:rPr>
          <w:rFonts w:ascii="Arial" w:cs="Arial" w:eastAsia="Arial" w:hAnsi="Arial"/>
          <w:sz w:val="18"/>
          <w:szCs w:val="18"/>
          <w:color w:val="auto"/>
        </w:rPr>
        <w:t>We have received orphan drug designation, fast track designation and rare pediatric disease designation, from the U.S. Food and Drug Administration (the "FDA") for CTI</w:t>
      </w:r>
      <w:r>
        <w:rPr>
          <w:rFonts w:ascii="MS PGothic" w:cs="MS PGothic" w:eastAsia="MS PGothic" w:hAnsi="MS PGothic"/>
          <w:sz w:val="18"/>
          <w:szCs w:val="18"/>
          <w:color w:val="auto"/>
        </w:rPr>
        <w:t>‑</w:t>
      </w:r>
      <w:r>
        <w:rPr>
          <w:rFonts w:ascii="Arial" w:cs="Arial" w:eastAsia="Arial" w:hAnsi="Arial"/>
          <w:sz w:val="18"/>
          <w:szCs w:val="18"/>
          <w:color w:val="auto"/>
        </w:rPr>
        <w:t>1601. In addition, we received orphan drug designation for CTI-1601 from the European Commission and a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08"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CTI-1601 Program Update</w:t>
      </w:r>
    </w:p>
    <w:p>
      <w:pPr>
        <w:spacing w:after="0" w:line="1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7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26" w:name="page27"/>
    <w:bookmarkEnd w:id="26"/>
    <w:p>
      <w:pPr>
        <w:ind w:right="80" w:firstLine="509"/>
        <w:spacing w:after="0" w:line="271" w:lineRule="auto"/>
        <w:rPr>
          <w:sz w:val="20"/>
          <w:szCs w:val="20"/>
          <w:color w:val="auto"/>
        </w:rPr>
      </w:pPr>
      <w:r>
        <w:rPr>
          <w:rFonts w:ascii="Arial" w:cs="Arial" w:eastAsia="Arial" w:hAnsi="Arial"/>
          <w:sz w:val="18"/>
          <w:szCs w:val="18"/>
          <w:color w:val="auto"/>
        </w:rPr>
        <w:t>On May 25, 2021 the FDA placed a clinical hold on the CTI-1601 clinical program following our notification to the FDA of mortalities which occurred at the highest dose levels in an ongoing 180-day non-human primate ("NHP") toxicology study, which is designed to support extended dosing of patients with CTI-1601. In the clinical hold letter, the FDA stated that it needs a full study report from the ongoing NHP study and that we may not initiate additional interventional clinical trials until we have submitted the report and received notification from the FDA that additional clinical trials may commence. At the time of the FDA clinical hold, we had no interventional clinical trials with patients enrolled or enrolling and as of the date of this report, do not have interventional clinical trials with patients enrolled or enrolling.</w:t>
      </w:r>
    </w:p>
    <w:p>
      <w:pPr>
        <w:spacing w:after="0" w:line="83" w:lineRule="exact"/>
        <w:rPr>
          <w:sz w:val="20"/>
          <w:szCs w:val="20"/>
          <w:color w:val="auto"/>
        </w:rPr>
      </w:pPr>
    </w:p>
    <w:p>
      <w:pPr>
        <w:ind w:right="40" w:firstLine="509"/>
        <w:spacing w:after="0" w:line="314" w:lineRule="auto"/>
        <w:rPr>
          <w:sz w:val="20"/>
          <w:szCs w:val="20"/>
          <w:color w:val="auto"/>
        </w:rPr>
      </w:pPr>
      <w:r>
        <w:rPr>
          <w:rFonts w:ascii="Arial" w:cs="Arial" w:eastAsia="Arial" w:hAnsi="Arial"/>
          <w:sz w:val="16"/>
          <w:szCs w:val="16"/>
          <w:color w:val="auto"/>
        </w:rPr>
        <w:t>In July 2021, we completed dosing in the NHP toxicology study discussed above. We are currently collecting and analyzing data from the study. There is no way to predict the timing of the FDA’s response (which we anticipate will not be received prior to the first quarter of 2022) or whether the FDA will require additional data or testing before lifting the clinical hold on CTI-1601in full or in part. While we expect to initiate our Jive open-label extension and pediatric MAD trials in the first half of 2022, the timing of these trials could be delayed or modified depending on the results of the NHP toxicology study and/or the FDA's response to these results and any other data we will provide in our complete response to the clinical hold.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 and Liquidity</w:t>
      </w:r>
    </w:p>
    <w:p>
      <w:pPr>
        <w:spacing w:after="0" w:line="135" w:lineRule="exact"/>
        <w:rPr>
          <w:sz w:val="20"/>
          <w:szCs w:val="20"/>
          <w:color w:val="auto"/>
        </w:rPr>
      </w:pPr>
    </w:p>
    <w:p>
      <w:pPr>
        <w:ind w:right="80" w:firstLine="509"/>
        <w:spacing w:after="0" w:line="359"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7"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We have never generated any revenue and have, to date, incurred net losses. We incurred net losses of approximately $41.5 million and $28.3 million for the nine months ended September 30, 2021, and 2020, respectively. As of September 30, 2021, we had an accumulated deficit of $107.1 million. Our losses have resulted principally from costs incurred in connection with research and development activities, and general and administrative costs associated with our operations. We expect to incur significant expenses and operating losses for the foreseeable future.</w:t>
      </w:r>
    </w:p>
    <w:p>
      <w:pPr>
        <w:spacing w:after="0" w:line="62"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advance the development of CTI-1601 through additional clinical trials;</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seek to identify and advance development of additional product candidates into clinical development and identify additional indications for our product candidates;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to obtain regulatory approvals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identify, acquire or in-license other product candidates and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leverage, and expand our intellectual property portfolio; and</w:t>
      </w:r>
    </w:p>
    <w:p>
      <w:pPr>
        <w:spacing w:after="0" w:line="131" w:lineRule="exact"/>
        <w:rPr>
          <w:sz w:val="20"/>
          <w:szCs w:val="20"/>
          <w:color w:val="auto"/>
        </w:rPr>
      </w:pPr>
    </w:p>
    <w:p>
      <w:pPr>
        <w:ind w:left="960" w:right="880"/>
        <w:spacing w:after="0" w:line="293" w:lineRule="auto"/>
        <w:rPr>
          <w:sz w:val="20"/>
          <w:szCs w:val="20"/>
          <w:color w:val="auto"/>
        </w:rPr>
      </w:pPr>
      <w:r>
        <w:rPr>
          <w:rFonts w:ascii="Arial" w:cs="Arial" w:eastAsia="Arial" w:hAnsi="Arial"/>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62" w:lineRule="exact"/>
        <w:rPr>
          <w:sz w:val="20"/>
          <w:szCs w:val="20"/>
          <w:color w:val="auto"/>
        </w:rPr>
      </w:pPr>
    </w:p>
    <w:p>
      <w:pPr>
        <w:ind w:right="100" w:firstLine="509"/>
        <w:spacing w:after="0" w:line="287"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that we can generate significant revenue from product sales, if ever, we expect to finance our operations through a combination of equity offerings, debt financings, other third-party funding, marketing and distribution arrangements and other collaborations, strategic alliances and licensing arrangements.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approvals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ability to pursue our business strategy. We will need to generate significant revenue to achieve profitability and may never do so.</w:t>
      </w:r>
    </w:p>
    <w:p>
      <w:pPr>
        <w:spacing w:after="0" w:line="74"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At September 30, 2021, we had cash, cash equivalents and marketable debt securities totaling $78.0 million. In July 2021, we sold 2,342,720 shares of common stock for net proceeds of $19.9 million under the ATM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ind w:right="80"/>
        <w:spacing w:after="0" w:line="329" w:lineRule="auto"/>
        <w:rPr>
          <w:sz w:val="20"/>
          <w:szCs w:val="20"/>
          <w:color w:val="auto"/>
        </w:rPr>
      </w:pPr>
      <w:r>
        <w:rPr>
          <w:rFonts w:ascii="Arial" w:cs="Arial" w:eastAsia="Arial" w:hAnsi="Arial"/>
          <w:sz w:val="16"/>
          <w:szCs w:val="16"/>
          <w:color w:val="auto"/>
        </w:rPr>
        <w:t>Agreement (as defined below) (See “Liquidity and Capital Resources and "Operating Capital Requirements”). We believe that, based on our current operating plan, our cash, cash equivalents and marketable debt securities as of the filing date of this Quarterly Report on Form 10-Q will enable us to fund operations for at least twelve months from the issuance of our interim financial statements for the quarterly period ended September 30,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3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The pandemic resulted in the temporary stoppage of our CTI-1601 Phase 1 clinical trials in patients with Friedreich’s ataxia in March 2020. In July 2020, we resumed these clinical trials, and have since completed dosing of both our SAD and MAD clinical trials. 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regions of the country. The incidence of variants of COVID-19, has been increasing particularly among unvaccinated individuals and the recent delta variant is proving to be more easily spread than earlier variants. The low vaccination rate, the spread of the variants,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booster doses which could make COVID-19 a long-term infectious disease concern. Our business, results of operations, financial condition and cash flows could be materially and adversely affected. Specifically, we could experience additional delays in future clinical trial timelines as a result of additional travel and hospital restrictions related to the COVID-19 pandemic which may be imposed or could experience supply shortages or manufacturer shutdowns impacting the manufacture of drug substance or drug product which could also impact clinical trial timelines. The financial statements do not reflect any adjustments as a result of the pandemic.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Zafgen</w:t>
      </w:r>
    </w:p>
    <w:p>
      <w:pPr>
        <w:spacing w:after="0" w:line="12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December 17, 2019, we entered into an Agreement and Plan of Merger, (the “Merger Agreement”) with Zordich Merger Sub, Inc. (“Merger Sub”), our wholly owned subsidiary, Chondrial Therapeutics Inc. (“Chondrial”), and Chondrial Holding, LLC (“Holdings”) pursuant to which the Merger Sub merged with and into Chondrial, with Chondrial surviving the merger as our wholly owned subsidiary (the “Merger”). The Merger was completed on May 28, 2020 pursuant to the terms of the Merger Agreement.</w:t>
      </w:r>
    </w:p>
    <w:p>
      <w:pPr>
        <w:spacing w:after="0" w:line="8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and changed our name from Zafgen, Inc. to Larimar Therapeutics, Inc. Following the Merger, the business conducted by Chondrial became our primary business.</w:t>
      </w:r>
    </w:p>
    <w:p>
      <w:pPr>
        <w:spacing w:after="0" w:line="80"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The business combination was accounted for as a reverse acquisition in accordance with U.S. generally accepted accounting principles (“GAAP”). Under this method of accounting, Chondrial was deemed to be the accounting acquirer for financial reporting purposes. This determination was primarily based on the facts that, immediately following the merger: (i) former Chondrial stockholders owned a substantial majority of the voting rights in the combined company, (ii) the majority of the board of directors of the combined company was composed of directors designated by Chondrial under the terms of the Merger Agreement and (iii) existing members of Chondrial management became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w:t>
      </w:r>
    </w:p>
    <w:p>
      <w:pPr>
        <w:spacing w:after="0" w:line="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combination are those of Chondrial. As the Merger has been accounted for as an asset acquisition, goodwill has not been recorded within the condensed combined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On May 28, 2020, we entered into a Securities Purchase Agreement with certain accredited investors for the sale by us in a private placement (the "Private Placement") of 6,105,359 shares of our common stock (the “Private Placement Shares”), and pre-funded warrants to purchase an aggregate of 628,403 shares of our common stock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8" w:name="page29"/>
    <w:bookmarkEnd w:id="28"/>
    <w:p>
      <w:pPr>
        <w:ind w:right="460"/>
        <w:spacing w:after="0" w:line="261" w:lineRule="auto"/>
        <w:rPr>
          <w:sz w:val="20"/>
          <w:szCs w:val="20"/>
          <w:color w:val="auto"/>
        </w:rPr>
      </w:pPr>
      <w:r>
        <w:rPr>
          <w:rFonts w:ascii="Arial" w:cs="Arial" w:eastAsia="Arial" w:hAnsi="Arial"/>
          <w:sz w:val="18"/>
          <w:szCs w:val="18"/>
          <w:color w:val="auto"/>
        </w:rPr>
        <w:t>“Pre-funded Warrants”). The Pre-Funded Warrants were immediately exercisable at an exercise price for $0.01 and are exercisable indefinitely. As of September 30, 2021, none of these Pre-Funded Warrants have been exercised.</w:t>
      </w:r>
    </w:p>
    <w:p>
      <w:pPr>
        <w:spacing w:after="0" w:line="6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are using the net proceeds from the Private Placement for research and development of our product candidates, working capital and general corporate purposes.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520" w:firstLine="509"/>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80" w:firstLine="509"/>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employee related costs, including salaries, benefits and stock-based compensation expenses for employees engaged in scientific research and development functions;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external costs of outside consultants and vendors;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payments made under our third-party licensing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sponsored research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laboratory consumables;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93"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7" w:lineRule="exact"/>
        <w:rPr>
          <w:sz w:val="20"/>
          <w:szCs w:val="20"/>
          <w:color w:val="auto"/>
        </w:rPr>
      </w:pPr>
    </w:p>
    <w:p>
      <w:pPr>
        <w:ind w:left="960" w:right="540"/>
        <w:spacing w:after="0" w:line="293" w:lineRule="auto"/>
        <w:rPr>
          <w:sz w:val="20"/>
          <w:szCs w:val="20"/>
          <w:color w:val="auto"/>
        </w:rPr>
      </w:pPr>
      <w:r>
        <w:rPr>
          <w:rFonts w:ascii="Arial" w:cs="Arial" w:eastAsia="Arial" w:hAnsi="Arial"/>
          <w:sz w:val="18"/>
          <w:szCs w:val="18"/>
          <w:color w:val="auto"/>
        </w:rPr>
        <w:t>the scope, rate of progress and expense of clinical trials and other research and development activities, including the ongoing impact of COVID-19 on these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clinical trial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uncertainties in clinical trial enrollment rate or design;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ind w:left="960"/>
        <w:spacing w:after="0"/>
        <w:rPr>
          <w:sz w:val="20"/>
          <w:szCs w:val="20"/>
          <w:color w:val="auto"/>
        </w:rPr>
      </w:pPr>
      <w:r>
        <w:rPr>
          <w:rFonts w:ascii="Arial" w:cs="Arial" w:eastAsia="Arial" w:hAnsi="Arial"/>
          <w:sz w:val="18"/>
          <w:szCs w:val="18"/>
          <w:color w:val="auto"/>
        </w:rPr>
        <w:t>significant and changing government regulation;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receipt of any regulatory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influence of the FDA’s or other regulatory authority’s on our clinical trial design and timing;</w:t>
      </w:r>
    </w:p>
    <w:p>
      <w:pPr>
        <w:spacing w:after="0" w:line="131" w:lineRule="exact"/>
        <w:rPr>
          <w:sz w:val="20"/>
          <w:szCs w:val="20"/>
          <w:color w:val="auto"/>
        </w:rPr>
      </w:pPr>
    </w:p>
    <w:p>
      <w:pPr>
        <w:ind w:left="960" w:right="580"/>
        <w:spacing w:after="0" w:line="279" w:lineRule="auto"/>
        <w:rPr>
          <w:sz w:val="20"/>
          <w:szCs w:val="20"/>
          <w:color w:val="auto"/>
        </w:rPr>
      </w:pPr>
      <w:r>
        <w:rPr>
          <w:rFonts w:ascii="Arial" w:cs="Arial" w:eastAsia="Arial" w:hAnsi="Arial"/>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75" w:lineRule="exact"/>
        <w:rPr>
          <w:sz w:val="20"/>
          <w:szCs w:val="20"/>
          <w:color w:val="auto"/>
        </w:rPr>
      </w:pPr>
    </w:p>
    <w:p>
      <w:pPr>
        <w:ind w:left="960" w:right="320"/>
        <w:spacing w:after="0" w:line="391" w:lineRule="auto"/>
        <w:rPr>
          <w:sz w:val="20"/>
          <w:szCs w:val="20"/>
          <w:color w:val="auto"/>
        </w:rPr>
      </w:pPr>
      <w:r>
        <w:rPr>
          <w:rFonts w:ascii="Arial" w:cs="Arial" w:eastAsia="Arial" w:hAnsi="Arial"/>
          <w:sz w:val="18"/>
          <w:szCs w:val="18"/>
          <w:color w:val="auto"/>
        </w:rPr>
        <w:t>the impact of the on-going COVID-19 pandemic including the mutations of the original virus that may prove more contagious and deadly; our ability to obtain and maintain patent and trade secret protection and regulatory exclusivity for our product candidates; and our ability to recruit and retain key research and development personnel.</w:t>
      </w:r>
    </w:p>
    <w:p>
      <w:pPr>
        <w:spacing w:after="0" w:line="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340" w:firstLine="509"/>
        <w:spacing w:after="0" w:line="292"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6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CROs, in connection with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vendors in connection with non-clinical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contract manufacturing organizations in connection with the production of non-clinical and clinical trial materials;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vendors related to product candidate manufacturing, development, and distribution of clinical supplies.</w:t>
      </w:r>
    </w:p>
    <w:p>
      <w:pPr>
        <w:spacing w:after="0" w:line="117" w:lineRule="exact"/>
        <w:rPr>
          <w:sz w:val="20"/>
          <w:szCs w:val="20"/>
          <w:color w:val="auto"/>
        </w:rPr>
      </w:pPr>
    </w:p>
    <w:p>
      <w:pPr>
        <w:jc w:val="both"/>
        <w:ind w:right="340" w:firstLine="509"/>
        <w:spacing w:after="0" w:line="269"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77" w:lineRule="exact"/>
        <w:rPr>
          <w:sz w:val="20"/>
          <w:szCs w:val="20"/>
          <w:color w:val="auto"/>
        </w:rPr>
      </w:pPr>
    </w:p>
    <w:p>
      <w:pPr>
        <w:ind w:right="100" w:firstLine="509"/>
        <w:spacing w:after="0" w:line="324" w:lineRule="auto"/>
        <w:rPr>
          <w:sz w:val="20"/>
          <w:szCs w:val="20"/>
          <w:color w:val="auto"/>
        </w:rPr>
      </w:pPr>
      <w:r>
        <w:rPr>
          <w:rFonts w:ascii="Arial" w:cs="Arial" w:eastAsia="Arial" w:hAnsi="Arial"/>
          <w:sz w:val="17"/>
          <w:szCs w:val="17"/>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39"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215"/>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6"/>
                <w:szCs w:val="16"/>
                <w:color w:val="auto"/>
              </w:rPr>
            </w:pPr>
          </w:p>
        </w:tc>
      </w:tr>
      <w:tr>
        <w:trPr>
          <w:trHeight w:val="190"/>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Increase</w:t>
            </w:r>
          </w:p>
        </w:tc>
      </w:tr>
      <w:tr>
        <w:trPr>
          <w:trHeight w:val="209"/>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Pr>
          <w:p>
            <w:pPr>
              <w:spacing w:after="0"/>
              <w:rPr>
                <w:sz w:val="18"/>
                <w:szCs w:val="18"/>
                <w:color w:val="auto"/>
              </w:rPr>
            </w:pPr>
          </w:p>
        </w:tc>
      </w:tr>
      <w:tr>
        <w:trPr>
          <w:trHeight w:val="19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6,919</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120" w:type="dxa"/>
            <w:vAlign w:val="bottom"/>
            <w:shd w:val="clear" w:color="auto" w:fill="CFF0FC"/>
          </w:tcPr>
          <w:p>
            <w:pPr>
              <w:spacing w:after="0"/>
              <w:rPr>
                <w:sz w:val="22"/>
                <w:szCs w:val="22"/>
                <w:color w:val="auto"/>
              </w:rPr>
            </w:pPr>
          </w:p>
        </w:tc>
      </w:tr>
      <w:tr>
        <w:trPr>
          <w:trHeight w:val="250"/>
        </w:trPr>
        <w:tc>
          <w:tcPr>
            <w:tcW w:w="47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(714 )</w:t>
            </w: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(16,730 )</w:t>
            </w:r>
          </w:p>
        </w:tc>
        <w:tc>
          <w:tcPr>
            <w:tcW w:w="1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(10,335 )</w:t>
            </w:r>
          </w:p>
        </w:tc>
        <w:tc>
          <w:tcPr>
            <w:tcW w:w="2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(6,395 )</w:t>
            </w:r>
          </w:p>
        </w:tc>
      </w:tr>
      <w:tr>
        <w:trPr>
          <w:trHeight w:val="256"/>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(136 )</w:t>
            </w:r>
          </w:p>
        </w:tc>
      </w:tr>
      <w:tr>
        <w:trPr>
          <w:trHeight w:val="20"/>
        </w:trPr>
        <w:tc>
          <w:tcPr>
            <w:tcW w:w="47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(16,805 )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(10,274 )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(6,531 )</w:t>
            </w: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-527685</wp:posOffset>
            </wp:positionV>
            <wp:extent cx="1460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-527685</wp:posOffset>
            </wp:positionV>
            <wp:extent cx="1289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-527685</wp:posOffset>
            </wp:positionV>
            <wp:extent cx="768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-193675</wp:posOffset>
            </wp:positionV>
            <wp:extent cx="14605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-193675</wp:posOffset>
            </wp:positionV>
            <wp:extent cx="1289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-193675</wp:posOffset>
            </wp:positionV>
            <wp:extent cx="768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Research and development expenses for the three months ended September 30, 2021 increased $7.1 million compared to the three months ended September 30, 2020. The increase in research and development expenses compared to the prior year period was primarily driven by higher clinical supply manufacturing costs of $6.4 million, higher non-clinical and internal laboratory costs of $1.3 million, an increase of $0.3 million in personnel related costs due to headcount additions in our research and development functions, and an increase of $0.3 million in stock-based compensation expense associated with stock option grants made in the second half of 2020 and thus far in 2021, partially offset by a decrease of $1.4 million in clinical trial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General and administrative expenses for the three months ended September 30, 2021 decreased $0.7 million compared to the three months ended September 30, 2020. The decrease in general and administrative expenses as compared to the prior year period was primarily driven by a decrease of $1.1 million in professional fees primarily associated with accounting, legal and consulting fees, partially offset by an increase of $0.8 million in stock-based compensation expense associated with stock option grants made in the second half of 2020 and thus far in 2021. General and administrative expenses for the third quarter of 2020 included certain costs related to the Reverse Merger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w w:val="92"/>
              </w:rPr>
              <w:t>Nine Months Ended September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9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12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12,971</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(41,379 )</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(28,408 )</w:t>
            </w:r>
          </w:p>
        </w:tc>
        <w:tc>
          <w:tcPr>
            <w:tcW w:w="2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(12,971 )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19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(123 )</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(41,502 )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(28,278 )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(13,224 )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60" w:type="dxa"/>
            <w:vAlign w:val="bottom"/>
            <w:vMerge w:val="restart"/>
          </w:tcPr>
          <w:p>
            <w:pPr>
              <w:jc w:val="right"/>
              <w:ind w:right="390"/>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-1042035</wp:posOffset>
            </wp:positionV>
            <wp:extent cx="1543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-1042035</wp:posOffset>
            </wp:positionV>
            <wp:extent cx="13716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-1042035</wp:posOffset>
            </wp:positionV>
            <wp:extent cx="774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-708025</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-708025</wp:posOffset>
            </wp:positionV>
            <wp:extent cx="13716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-708025</wp:posOffset>
            </wp:positionV>
            <wp:extent cx="7747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00" w:firstLine="509"/>
        <w:spacing w:after="0" w:line="314" w:lineRule="auto"/>
        <w:rPr>
          <w:sz w:val="20"/>
          <w:szCs w:val="20"/>
          <w:color w:val="auto"/>
        </w:rPr>
      </w:pPr>
      <w:r>
        <w:rPr>
          <w:rFonts w:ascii="Arial" w:cs="Arial" w:eastAsia="Arial" w:hAnsi="Arial"/>
          <w:sz w:val="16"/>
          <w:szCs w:val="16"/>
          <w:color w:val="auto"/>
        </w:rPr>
        <w:t>Research and development expenses for the nine months ended September 30, 2021 increased $11.3 million compared to the nine months ended September 30, 2020. The increase in research and development expenses compared to the prior year period was primarily driven by higher clinical supply manufacturing costs of $4.5 million, higher non-clinical and internal laboratory costs of $2.9 million, an increase of $1.7 million in personnel related costs due to increased headcount in our research and development functions, an increase of $1.1 million in stock-based compensation expense associated with stock option grants made in the second half of 2020 and thus far in 2021, and an increase of $0.9 million in clinical trial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General and administrative expenses for the nine months ended September 30, 2021 increased $1.7 million compared to the nine months ended September 30, 2020. The increase in general and administrative expenses as compared to the prior year period was primarily driven by an increase of $1.8 million in stock-based compensation expense associated with stock option grants made in the second half of 2020 and thus far in 2021, and an increase of $1.2 million in costs required to function as a public company (nine months as a publicly-held company in 2021 compared to four months as a publicly-held company in 2020), an increase of $0.5 million in personnel related costs due to increased headcount, partially offset by a decrease of $1.4 million in professional fees primarily associated with accounting, legal and consulting fees. General and administrative expenses for the third quarter of 2020 included certain costs related to the Reverse Merger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6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2"/>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8"/>
              </w:rPr>
              <w:t>(34,187 )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(32,342 )</w:t>
            </w: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17,679</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40,635</w:t>
            </w:r>
          </w:p>
        </w:tc>
        <w:tc>
          <w:tcPr>
            <w:tcW w:w="120" w:type="dxa"/>
            <w:vAlign w:val="bottom"/>
          </w:tcPr>
          <w:p>
            <w:pPr>
              <w:spacing w:after="0"/>
              <w:rPr>
                <w:sz w:val="21"/>
                <w:szCs w:val="21"/>
                <w:color w:val="auto"/>
              </w:rPr>
            </w:pPr>
          </w:p>
        </w:tc>
      </w:tr>
      <w:tr>
        <w:trPr>
          <w:trHeight w:val="257"/>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19,885</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93,345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26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101,638</w:t>
            </w:r>
          </w:p>
        </w:tc>
        <w:tc>
          <w:tcPr>
            <w:tcW w:w="120" w:type="dxa"/>
            <w:vAlign w:val="bottom"/>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-193675</wp:posOffset>
            </wp:positionV>
            <wp:extent cx="16319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-193675</wp:posOffset>
            </wp:positionV>
            <wp:extent cx="7747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31" w:lineRule="exact"/>
        <w:rPr>
          <w:sz w:val="20"/>
          <w:szCs w:val="20"/>
          <w:color w:val="auto"/>
        </w:rPr>
      </w:pPr>
    </w:p>
    <w:p>
      <w:pPr>
        <w:ind w:right="80" w:firstLine="509"/>
        <w:spacing w:after="0" w:line="319" w:lineRule="auto"/>
        <w:rPr>
          <w:sz w:val="20"/>
          <w:szCs w:val="20"/>
          <w:color w:val="auto"/>
        </w:rPr>
      </w:pPr>
      <w:r>
        <w:rPr>
          <w:rFonts w:ascii="Arial" w:cs="Arial" w:eastAsia="Arial" w:hAnsi="Arial"/>
          <w:sz w:val="16"/>
          <w:szCs w:val="16"/>
          <w:color w:val="auto"/>
        </w:rPr>
        <w:t>During the nine months ended September 30, 2021, operating activities used $34.2 million of cash, resulting from our net loss of $41.5 million, adjusted for noncash expenses of $4.2 million. Our net loss was primarily attributable to research and development activities related to our CTI-1601 program and our general and administrative expenses as described above. Noncash expenses primarily include stock-based compensation expense. For the nine months ended September 30, 2021 the change in operating assets and liabilities resulted in a source of cash of $3.1 million.</w:t>
      </w:r>
    </w:p>
    <w:p>
      <w:pPr>
        <w:spacing w:after="0" w:line="48"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During the nine months ended September 30, 2020, operating activities used $32.3 million of cash, resulting from our net loss of $28.3 million, adjusted for noncash expenses of $1.3 million and changes in our operating assets and liabilities of $5.3 million. Noncash expenses primarily include stock-based compensation expense. The change in operating assets and liabilities was primarily due to a decrease in accounts payable following the payment of Merger-related expenses and certain other expenses that were accrued as of December 31,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31" w:lineRule="exact"/>
        <w:rPr>
          <w:sz w:val="20"/>
          <w:szCs w:val="20"/>
          <w:color w:val="auto"/>
        </w:rPr>
      </w:pPr>
    </w:p>
    <w:p>
      <w:pPr>
        <w:ind w:right="60" w:firstLine="509"/>
        <w:spacing w:after="0" w:line="324" w:lineRule="auto"/>
        <w:rPr>
          <w:sz w:val="20"/>
          <w:szCs w:val="20"/>
          <w:color w:val="auto"/>
        </w:rPr>
      </w:pPr>
      <w:r>
        <w:rPr>
          <w:rFonts w:ascii="Arial" w:cs="Arial" w:eastAsia="Arial" w:hAnsi="Arial"/>
          <w:sz w:val="17"/>
          <w:szCs w:val="17"/>
          <w:color w:val="auto"/>
        </w:rPr>
        <w:t>During the nine months ended September 30, 2021, investing activities provided $17.7 million of cash, resulting from a $26.3 million increase from maturities of marketable debt securities, which was partially offset by $1.7 million in purchases of new marketable debt securities.</w:t>
      </w:r>
    </w:p>
    <w:p>
      <w:pPr>
        <w:spacing w:after="0" w:line="39" w:lineRule="exact"/>
        <w:rPr>
          <w:sz w:val="20"/>
          <w:szCs w:val="20"/>
          <w:color w:val="auto"/>
        </w:rPr>
      </w:pPr>
    </w:p>
    <w:p>
      <w:pPr>
        <w:ind w:right="100" w:firstLine="509"/>
        <w:spacing w:after="0" w:line="324" w:lineRule="auto"/>
        <w:rPr>
          <w:sz w:val="20"/>
          <w:szCs w:val="20"/>
          <w:color w:val="auto"/>
        </w:rPr>
      </w:pPr>
      <w:r>
        <w:rPr>
          <w:rFonts w:ascii="Arial" w:cs="Arial" w:eastAsia="Arial" w:hAnsi="Arial"/>
          <w:sz w:val="17"/>
          <w:szCs w:val="17"/>
          <w:color w:val="auto"/>
        </w:rPr>
        <w:t>During the nine months ended September 30, 2020, investing activities used $40.6 million of cash, resulting from a $41.9 million increase from our Merger, which was offset by transaction costs associated with the Merger of $1.2 million and $0.1 million from the purchase of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1"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During the nine months ended September 30, 2021, financing activities provided $19.9 million of net cash, from sale of common stock under the ATM Agreement, after issuance costs.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During the nine months ended September 30, 2020, financing activities provided $93.3 million of net cash, consisting of proceeds from the sale of common stock and prefunded common stock warrants, after issuance costs, from the Private Placement discussed above of $75.4 million and contributions from Holdings of $18.0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3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CTI-1601 is currently in clinical development. We recently completed the dosing of two phase 1 clinical trials and, subject to resolution of the clinical hold with the FDA, and expect to initiate additional interventional studies of CTI-1601 in Friedreich ataxia in the first half of 2022; therefore, we expect to continue to incur significant expenses and operating losses for the foreseeable future. We anticipate that we will continue to incur expenses, if and as we seek to:</w:t>
      </w:r>
    </w:p>
    <w:p>
      <w:pPr>
        <w:spacing w:after="0" w:line="77"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advance the development of CTI-1601 through additional clinical trials, including the cost of clinical materials as well as manufacturing scale up costs;</w:t>
      </w:r>
    </w:p>
    <w:p>
      <w:pPr>
        <w:spacing w:after="0" w:line="62"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identify and advance development of additional product candidates into clinical development and identify additional indications for our product candidates;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regulatory approvals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identify, acquire or in-license other product candidates and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leverage, and expand our intellectual property portfolio; and</w:t>
      </w:r>
    </w:p>
    <w:p>
      <w:pPr>
        <w:spacing w:after="0" w:line="131" w:lineRule="exact"/>
        <w:rPr>
          <w:sz w:val="20"/>
          <w:szCs w:val="20"/>
          <w:color w:val="auto"/>
        </w:rPr>
      </w:pPr>
    </w:p>
    <w:p>
      <w:pPr>
        <w:ind w:left="960" w:right="880"/>
        <w:spacing w:after="0" w:line="293" w:lineRule="auto"/>
        <w:rPr>
          <w:sz w:val="20"/>
          <w:szCs w:val="20"/>
          <w:color w:val="auto"/>
        </w:rPr>
      </w:pPr>
      <w:r>
        <w:rPr>
          <w:rFonts w:ascii="Arial" w:cs="Arial" w:eastAsia="Arial" w:hAnsi="Arial"/>
          <w:sz w:val="18"/>
          <w:szCs w:val="18"/>
          <w:color w:val="auto"/>
        </w:rPr>
        <w:t>expand our operational, financial, management and commercial systems and personnel, including personnel to support our clinical development and future commercialization efforts and our operations as a public company.</w:t>
      </w:r>
    </w:p>
    <w:p>
      <w:pPr>
        <w:spacing w:after="0" w:line="4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In August 2020, we entered into an Equity Distribution Agreement (the "ATM Agreement") with an investment bank, in connection with the establishment of an “at-the-market” offering program under which we can sell up to an aggregate of $50,000,000 of shares of our common stock from time to time through this investment bank, as sales agent. In July 2021, we sold 2,342,720 shares under the ATM Agreement for net proceeds of $19.9 million. As of September 30, 2021, 2,354,244 shares of common stock have been sold under the Agreement for net proceeds of $20.1 million. As of September 30, 2021 and the date of this report, $29.2 million of common stock remains available for sale under the ATM Agreement.</w:t>
      </w:r>
    </w:p>
    <w:p>
      <w:pPr>
        <w:spacing w:after="0" w:line="5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believe that, based on our current operating plan, our cash, cash equivalents and marketable debt securities as of the filing date of this Quarterly Report on Form 10-Q, will enable us to fund operations for at least twelve months from the issuance of our interim financial statements for the quarterly period ended September 30, 2021.</w:t>
      </w:r>
    </w:p>
    <w:p>
      <w:pPr>
        <w:spacing w:after="0" w:line="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 The terms of any financing may adversely affect the holdings or our existing stockholders’ rights. If we are unable to obtain additional funding, we will be forced to delay, reduce, or eliminate some or all of our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4" w:name="page35"/>
    <w:bookmarkEnd w:id="34"/>
    <w:p>
      <w:pPr>
        <w:ind w:right="60"/>
        <w:spacing w:after="0" w:line="261" w:lineRule="auto"/>
        <w:rPr>
          <w:sz w:val="20"/>
          <w:szCs w:val="20"/>
          <w:color w:val="auto"/>
        </w:rPr>
      </w:pPr>
      <w:r>
        <w:rPr>
          <w:rFonts w:ascii="Arial" w:cs="Arial" w:eastAsia="Arial" w:hAnsi="Arial"/>
          <w:sz w:val="18"/>
          <w:szCs w:val="18"/>
          <w:color w:val="auto"/>
        </w:rPr>
        <w:t>research and development programs, product portfolio expansion or commercialization efforts, which would adversely affect our business, or we may be unable to continue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03"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the information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240" w:firstLine="509"/>
        <w:spacing w:after="0" w:line="319"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48"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2" w:lineRule="exact"/>
        <w:rPr>
          <w:sz w:val="20"/>
          <w:szCs w:val="20"/>
          <w:color w:val="auto"/>
        </w:rPr>
      </w:pPr>
    </w:p>
    <w:p>
      <w:pPr>
        <w:ind w:right="320" w:firstLine="509"/>
        <w:spacing w:after="0" w:line="303" w:lineRule="auto"/>
        <w:rPr>
          <w:sz w:val="20"/>
          <w:szCs w:val="20"/>
          <w:color w:val="auto"/>
        </w:rPr>
      </w:pPr>
      <w:r>
        <w:rPr>
          <w:rFonts w:ascii="Arial" w:cs="Arial" w:eastAsia="Arial" w:hAnsi="Arial"/>
          <w:sz w:val="17"/>
          <w:szCs w:val="17"/>
          <w:color w:val="auto"/>
        </w:rPr>
        <w:t>With respect to the quarter ended September 30, 2021,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56"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September 30, 2021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From time to time, we are subject to claims in legal proceedings arising in the normal course of business. To our knowledge, during the three months ended September 30, 2021,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You should carefully consider the risk factors described in our 2020 Annual Report and in our Quarterly Reports for the periods ended March 31, 2021 and June 30, 2021, respectively, under the caption “Item 1A. Risk Factors.” The risks described in our Annual Report and such Quarterly Reports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20" w:type="dxa"/>
            <w:vAlign w:val="bottom"/>
            <w:gridSpan w:val="6"/>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6"/>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12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Principal Executive Officer pursuant to Rule 13a-14(a) or Rule 15d-14(a) of the Securities Exchange Act of 1934, as</w:t>
              </w:r>
            </w:hyperlink>
          </w:p>
        </w:tc>
        <w:tc>
          <w:tcPr>
            <w:tcW w:w="320" w:type="dxa"/>
            <w:vAlign w:val="bottom"/>
            <w:gridSpan w:val="2"/>
          </w:tcPr>
          <w:p>
            <w:pPr>
              <w:spacing w:after="0"/>
              <w:rPr>
                <w:sz w:val="24"/>
                <w:szCs w:val="24"/>
                <w:color w:val="auto"/>
              </w:rPr>
            </w:pPr>
          </w:p>
        </w:tc>
      </w:tr>
      <w:tr>
        <w:trPr>
          <w:trHeight w:val="209"/>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4960" w:type="dxa"/>
            <w:vAlign w:val="bottom"/>
            <w:gridSpan w:val="4"/>
          </w:tcPr>
          <w:p>
            <w:pPr>
              <w:spacing w:after="0"/>
              <w:rPr>
                <w:sz w:val="18"/>
                <w:szCs w:val="18"/>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Financial Officer pursuant to Rule 13a-14(a) or Rule 15d-14(a) of the Securities Exchange Act of 1934, as</w:t>
              </w:r>
            </w:hyperlink>
          </w:p>
        </w:tc>
        <w:tc>
          <w:tcPr>
            <w:tcW w:w="360" w:type="dxa"/>
            <w:vAlign w:val="bottom"/>
            <w:gridSpan w:val="3"/>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4960" w:type="dxa"/>
            <w:vAlign w:val="bottom"/>
            <w:gridSpan w:val="4"/>
          </w:tcPr>
          <w:p>
            <w:pPr>
              <w:spacing w:after="0"/>
              <w:rPr>
                <w:sz w:val="18"/>
                <w:szCs w:val="18"/>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7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Principal Executive Officer and Principal Financial Officer pursuant to 18 U.S.C. Section 1350, as adopted pursuant to</w:t>
              </w:r>
            </w:hyperlink>
          </w:p>
        </w:tc>
        <w:tc>
          <w:tcPr>
            <w:tcW w:w="1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Borders>
              <w:bottom w:val="single" w:sz="8" w:color="0000FF"/>
            </w:tcBorders>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Section 906 of the Sarbanes-Oxley Act of 2002.</w:t>
              </w:r>
            </w:hyperlink>
          </w:p>
        </w:tc>
        <w:tc>
          <w:tcPr>
            <w:tcW w:w="20" w:type="dxa"/>
            <w:vAlign w:val="bottom"/>
            <w:tcBorders>
              <w:bottom w:val="single" w:sz="8" w:color="0000EE"/>
            </w:tcBorders>
          </w:tcPr>
          <w:p>
            <w:pPr>
              <w:spacing w:after="0"/>
              <w:rPr>
                <w:sz w:val="18"/>
                <w:szCs w:val="18"/>
                <w:color w:val="auto"/>
              </w:rPr>
            </w:pPr>
          </w:p>
        </w:tc>
        <w:tc>
          <w:tcPr>
            <w:tcW w:w="6420" w:type="dxa"/>
            <w:vAlign w:val="bottom"/>
            <w:gridSpan w:val="6"/>
          </w:tcPr>
          <w:p>
            <w:pPr>
              <w:spacing w:after="0"/>
              <w:rPr>
                <w:sz w:val="18"/>
                <w:szCs w:val="18"/>
                <w:color w:val="auto"/>
              </w:rPr>
            </w:pPr>
          </w:p>
        </w:tc>
      </w:tr>
      <w:tr>
        <w:trPr>
          <w:trHeight w:val="384"/>
        </w:trPr>
        <w:tc>
          <w:tcPr>
            <w:tcW w:w="12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 its XBRL tag re embedded</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364"/>
        </w:trPr>
        <w:tc>
          <w:tcPr>
            <w:tcW w:w="122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22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Document.</w:t>
            </w:r>
          </w:p>
        </w:tc>
      </w:tr>
      <w:tr>
        <w:trPr>
          <w:trHeight w:val="364"/>
        </w:trPr>
        <w:tc>
          <w:tcPr>
            <w:tcW w:w="122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122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64"/>
        </w:trPr>
        <w:tc>
          <w:tcPr>
            <w:tcW w:w="122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 Document.</w:t>
            </w: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color w:val="auto"/>
              </w:rPr>
              <w:t>LARIMAR THERAPEUTICS, INC.</w:t>
            </w:r>
          </w:p>
        </w:tc>
      </w:tr>
      <w:tr>
        <w:trPr>
          <w:trHeight w:val="459"/>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2320" w:type="dxa"/>
            <w:vAlign w:val="bottom"/>
          </w:tcPr>
          <w:p>
            <w:pPr>
              <w:ind w:left="17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S. Ben-Maimon, M.D.</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Carole S. Ben-Maimon, M.D.</w:t>
            </w:r>
          </w:p>
        </w:tc>
      </w:tr>
      <w:tr>
        <w:trPr>
          <w:trHeight w:val="229"/>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88"/>
        </w:trPr>
        <w:tc>
          <w:tcPr>
            <w:tcW w:w="364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2320" w:type="dxa"/>
            <w:vAlign w:val="bottom"/>
          </w:tcPr>
          <w:p>
            <w:pPr>
              <w:ind w:left="178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Michael Celano</w:t>
            </w:r>
          </w:p>
        </w:tc>
      </w:tr>
      <w:tr>
        <w:trPr>
          <w:trHeight w:val="230"/>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75"/>
        </w:trPr>
        <w:tc>
          <w:tcPr>
            <w:tcW w:w="3640" w:type="dxa"/>
            <w:vAlign w:val="bottom"/>
          </w:tcPr>
          <w:p>
            <w:pPr>
              <w:spacing w:after="0"/>
              <w:rPr>
                <w:sz w:val="24"/>
                <w:szCs w:val="24"/>
                <w:color w:val="auto"/>
              </w:rPr>
            </w:pP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52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Carole S. Ben-Maimon, M.D.,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130" w:lineRule="exact"/>
        <w:rPr>
          <w:rFonts w:ascii="Arial" w:cs="Arial" w:eastAsia="Arial" w:hAnsi="Arial"/>
          <w:sz w:val="18"/>
          <w:szCs w:val="18"/>
          <w:color w:val="auto"/>
        </w:rPr>
      </w:pPr>
    </w:p>
    <w:p>
      <w:pPr>
        <w:ind w:right="260" w:firstLine="8"/>
        <w:spacing w:after="0" w:line="378"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56"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310"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080" w:right="140" w:hanging="323"/>
        <w:spacing w:after="0" w:line="310"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8"/>
          <w:szCs w:val="18"/>
          <w:color w:val="auto"/>
        </w:rPr>
      </w:pPr>
    </w:p>
    <w:p>
      <w:pPr>
        <w:ind w:left="1080" w:right="260" w:hanging="323"/>
        <w:spacing w:after="0" w:line="310"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8"/>
          <w:szCs w:val="18"/>
          <w:color w:val="auto"/>
        </w:rPr>
      </w:pPr>
    </w:p>
    <w:p>
      <w:pPr>
        <w:jc w:val="both"/>
        <w:ind w:left="1080" w:right="440" w:hanging="323"/>
        <w:spacing w:after="0" w:line="387"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40" w:hanging="323"/>
        <w:spacing w:after="0" w:line="310"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8"/>
          <w:szCs w:val="18"/>
          <w:color w:val="auto"/>
        </w:rPr>
      </w:pPr>
    </w:p>
    <w:p>
      <w:pPr>
        <w:ind w:right="480" w:firstLine="8"/>
        <w:spacing w:after="0" w:line="356"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80" w:right="680" w:hanging="323"/>
        <w:spacing w:after="0" w:line="387"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360" w:hanging="323"/>
        <w:spacing w:after="0" w:line="324"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375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Carole S. Ben-Maimon, M.D.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Michael Celano,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Larimar Therapeutics, Inc.;</w:t>
      </w:r>
    </w:p>
    <w:p>
      <w:pPr>
        <w:spacing w:after="0" w:line="130" w:lineRule="exact"/>
        <w:rPr>
          <w:rFonts w:ascii="Arial" w:cs="Arial" w:eastAsia="Arial" w:hAnsi="Arial"/>
          <w:sz w:val="18"/>
          <w:szCs w:val="18"/>
          <w:color w:val="auto"/>
        </w:rPr>
      </w:pPr>
    </w:p>
    <w:p>
      <w:pPr>
        <w:ind w:right="260" w:firstLine="8"/>
        <w:spacing w:after="0" w:line="378"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356"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310"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080" w:right="140" w:hanging="323"/>
        <w:spacing w:after="0" w:line="310"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8"/>
          <w:szCs w:val="18"/>
          <w:color w:val="auto"/>
        </w:rPr>
      </w:pPr>
    </w:p>
    <w:p>
      <w:pPr>
        <w:ind w:left="1080" w:right="260" w:hanging="323"/>
        <w:spacing w:after="0" w:line="310"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8"/>
          <w:szCs w:val="18"/>
          <w:color w:val="auto"/>
        </w:rPr>
      </w:pPr>
    </w:p>
    <w:p>
      <w:pPr>
        <w:jc w:val="both"/>
        <w:ind w:left="1080" w:right="440" w:hanging="323"/>
        <w:spacing w:after="0" w:line="387"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40" w:hanging="323"/>
        <w:spacing w:after="0" w:line="310"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8"/>
          <w:szCs w:val="18"/>
          <w:color w:val="auto"/>
        </w:rPr>
      </w:pPr>
    </w:p>
    <w:p>
      <w:pPr>
        <w:ind w:right="480" w:firstLine="8"/>
        <w:spacing w:after="0" w:line="356"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80" w:right="680" w:hanging="323"/>
        <w:spacing w:after="0" w:line="387"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360" w:hanging="323"/>
        <w:spacing w:after="0" w:line="324"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375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310" w:lineRule="exact"/>
        <w:rPr>
          <w:sz w:val="20"/>
          <w:szCs w:val="20"/>
          <w:color w:val="auto"/>
        </w:rPr>
      </w:pPr>
    </w:p>
    <w:p>
      <w:pPr>
        <w:ind w:right="60"/>
        <w:spacing w:after="0" w:line="357"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0" w:lineRule="exact"/>
        <w:rPr>
          <w:sz w:val="20"/>
          <w:szCs w:val="20"/>
          <w:color w:val="auto"/>
        </w:rPr>
      </w:pPr>
    </w:p>
    <w:p>
      <w:pPr>
        <w:ind w:left="1500" w:right="420" w:hanging="690"/>
        <w:spacing w:after="0" w:line="324" w:lineRule="auto"/>
        <w:tabs>
          <w:tab w:leader="none" w:pos="11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2021 (the “Report”) of the Company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1500" w:right="400" w:hanging="690"/>
        <w:spacing w:after="0" w:line="324" w:lineRule="auto"/>
        <w:tabs>
          <w:tab w:leader="none" w:pos="11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5100" w:type="dxa"/>
            <w:vAlign w:val="bottom"/>
          </w:tcPr>
          <w:p>
            <w:pPr>
              <w:ind w:left="100"/>
              <w:spacing w:after="0"/>
              <w:rPr>
                <w:sz w:val="20"/>
                <w:szCs w:val="20"/>
                <w:color w:val="auto"/>
              </w:rPr>
            </w:pPr>
            <w:r>
              <w:rPr>
                <w:rFonts w:ascii="Arial" w:cs="Arial" w:eastAsia="Arial" w:hAnsi="Arial"/>
                <w:sz w:val="18"/>
                <w:szCs w:val="18"/>
                <w:color w:val="auto"/>
              </w:rPr>
              <w:t>/s/ Carole S. Ben-Maimon, M.D.</w:t>
            </w:r>
          </w:p>
        </w:tc>
      </w:tr>
      <w:tr>
        <w:trPr>
          <w:trHeight w:val="27"/>
        </w:trPr>
        <w:tc>
          <w:tcPr>
            <w:tcW w:w="61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50"/>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Carole S. Ben-Maimon, M.D.</w:t>
            </w:r>
          </w:p>
        </w:tc>
      </w:tr>
      <w:tr>
        <w:trPr>
          <w:trHeight w:val="283"/>
        </w:trPr>
        <w:tc>
          <w:tcPr>
            <w:tcW w:w="614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83"/>
        </w:trPr>
        <w:tc>
          <w:tcPr>
            <w:tcW w:w="614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14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5100" w:type="dxa"/>
            <w:vAlign w:val="bottom"/>
          </w:tcPr>
          <w:p>
            <w:pPr>
              <w:ind w:left="100"/>
              <w:spacing w:after="0"/>
              <w:rPr>
                <w:sz w:val="20"/>
                <w:szCs w:val="20"/>
                <w:color w:val="auto"/>
              </w:rPr>
            </w:pPr>
            <w:r>
              <w:rPr>
                <w:rFonts w:ascii="Arial" w:cs="Arial" w:eastAsia="Arial" w:hAnsi="Arial"/>
                <w:sz w:val="18"/>
                <w:szCs w:val="18"/>
                <w:color w:val="auto"/>
              </w:rPr>
              <w:t>/s/ Michael Celano</w:t>
            </w:r>
          </w:p>
        </w:tc>
      </w:tr>
      <w:tr>
        <w:trPr>
          <w:trHeight w:val="27"/>
        </w:trPr>
        <w:tc>
          <w:tcPr>
            <w:tcW w:w="61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50"/>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Michael Celano</w:t>
            </w:r>
          </w:p>
        </w:tc>
      </w:tr>
      <w:tr>
        <w:trPr>
          <w:trHeight w:val="297"/>
        </w:trPr>
        <w:tc>
          <w:tcPr>
            <w:tcW w:w="614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614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588"/>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2021-11-12T15:46:01Z</dcterms:created>
  <dcterms:modified xsi:type="dcterms:W3CDTF">2021-11-12T15:46:01Z</dcterms:modified>
</cp:coreProperties>
</file>