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7047865" cy="4443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4373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LEFF JONATHAN S</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220"/>
        <w:spacing w:after="0" w:line="328"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05/19/2026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20" w:type="dxa"/>
            <w:vAlign w:val="bottom"/>
            <w:gridSpan w:val="7"/>
          </w:tcPr>
          <w:p>
            <w:pPr>
              <w:jc w:val="center"/>
              <w:ind w:right="84"/>
              <w:spacing w:after="0" w:line="107" w:lineRule="exact"/>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9"/>
          </w:tcPr>
          <w:p>
            <w:pPr>
              <w:ind w:left="360"/>
              <w:spacing w:after="0" w:line="107"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BALA</w:t>
            </w:r>
          </w:p>
        </w:tc>
        <w:tc>
          <w:tcPr>
            <w:tcW w:w="64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19004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CYNWYD</w:t>
            </w:r>
          </w:p>
        </w:tc>
        <w:tc>
          <w:tcPr>
            <w:tcW w:w="118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jc w:val="center"/>
              <w:ind w:left="73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0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0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40" w:type="dxa"/>
            <w:vAlign w:val="bottom"/>
            <w:tcBorders>
              <w:bottom w:val="single" w:sz="8" w:color="2C2C2C"/>
            </w:tcBorders>
            <w:gridSpan w:val="4"/>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3.33</w:t>
            </w:r>
          </w:p>
        </w:tc>
        <w:tc>
          <w:tcPr>
            <w:tcW w:w="120" w:type="dxa"/>
            <w:vAlign w:val="bottom"/>
          </w:tcPr>
          <w:p>
            <w:pPr>
              <w:spacing w:after="0"/>
              <w:rPr>
                <w:sz w:val="17"/>
                <w:szCs w:val="17"/>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0000FF"/>
              </w:rPr>
              <w:t>05/19/2026</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55,150</w:t>
            </w:r>
            <w:r>
              <w:rPr>
                <w:rFonts w:ascii="Times New Roman" w:cs="Times New Roman" w:eastAsia="Times New Roman" w:hAnsi="Times New Roman"/>
                <w:sz w:val="20"/>
                <w:szCs w:val="20"/>
                <w:color w:val="008000"/>
                <w:vertAlign w:val="superscript"/>
              </w:rPr>
              <w:t>(1)</w:t>
            </w:r>
          </w:p>
        </w:tc>
        <w:tc>
          <w:tcPr>
            <w:tcW w:w="30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05/19/2036</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tcPr>
          <w:p>
            <w:pPr>
              <w:ind w:left="20"/>
              <w:spacing w:after="0" w:line="202" w:lineRule="exact"/>
              <w:rPr>
                <w:sz w:val="20"/>
                <w:szCs w:val="20"/>
                <w:color w:val="auto"/>
              </w:rPr>
            </w:pPr>
            <w:r>
              <w:rPr>
                <w:rFonts w:ascii="Times New Roman" w:cs="Times New Roman" w:eastAsia="Times New Roman" w:hAnsi="Times New Roman"/>
                <w:sz w:val="16"/>
                <w:szCs w:val="16"/>
                <w:color w:val="0000FF"/>
              </w:rPr>
              <w:t>55,150</w:t>
            </w:r>
            <w:r>
              <w:rPr>
                <w:rFonts w:ascii="Times New Roman" w:cs="Times New Roman" w:eastAsia="Times New Roman" w:hAnsi="Times New Roman"/>
                <w:sz w:val="20"/>
                <w:szCs w:val="20"/>
                <w:color w:val="008000"/>
                <w:vertAlign w:val="superscript"/>
              </w:rPr>
              <w:t>(1)</w:t>
            </w:r>
          </w:p>
        </w:tc>
        <w:tc>
          <w:tcPr>
            <w:tcW w:w="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3"/>
                <w:szCs w:val="13"/>
                <w:color w:val="0000FF"/>
              </w:rPr>
              <w:t>55,150</w:t>
            </w:r>
            <w:r>
              <w:rPr>
                <w:rFonts w:ascii="Times New Roman" w:cs="Times New Roman" w:eastAsia="Times New Roman" w:hAnsi="Times New Roman"/>
                <w:sz w:val="20"/>
                <w:szCs w:val="20"/>
                <w:color w:val="008000"/>
                <w:vertAlign w:val="superscript"/>
              </w:rPr>
              <w:t>(1)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 partner in Deerfield Management Company, L.P., has no pecuniary interest in the securities reported herein and disclaims beneficial ownership of such securities. The Reporting Person holds the options for the benefit, and at the direction, of Deerfield Management Company, L.P.</w:t>
      </w:r>
    </w:p>
    <w:p>
      <w:pPr>
        <w:spacing w:after="0" w:line="21"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19, 2027 or (b) the date of the Company's next annual meeting of stockholders, in each case subject to the Reporting Person's continued service on the Board of Directors of the Company.</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Jennifer Johansson,</w:t>
            </w:r>
          </w:p>
        </w:tc>
        <w:tc>
          <w:tcPr>
            <w:tcW w:w="54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05/20/2026</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9"/>
              </w:rPr>
              <w:t>Attorney-in-fact</w:t>
            </w:r>
          </w:p>
        </w:tc>
        <w:tc>
          <w:tcPr>
            <w:tcW w:w="9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6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524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2026-05-20T17:05:04Z</dcterms:created>
  <dcterms:modified xsi:type="dcterms:W3CDTF">2026-05-20T17:05:04Z</dcterms:modified>
</cp:coreProperties>
</file>