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rmr-20260630.htm"/>
      <w:bookmarkStart w:id="1" w:name="kslrmr20260630"/>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 to ____</w:t>
      </w:r>
    </w:p>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001-36510</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LARIMAR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20-3857670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Bala Plaza East, Suite 506</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19004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Bala Cynwyd, PA</w:t>
            </w:r>
            <w:r>
              <w:rPr>
                <w:rFonts w:ascii="Times New Roman" w:hAnsi="Times New Roman"/>
                <w:color w:val="000000"/>
                <w:sz w:val="20"/>
              </w:rPr>
              <w:t xml:space="preserve">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(844) 511-9056</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4"/>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03" w:type="dxa"/>
        <w:jc w:val="left"/>
        <w:tblInd w:w="0" w:type="dxa"/>
        <w:tblLayout w:type="fixed"/>
        <w:tblCellMar>
          <w:top w:w="28" w:type="dxa"/>
          <w:left w:w="28" w:type="dxa"/>
          <w:bottom w:w="28" w:type="dxa"/>
          <w:right w:w="28" w:type="dxa"/>
        </w:tblCellMar>
      </w:tblPr>
      <w:tblGrid>
        <w:gridCol w:w="3151"/>
        <w:gridCol w:w="1426"/>
        <w:gridCol w:w="3226"/>
      </w:tblGrid>
      <w:tr>
        <w:trPr/>
        <w:tc>
          <w:tcPr>
            <w:tcW w:w="31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15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LRMR</w:t>
            </w:r>
          </w:p>
        </w:tc>
        <w:tc>
          <w:tcPr>
            <w:tcW w:w="32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As of August 2, 2026, there were 103,882,937</w:t>
      </w:r>
      <w:r>
        <w:rPr>
          <w:rFonts w:ascii="Times New Roman" w:hAnsi="Times New Roman"/>
          <w:color w:val="000000"/>
          <w:sz w:val="20"/>
        </w:rPr>
        <w:t xml:space="preserve"> </w:t>
      </w:r>
      <w:r>
        <w:rPr>
          <w:rFonts w:ascii="Times New Roman" w:hAnsi="Times New Roman"/>
          <w:color w:val="000000"/>
          <w:sz w:val="18"/>
        </w:rPr>
        <w:t>shares of the registrant’s Common Stock, $0.001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Statements made in this Quarterly Report on Form 10-Q that are not statements of historical or current facts are “forward-looking statements” within the meaning of the Private Securities Litigation Reform Act of 1995, as amended.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understand that the following important factors could affect our future results and could cause those results or other outcomes to differ materially from those expressed or implied in our forward-looking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in obtaining successful non-clinical or clinical results that reliably and meaningfully demonstrate safety, tolerability and efficacy profiles that are satisfactory to the U.S. Food and Drug Administration (“FDA”), European Medicines Agency (“EMA”) and other comparable regulatory authorities for marketing approval for nomlabofusp or any other product candidates that we may develop in the future and unexpected costs that may result therefrom;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patient recruitment for our clinical trials (including as a result of the impact of FDA approval of competitive products for the treatment of Friedreich's ataxia (“FA”), and/or the impact of other clinical trials of competitive products), delays as a result of clinical and non-clinical results and/or the FDA's request for additional information or studies (whether clinical or non-clinical), changes in clinical protocols, adverse events, regulatory restrictions, including clinical holds, and milestones for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execute our ongoing open label trial and our planned Phase 3 global registration study, including the timing of site initiations and the rate of patient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benefit from participating in the FDA’s Support for Clinical Trials Advancing Rare Disease Therapeutics (“START”) pilot program for the development of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benefit from the FDA’s Breakthrough Therapy Designation;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associated with the clinical development and regulatory approval for nomlabofusp in the United States and in other countries, including potential delays in the commencement, enrollment and completion of clinical trials, our ability to submit the additional modules of our Biologics License Application (“BLA”) to the FDA on the intended timeline or the submission of similar applications to other countries for accelerated approval and our ability to supply to the FDA or to regulatory authorities in other countries all required data to review and accept an accelerated application, or any other product candidates that we may develop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difficulties and expenses associated with obtaining and maintaining regulatory approval for nomlabofusp or any other product candidates we may develop in the future, and the indication and labeling under any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use of proceeds from our recent and future financings, if 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and the ability of third-party manufacturers we engage, to optimize, scale and validate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regulatory requirements applicable to our business and other regulatory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of the potential markets for nomlabofusp, if approved, or any other product candidates that we may develop in the future, the rate and degree of market acceptance of nomlabofusp or any other product candidate, if approved, that we may develop in the future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both approved and competing therapies and products in non-clinical and clinical development for the treatment of FA, our ability to obtain and maintain designations or eligibility for expedited regulatory programs, and to commercialize current and future product candidates, if approved, (including the impact of potential barriers to entry if a competitor is able to establish and maintain a strong market position before we are able to commercialize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patent protection and defend our intellectual property rights against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and compliance with the rules and regulations of the FDA (and all other regulatory authorities) of third parties upon which we depend, including third-party contract research organizations (“CROs”), third party contract manufacturing organizations ("CMOs"), consultants, distributors, and logistics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and retain key scientific, technical, commercial, and management personnel and to retain our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proper functionality and security of our internal computer and information systems and prevent or avoid cyber-attacks, malicious intrusion, breakdown, destruction, loss of data privacy or other significant disruption;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geopolitical conflicts and tensions (including the war in the Middle East and other regional conflicts around the world), adverse macroeconomic events, including those due to inflationary pressures, rising interest rates, banking instability, monetary policy changes, changes in trade policies, (including tariffs or trade protection measures that have been or may in the future be imposed by the U.S. or other countries), economic slowdowns or recessions, health epidemics, unforeseen emergencies and other outbreaks of communicable diseases that could disrupt our operations, the operations of third parties on which we rely or the operations of regulatory agencies we interact with in the development of nomlabofusp and any other product candidates that we may develop in the future;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impact of regulatory developments in the U.S., including regulatory developments due to changes in the U.S. presidential administration, healthcare reform in the United States, including the Inflation Reduction Act of 2022 (“IRA”), and measures being taken worldwide designed to reduce healthcare costs and limit the overall level of government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19, 2026 and our Quarterly Report on Form 10-Q filed on May 14, 2026. 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INDEX</w:t>
      </w:r>
      <w:r>
        <w:rPr>
          <w:rFonts w:ascii="Times New Roman" w:hAnsi="Times New Roman"/>
          <w:color w:val="000000"/>
          <w:sz w:val="20"/>
        </w:rPr>
        <w:t xml:space="preserve">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32"/>
        <w:gridCol w:w="146"/>
        <w:gridCol w:w="8815"/>
        <w:gridCol w:w="147"/>
        <w:gridCol w:w="365"/>
      </w:tblGrid>
      <w:tr>
        <w:trPr/>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1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Times New Roman" w:hAnsi="Times New Roman"/>
                  <w:b/>
                  <w:color w:val="0000FF"/>
                  <w:sz w:val="20"/>
                  <w:u w:val="single"/>
                </w:rPr>
                <w:t>PART I - FINANCIAL INFORMATION</w:t>
              </w:r>
            </w:hyperlink>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2026 and December 31, 2025</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for the three and six months ended June 30, 2026 and 2025</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hange">
              <w:r>
                <w:rPr>
                  <w:rStyle w:val="InternetLink"/>
                  <w:rFonts w:ascii="Times New Roman" w:hAnsi="Times New Roman"/>
                  <w:color w:val="0000FF"/>
                  <w:sz w:val="20"/>
                  <w:u w:val="single"/>
                </w:rPr>
                <w:t>Condensed Consolidated Statements of Changes in Stockholders' Equity for the three and six months ended June 30, 2026 and 2025</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2026 and 2025</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r>
              <w:rPr>
                <w:rFonts w:ascii="Times New Roman" w:hAnsi="Times New Roman"/>
                <w:color w:val="000000"/>
                <w:sz w:val="20"/>
              </w:rPr>
              <w:t xml:space="preserve">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Times New Roman" w:hAnsi="Times New Roman"/>
                  <w:b/>
                  <w:color w:val="0000FF"/>
                  <w:sz w:val="20"/>
                  <w:u w:val="single"/>
                </w:rPr>
                <w:t>PART II - OTHER INFORMATION</w:t>
              </w:r>
            </w:hyperlink>
            <w:hyperlink w:anchor="part_ii_or_information">
              <w:r>
                <w:rPr>
                  <w:rStyle w:val="InternetLink"/>
                  <w:rFonts w:ascii="Times New Roman" w:hAnsi="Times New Roman"/>
                  <w:color w:val="0000FF"/>
                  <w:sz w:val="20"/>
                </w:rPr>
                <w:t xml:space="preserve"> </w:t>
              </w:r>
            </w:hyperlink>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r>
              <w:rPr>
                <w:rFonts w:ascii="Times New Roman" w:hAnsi="Times New Roman"/>
                <w:color w:val="000000"/>
                <w:sz w:val="20"/>
              </w:rPr>
              <w:t xml:space="preserve">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360" w:after="283"/>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532" w:type="dxa"/>
        <w:jc w:val="left"/>
        <w:tblInd w:w="0" w:type="dxa"/>
        <w:tblLayout w:type="fixed"/>
        <w:tblCellMar>
          <w:top w:w="28" w:type="dxa"/>
          <w:left w:w="28" w:type="dxa"/>
          <w:bottom w:w="28" w:type="dxa"/>
          <w:right w:w="28" w:type="dxa"/>
        </w:tblCellMar>
      </w:tblPr>
      <w:tblGrid>
        <w:gridCol w:w="6336"/>
        <w:gridCol w:w="146"/>
        <w:gridCol w:w="211"/>
        <w:gridCol w:w="841"/>
        <w:gridCol w:w="166"/>
        <w:gridCol w:w="146"/>
        <w:gridCol w:w="219"/>
        <w:gridCol w:w="876"/>
        <w:gridCol w:w="591"/>
      </w:tblGrid>
      <w:tr>
        <w:trPr/>
        <w:tc>
          <w:tcPr>
            <w:tcW w:w="6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142,022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per share; 5,000,000 shares authorized</w:t>
              <w:br/>
              <w:t>   as of June 30, 2026 and December 31, 2025; 500,000 and 250,000</w:t>
              <w:br/>
              <w:t>   shares issued and outstanding as of June 30, 2026 and</w:t>
              <w:br/>
              <w: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per share; 215,000,000 and 115,000,000</w:t>
              <w:br/>
              <w:t>    shares authorized as of June 30, 2026 and December 31, 2025,</w:t>
              <w:br/>
              <w:t>    respectively; 103,882,937 and 83,090,392 shares issued and</w:t>
              <w:br/>
              <w:t>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512,779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(434,831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1"/>
        <w:gridCol w:w="546"/>
        <w:gridCol w:w="211"/>
        <w:gridCol w:w="1141"/>
        <w:gridCol w:w="166"/>
        <w:gridCol w:w="146"/>
        <w:gridCol w:w="211"/>
        <w:gridCol w:w="1036"/>
        <w:gridCol w:w="166"/>
        <w:gridCol w:w="211"/>
        <w:gridCol w:w="1036"/>
        <w:gridCol w:w="166"/>
        <w:gridCol w:w="211"/>
        <w:gridCol w:w="1036"/>
        <w:gridCol w:w="611"/>
      </w:tblGrid>
      <w:tr>
        <w:trPr/>
        <w:tc>
          <w:tcPr>
            <w:tcW w:w="33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basic and</w:t>
              <w:br/>
              <w:t>    diluted net loss per share: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103,882,937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64,027,892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96,887,741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63,996,126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6" w:name="condensed_consolidated_statements_change"/>
      <w:bookmarkEnd w:id="6"/>
      <w:r>
        <w:rPr>
          <w:rFonts w:ascii="Times New Roman" w:hAnsi="Times New Roman"/>
          <w:b/>
          <w:color w:val="000000"/>
          <w:sz w:val="20"/>
        </w:rPr>
        <w:t>CONDENSED CONSOLIDATED STATEMENTS OF CHANGES IN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1295" w:type="dxa"/>
        <w:jc w:val="left"/>
        <w:tblInd w:w="0" w:type="dxa"/>
        <w:tblLayout w:type="fixed"/>
        <w:tblCellMar>
          <w:top w:w="28" w:type="dxa"/>
          <w:left w:w="28" w:type="dxa"/>
          <w:bottom w:w="28" w:type="dxa"/>
          <w:right w:w="28" w:type="dxa"/>
        </w:tblCellMar>
      </w:tblPr>
      <w:tblGrid>
        <w:gridCol w:w="1261"/>
        <w:gridCol w:w="146"/>
        <w:gridCol w:w="781"/>
        <w:gridCol w:w="146"/>
        <w:gridCol w:w="146"/>
        <w:gridCol w:w="211"/>
        <w:gridCol w:w="346"/>
        <w:gridCol w:w="146"/>
        <w:gridCol w:w="146"/>
        <w:gridCol w:w="146"/>
        <w:gridCol w:w="1141"/>
        <w:gridCol w:w="166"/>
        <w:gridCol w:w="146"/>
        <w:gridCol w:w="211"/>
        <w:gridCol w:w="421"/>
        <w:gridCol w:w="166"/>
        <w:gridCol w:w="146"/>
        <w:gridCol w:w="211"/>
        <w:gridCol w:w="781"/>
        <w:gridCol w:w="146"/>
        <w:gridCol w:w="146"/>
        <w:gridCol w:w="211"/>
        <w:gridCol w:w="841"/>
        <w:gridCol w:w="166"/>
        <w:gridCol w:w="146"/>
        <w:gridCol w:w="437"/>
        <w:gridCol w:w="779"/>
        <w:gridCol w:w="166"/>
        <w:gridCol w:w="146"/>
        <w:gridCol w:w="220"/>
        <w:gridCol w:w="81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83,090,392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preferred stock in exchange for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103,882,937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103,882,937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CONSOLIDATED STATEMENTS OF CHANGES IN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(Continued)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2"/>
        <w:gridCol w:w="146"/>
        <w:gridCol w:w="1036"/>
        <w:gridCol w:w="146"/>
        <w:gridCol w:w="146"/>
        <w:gridCol w:w="263"/>
        <w:gridCol w:w="431"/>
        <w:gridCol w:w="146"/>
        <w:gridCol w:w="146"/>
        <w:gridCol w:w="211"/>
        <w:gridCol w:w="781"/>
        <w:gridCol w:w="146"/>
        <w:gridCol w:w="146"/>
        <w:gridCol w:w="211"/>
        <w:gridCol w:w="841"/>
        <w:gridCol w:w="166"/>
        <w:gridCol w:w="146"/>
        <w:gridCol w:w="405"/>
        <w:gridCol w:w="811"/>
        <w:gridCol w:w="166"/>
        <w:gridCol w:w="146"/>
        <w:gridCol w:w="225"/>
        <w:gridCol w:w="838"/>
        <w:gridCol w:w="214"/>
      </w:tblGrid>
      <w:tr>
        <w:trPr/>
        <w:tc>
          <w:tcPr>
            <w:tcW w:w="2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63,815,065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171,812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64,027,892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144,271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64,027,892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72"/>
        <w:gridCol w:w="346"/>
        <w:gridCol w:w="211"/>
        <w:gridCol w:w="781"/>
        <w:gridCol w:w="566"/>
        <w:gridCol w:w="546"/>
        <w:gridCol w:w="211"/>
        <w:gridCol w:w="781"/>
        <w:gridCol w:w="591"/>
      </w:tblGrid>
      <w:tr>
        <w:trPr/>
        <w:tc>
          <w:tcPr>
            <w:tcW w:w="617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 on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(11,911</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equity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107,666</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107,680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cash equivalents and 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86,018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93,143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included in accounts payable and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costs included in accounts payable and accrued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Leased assets obtained in exchange for new 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8" w:name="notes_to_condensed_consolidated_financia"/>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and 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nomlabofusp,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Larimar and its wholly owned subsidiary. All intercompany balances and transactions have been eliminated. The accompanying condensed consolidated financial statements have been prepared in conformity with U.S. Generally Accepted Accounting Principles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balance sheet as of December 31, 2025 was derived from the Company’s audited financial statements but does not include all disclosures required by GAAP. The accompanying unaudited condensed consolidated financial statements as of June 30, 2026 and for the three and six months ended June 30, 2026 and 2025,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2025 included in the Company’s Annual Report on Form 10-K filed with the SEC on March 19,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all adjustments, consisting only of normal recurring adjustments necessary for a fair statement of the Company’s condensed consolidated financial position as of June 30, 2026, condensed consolidated results of operations for the three and six months ended June 30, 2026 and condensed consolidated statement of cash flows for the six months ended June 30, 2026 have been made. The results of operations for the three and six months ended June 30, 2026 are not necessarily indicative of the results of operations that may be expected for the year ending December 31, 2026.</w:t>
      </w:r>
    </w:p>
    <w:p>
      <w:pPr>
        <w:pStyle w:val="TextBody"/>
        <w:bidi w:val="0"/>
        <w:spacing w:before="120" w:after="283"/>
        <w:jc w:val="left"/>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its inception, the Company has incurred significant recurring operating losses and negative cash flows from operations. The Company has incurred net losses of $62.4 million and $55.5 million for the six months ended June 30, 2026 and 2025, respectively. In addition, as of June 30, 2026, the Company had an accumulated deficit of $497.2 million. The Company expects to continue to generate operating losses for the foreseeable future. As of June 30, 2026, the Company had approximately $156.3 million of cash, cash equivalents and marketable securities available for use to fund its operations and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funded its operations to date primarily with proceeds from sales of common stock and proceeds from the sale of prefunded warrants for the purchase of common stock, the acquisition in 2020 of cash, cash equivalents and marketable securities upon the merger with Zafgen, Inc. (“Zafgen”) and, prior to the 2020 merger with Zafgen, capital contributions from Chondrial Holdings,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Company completed an underwritten public offering of common stock raising net proceeds of approximately $65.0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Company completed another underwritten public offering of common stock raising net proceeds of approximately $107.6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Accounting Standards Update (“ASU”) No. 2014-15,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these unaudited condensed consolidated financial statements are issued. While the Company expects its cash, cash equivalents and marketable securities will fund its forecasted operating expenses and capital expenditure requirements into the third quarter of 2027, these cash resources are not sufficient to fund the Company’s planned operations for a period of at least one year from the date these unaudited condensed consolidated financial statements are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need to raise additional capital to fund its ongoing operations. The Company continues to evaluate opportunities to further finance its operating cash needs through a combination of some, or all, of the following: equity or debt offerings, royalty financings, collaborations, strategic alliances, and/or marketing, distribution or licensing arrangements. In addition, the Company believes it will be eligible for the FDA's rare pediatric disease priority review voucher which could then be sold if nomlabofusp receives FDA approval. There is no assurance, however, that additional financing will be available when needed or that the Company will be able to obtain financing on terms acceptable to the Company. If the Company is unable to obtain funding when required in the future, the Company could be required to delay, reduce, or eliminate research and development programs, or commercialization efforts, which could adversely affect its business prospects. These conditions raise substantial doubt about the Company’s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assuming the Company will continue as a going concern, which contemplates the realization of assets and satisfaction of liabilities in the normal course of the business. The unaudited condensed consolidated financial statements do not include any adjustments relating to the recoverability and classification of recorded asset amounts or the amounts and classifications of liabilities that might result from the outcome of this uncertainty.</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Significant estimates and assumptions reflected in these condensed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key service providers.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Upfront payments, milestone payments and annual maintenance fees under license agreements are currently expensed in the period in which they are incurred.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patent-related costs incurred in connection with filing and prosecuting patent applications are expensed as incurred due to the uncertainty about the recovery of the expenditure. Amounts incurred are classified as general and administrative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its stock-based compensation awards in accordance with FASB ASC Topic 718, Compensation-Stock Compensation (ASC 718). ASC 718 requires all stock-based payments to employees, including grants of employee stock options, restricted stock units, modifications to existing stock options, and equity classified warrants to be recognized in the consolidated statements of operations based on their grant date fair values. The grant-date fair value of stock options is estimated using the Black-Scholes option pricing model. The grant-date fair value of restricted stock awards and performance-based restricted stock awards are determined based on the closing price of the Company’s common stock on the date of grant (or, if the grant date is not a business day, the closing price on the preceding business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of stock options and restricted stock units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 For performance-based restricted stock awards, the Company recognizes the expense over the estimated period in which the awards are expected to be earned; such period begins once achievement of the performance objective is determined to be probable.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for which separate discrete information is available for evaluation by the chief operating decision maker, or decision making group, in deciding how to allocate resources in assessing performance. The Company is managed on a consolidated basis and has one operating and reportable segment related to the development of clinical and preclinical product candidates for the development of the Company’s proprietary new therapies, primarily nomlabofusp, the Company's life science segment. The Company’s chief operating decision maker (“CODM”) is the Company's chief executive officer (“CEO”).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of the life science segment are the same as those described in the summary of significant accounting policies. The CODM assesses performance for the Company and its reportable segment based on net loss, which is reported on the consolidated Statements of Operations. The measure of segment assets is reported on the balance sheet as total consolidated assets. All long-lived assets are located in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 Company has not generated any product revenue. The Company expects to continue to incur significant expenses and operating losses for the foreseeable future as it advances product candidates through all stages of development and clinical trials and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uses consolidated financial information, including consolidated net loss, to evaluate performance, forecast future period financial results, allocate resources for the company by, among other things, comparing budgeted to actual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the significant expense categories regularly provided to the CODM for the three and six months ended June 30, 2026 and 2025:</w:t>
      </w:r>
    </w:p>
    <w:p>
      <w:pPr>
        <w:pStyle w:val="TextBody"/>
        <w:bidi w:val="0"/>
        <w:jc w:val="left"/>
        <w:rPr/>
      </w:pPr>
      <w:r>
        <w:rPr/>
        <w:t> </w:t>
      </w:r>
    </w:p>
    <w:tbl>
      <w:tblPr>
        <w:tblW w:w="8876" w:type="dxa"/>
        <w:jc w:val="left"/>
        <w:tblInd w:w="0" w:type="dxa"/>
        <w:tblLayout w:type="fixed"/>
        <w:tblCellMar>
          <w:top w:w="28" w:type="dxa"/>
          <w:left w:w="28" w:type="dxa"/>
          <w:bottom w:w="28" w:type="dxa"/>
          <w:right w:w="28" w:type="dxa"/>
        </w:tblCellMar>
      </w:tblPr>
      <w:tblGrid>
        <w:gridCol w:w="2771"/>
        <w:gridCol w:w="146"/>
        <w:gridCol w:w="272"/>
        <w:gridCol w:w="951"/>
        <w:gridCol w:w="214"/>
        <w:gridCol w:w="188"/>
        <w:gridCol w:w="272"/>
        <w:gridCol w:w="951"/>
        <w:gridCol w:w="166"/>
        <w:gridCol w:w="254"/>
        <w:gridCol w:w="886"/>
        <w:gridCol w:w="199"/>
        <w:gridCol w:w="175"/>
        <w:gridCol w:w="254"/>
        <w:gridCol w:w="886"/>
        <w:gridCol w:w="291"/>
      </w:tblGrid>
      <w:tr>
        <w:trPr/>
        <w:tc>
          <w:tcPr>
            <w:tcW w:w="2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Technical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Development </w:t>
            </w:r>
            <w:r>
              <w:rPr>
                <w:rFonts w:ascii="Times New Roman" w:hAnsi="Times New Roman"/>
                <w:color w:val="000000"/>
                <w:sz w:val="13"/>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Nomlabofusp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(c)(d)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Commercial </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(62,395</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sz w:val="24"/>
        </w:rPr>
      </w:pPr>
      <w:r>
        <w:rPr>
          <w:rFonts w:ascii="Times New Roman" w:hAnsi="Times New Roman"/>
          <w:color w:val="000000"/>
          <w:sz w:val="20"/>
        </w:rPr>
        <w:t>Development expenses include research and development related stock compensation expense of approximately $1.1</w:t>
      </w:r>
      <w:r>
        <w:rPr>
          <w:rFonts w:ascii="Times New Roman" w:hAnsi="Times New Roman"/>
          <w:color w:val="000000"/>
          <w:sz w:val="24"/>
        </w:rPr>
        <w:t xml:space="preserve"> </w:t>
      </w:r>
      <w:r>
        <w:rPr>
          <w:rFonts w:ascii="Times New Roman" w:hAnsi="Times New Roman"/>
          <w:color w:val="000000"/>
          <w:sz w:val="20"/>
        </w:rPr>
        <w:t>million and $0.9</w:t>
      </w:r>
      <w:r>
        <w:rPr>
          <w:rFonts w:ascii="Times New Roman" w:hAnsi="Times New Roman"/>
          <w:color w:val="000000"/>
          <w:sz w:val="24"/>
        </w:rPr>
        <w:t xml:space="preserve"> </w:t>
      </w:r>
      <w:r>
        <w:rPr>
          <w:rFonts w:ascii="Times New Roman" w:hAnsi="Times New Roman"/>
          <w:color w:val="000000"/>
          <w:sz w:val="20"/>
        </w:rPr>
        <w:t xml:space="preserve">million for the three months ended June 30, 2026 and 2025, respectively.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sz w:val="24"/>
        </w:rPr>
      </w:pPr>
      <w:r>
        <w:rPr>
          <w:rFonts w:ascii="Times New Roman" w:hAnsi="Times New Roman"/>
          <w:color w:val="000000"/>
          <w:sz w:val="20"/>
        </w:rPr>
        <w:t>Development expenses include research and development related stock compensation expense of approximately $2.1</w:t>
      </w:r>
      <w:r>
        <w:rPr>
          <w:rFonts w:ascii="Times New Roman" w:hAnsi="Times New Roman"/>
          <w:color w:val="000000"/>
          <w:sz w:val="24"/>
        </w:rPr>
        <w:t xml:space="preserve"> </w:t>
      </w:r>
      <w:r>
        <w:rPr>
          <w:rFonts w:ascii="Times New Roman" w:hAnsi="Times New Roman"/>
          <w:color w:val="000000"/>
          <w:sz w:val="20"/>
        </w:rPr>
        <w:t>million and $1.8</w:t>
      </w:r>
      <w:r>
        <w:rPr>
          <w:rFonts w:ascii="Times New Roman" w:hAnsi="Times New Roman"/>
          <w:color w:val="000000"/>
          <w:sz w:val="24"/>
        </w:rPr>
        <w:t xml:space="preserve"> </w:t>
      </w:r>
      <w:r>
        <w:rPr>
          <w:rFonts w:ascii="Times New Roman" w:hAnsi="Times New Roman"/>
          <w:color w:val="000000"/>
          <w:sz w:val="20"/>
        </w:rPr>
        <w:t>million for the six months ended June 30, 2026 and 2025,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sz w:val="24"/>
        </w:rPr>
      </w:pPr>
      <w:r>
        <w:rPr>
          <w:rFonts w:ascii="Times New Roman" w:hAnsi="Times New Roman"/>
          <w:color w:val="000000"/>
          <w:sz w:val="20"/>
        </w:rPr>
        <w:t>General and administrative expenses include general and administrative related stock compensation expense of approximately $1.1</w:t>
      </w:r>
      <w:r>
        <w:rPr>
          <w:rFonts w:ascii="Times New Roman" w:hAnsi="Times New Roman"/>
          <w:color w:val="000000"/>
          <w:sz w:val="24"/>
        </w:rPr>
        <w:t xml:space="preserve"> </w:t>
      </w:r>
      <w:r>
        <w:rPr>
          <w:rFonts w:ascii="Times New Roman" w:hAnsi="Times New Roman"/>
          <w:color w:val="000000"/>
          <w:sz w:val="20"/>
        </w:rPr>
        <w:t>million and $0.9</w:t>
      </w:r>
      <w:r>
        <w:rPr>
          <w:rFonts w:ascii="Times New Roman" w:hAnsi="Times New Roman"/>
          <w:color w:val="000000"/>
          <w:sz w:val="24"/>
        </w:rPr>
        <w:t xml:space="preserve"> </w:t>
      </w:r>
      <w:r>
        <w:rPr>
          <w:rFonts w:ascii="Times New Roman" w:hAnsi="Times New Roman"/>
          <w:color w:val="000000"/>
          <w:sz w:val="20"/>
        </w:rPr>
        <w:t>million for the three months ended June 30, 2026 and 2025,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sz w:val="24"/>
        </w:rPr>
      </w:pPr>
      <w:r>
        <w:rPr>
          <w:rFonts w:ascii="Times New Roman" w:hAnsi="Times New Roman"/>
          <w:color w:val="000000"/>
          <w:sz w:val="20"/>
        </w:rPr>
        <w:t>General and administrative expenses include general and administrative related stock compensation expense of approximately $2.0</w:t>
      </w:r>
      <w:r>
        <w:rPr>
          <w:rFonts w:ascii="Times New Roman" w:hAnsi="Times New Roman"/>
          <w:color w:val="000000"/>
          <w:sz w:val="24"/>
        </w:rPr>
        <w:t xml:space="preserve"> </w:t>
      </w:r>
      <w:r>
        <w:rPr>
          <w:rFonts w:ascii="Times New Roman" w:hAnsi="Times New Roman"/>
          <w:color w:val="000000"/>
          <w:sz w:val="20"/>
        </w:rPr>
        <w:t>million and $1.8</w:t>
      </w:r>
      <w:r>
        <w:rPr>
          <w:rFonts w:ascii="Times New Roman" w:hAnsi="Times New Roman"/>
          <w:color w:val="000000"/>
          <w:sz w:val="24"/>
        </w:rPr>
        <w:t xml:space="preserve"> </w:t>
      </w:r>
      <w:r>
        <w:rPr>
          <w:rFonts w:ascii="Times New Roman" w:hAnsi="Times New Roman"/>
          <w:color w:val="000000"/>
          <w:sz w:val="20"/>
        </w:rPr>
        <w:t>million for the six months ended June 30, 2026 and 2025,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rFonts w:ascii="Times New Roman" w:hAnsi="Times New Roman"/>
          <w:color w:val="000000"/>
          <w:sz w:val="20"/>
        </w:rPr>
      </w:pPr>
      <w:r>
        <w:rPr>
          <w:rFonts w:ascii="Times New Roman" w:hAnsi="Times New Roman"/>
          <w:color w:val="000000"/>
          <w:sz w:val="20"/>
        </w:rPr>
        <w:t>Commercial expenses relate to commercial readiness activities.</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consolidated results of operations, cash flows or financial position.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which requires disaggregated disclosures in the notes of the financial statements of certain categories of expenses that are included in expense line items on the face of the income statement. This ASU is effective for annual periods beginning after December 15, 2026, and interim periods within annual reporting periods beginning after December 15, 2027. Early adoption is permitted. The Company will evaluate the impact adopting ASU 2024-03 will have on the Company's consolidated financial statements and disclosures.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We record valuation allowances to reduce deferred tax assets to the amount we believe is more likely than not to be realized. During the three and six months ended June 30, 2026 and 2025, the Company recorded no income tax benefits for the net operating losses incurred in each period due to the uncertainty of realizing a benefit from those items.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 and Marketable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assets and liabilities that are measured at fair value on a recurring basis as of June 30, 2026 and December 31, 2025 are measured in accordance with the standards of ASC 820,“</w:t>
      </w:r>
      <w:r>
        <w:rPr>
          <w:rFonts w:ascii="Times New Roman" w:hAnsi="Times New Roman"/>
          <w:i/>
          <w:color w:val="000000"/>
          <w:sz w:val="20"/>
        </w:rPr>
        <w:t>Fair Value Measurements and Disclosures</w:t>
      </w:r>
      <w:r>
        <w:rPr>
          <w:rFonts w:ascii="Times New Roman" w:hAnsi="Times New Roman"/>
          <w:color w:val="000000"/>
          <w:sz w:val="20"/>
        </w:rPr>
        <w:t xml:space="preserve">”,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
        <w:gridCol w:w="9490"/>
      </w:tblGrid>
      <w:tr>
        <w:trPr/>
        <w:tc>
          <w:tcPr>
            <w:tcW w:w="715" w:type="dxa"/>
            <w:tcBorders/>
            <w:vAlign w:val="center"/>
          </w:tcPr>
          <w:p>
            <w:pPr>
              <w:pStyle w:val="TableContents"/>
              <w:bidi w:val="0"/>
              <w:spacing w:before="0" w:after="283"/>
              <w:jc w:val="left"/>
              <w:rPr>
                <w:sz w:val="4"/>
                <w:szCs w:val="4"/>
              </w:rPr>
            </w:pPr>
            <w:r>
              <w:rPr>
                <w:sz w:val="4"/>
                <w:szCs w:val="4"/>
              </w:rPr>
            </w:r>
          </w:p>
        </w:tc>
        <w:tc>
          <w:tcPr>
            <w:tcW w:w="9490" w:type="dxa"/>
            <w:tcBorders/>
            <w:vAlign w:val="center"/>
          </w:tcPr>
          <w:p>
            <w:pPr>
              <w:pStyle w:val="TableContents"/>
              <w:bidi w:val="0"/>
              <w:spacing w:before="0" w:after="283"/>
              <w:jc w:val="left"/>
              <w:rPr>
                <w:sz w:val="4"/>
                <w:szCs w:val="4"/>
              </w:rPr>
            </w:pPr>
            <w:r>
              <w:rPr>
                <w:sz w:val="4"/>
                <w:szCs w:val="4"/>
              </w:rPr>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 1</w:t>
            </w:r>
          </w:p>
        </w:tc>
        <w:tc>
          <w:tcPr>
            <w:tcW w:w="94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to the valuation methodology are quoted prices (unadjusted) for identical assets or liabilities in active markets.</w:t>
            </w:r>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 2</w:t>
            </w:r>
          </w:p>
        </w:tc>
        <w:tc>
          <w:tcPr>
            <w:tcW w:w="94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to the valuation methodology include quoted prices for similar assets and liabilities in active markets, and inputs that are observable for the asset or liability, either directly or indirectly, for substantially the full term of the financial instrument.</w:t>
            </w:r>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 3</w:t>
            </w:r>
          </w:p>
        </w:tc>
        <w:tc>
          <w:tcPr>
            <w:tcW w:w="94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to the valuation methodology are unobservable and significant to the fair value measurement.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instruments consist primarily of cash, cash equivalents, marketable securities, accounts payable and accrued liabilities. For accounts payable and accrued liabilities, the carrying amounts of these financial instruments as of June 30, 2026 and December 31, 2025 were considered representative of their fair values due to their short term to maturity.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Company’s cash equivalents and marketable securities as of June 30, 2026 and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81"/>
        <w:gridCol w:w="146"/>
        <w:gridCol w:w="211"/>
        <w:gridCol w:w="781"/>
        <w:gridCol w:w="146"/>
        <w:gridCol w:w="146"/>
        <w:gridCol w:w="211"/>
        <w:gridCol w:w="781"/>
        <w:gridCol w:w="146"/>
        <w:gridCol w:w="146"/>
        <w:gridCol w:w="251"/>
        <w:gridCol w:w="680"/>
        <w:gridCol w:w="146"/>
        <w:gridCol w:w="146"/>
        <w:gridCol w:w="415"/>
        <w:gridCol w:w="681"/>
        <w:gridCol w:w="691"/>
      </w:tblGrid>
      <w:tr>
        <w:trPr/>
        <w:tc>
          <w:tcPr>
            <w:tcW w:w="4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 in</w:t>
              <w:br/>
              <w:t>Active</w:t>
              <w:br/>
              <w:t xml:space="preserve">Markets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 xml:space="preserve">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 xml:space="preserve">Inputs </w:t>
              <w:br/>
              <w:t>(Level 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 invested in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87,638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87,638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8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12" w:type="dxa"/>
        <w:jc w:val="left"/>
        <w:tblInd w:w="0" w:type="dxa"/>
        <w:tblLayout w:type="fixed"/>
        <w:tblCellMar>
          <w:top w:w="28" w:type="dxa"/>
          <w:left w:w="28" w:type="dxa"/>
          <w:bottom w:w="28" w:type="dxa"/>
          <w:right w:w="28" w:type="dxa"/>
        </w:tblCellMar>
      </w:tblPr>
      <w:tblGrid>
        <w:gridCol w:w="4876"/>
        <w:gridCol w:w="146"/>
        <w:gridCol w:w="211"/>
        <w:gridCol w:w="781"/>
        <w:gridCol w:w="146"/>
        <w:gridCol w:w="146"/>
        <w:gridCol w:w="211"/>
        <w:gridCol w:w="676"/>
        <w:gridCol w:w="146"/>
        <w:gridCol w:w="146"/>
        <w:gridCol w:w="211"/>
        <w:gridCol w:w="676"/>
        <w:gridCol w:w="146"/>
        <w:gridCol w:w="146"/>
        <w:gridCol w:w="211"/>
        <w:gridCol w:w="346"/>
        <w:gridCol w:w="69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ind w:left="0" w:right="0" w:firstLine="300"/>
              <w:jc w:val="left"/>
              <w:rPr>
                <w:sz w:val="4"/>
                <w:szCs w:val="4"/>
              </w:rPr>
            </w:pPr>
            <w:r>
              <w:rPr>
                <w:sz w:val="4"/>
                <w:szCs w:val="4"/>
              </w:rPr>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 invested in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accrued interest receivable related to the Company’s investments was $0.3 million and $0.7 million as of June 30, 2026 and December 31, 2025, respectively, and it is included in prepaid expenses and other current assets on the condensed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its money market funds and U.S. treasury bills, which are valued based on quoted market prices in active markets with no valuation adjustment, as Level 1 assets within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June 30, 2026 and December 31, 2025, no allowances for credit losses for the Company’s investments were recorded. During the three and six months ended June 30, 2026 and 2025, the Company did not recognize any impairment losses related to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Company's cash equivalents and marketable securities consisted of a U.S. government money market fund, U.S. Treasury Bills, and U.S. government and agency securities, all held in our name in a separate custody account with U.S. Bank. The U.S. government money market fund has same-day liquidity access and the U.S. government and agency securities all have maturities of 360 days or less.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Company's marketable securities as of June 30, 2026 and December 31, 2025: </w:t>
      </w:r>
    </w:p>
    <w:p>
      <w:pPr>
        <w:pStyle w:val="TextBody"/>
        <w:bidi w:val="0"/>
        <w:jc w:val="left"/>
        <w:rPr/>
      </w:pPr>
      <w:r>
        <w:rPr/>
        <w:t> </w:t>
      </w:r>
    </w:p>
    <w:tbl>
      <w:tblPr>
        <w:tblW w:w="7934" w:type="dxa"/>
        <w:jc w:val="left"/>
        <w:tblInd w:w="0" w:type="dxa"/>
        <w:tblLayout w:type="fixed"/>
        <w:tblCellMar>
          <w:top w:w="28" w:type="dxa"/>
          <w:left w:w="28" w:type="dxa"/>
          <w:bottom w:w="28" w:type="dxa"/>
          <w:right w:w="28" w:type="dxa"/>
        </w:tblCellMar>
      </w:tblPr>
      <w:tblGrid>
        <w:gridCol w:w="2711"/>
        <w:gridCol w:w="146"/>
        <w:gridCol w:w="211"/>
        <w:gridCol w:w="676"/>
        <w:gridCol w:w="146"/>
        <w:gridCol w:w="146"/>
        <w:gridCol w:w="335"/>
        <w:gridCol w:w="551"/>
        <w:gridCol w:w="146"/>
        <w:gridCol w:w="146"/>
        <w:gridCol w:w="334"/>
        <w:gridCol w:w="596"/>
        <w:gridCol w:w="166"/>
        <w:gridCol w:w="146"/>
        <w:gridCol w:w="211"/>
        <w:gridCol w:w="676"/>
        <w:gridCol w:w="591"/>
      </w:tblGrid>
      <w:tr>
        <w:trPr/>
        <w:tc>
          <w:tcPr>
            <w:tcW w:w="2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 xml:space="preserve">Unrealized </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63,580</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 held no investments that have been in a continuous loss position for 12 months or longer.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w:t>
      </w:r>
    </w:p>
    <w:p>
      <w:pPr>
        <w:pStyle w:val="TextBody"/>
        <w:bidi w:val="0"/>
        <w:jc w:val="left"/>
        <w:rPr/>
      </w:pPr>
      <w:r>
        <w:rPr/>
        <w:t> </w:t>
      </w:r>
    </w:p>
    <w:tbl>
      <w:tblPr>
        <w:tblW w:w="6182" w:type="dxa"/>
        <w:jc w:val="left"/>
        <w:tblInd w:w="0" w:type="dxa"/>
        <w:tblLayout w:type="fixed"/>
        <w:tblCellMar>
          <w:top w:w="28" w:type="dxa"/>
          <w:left w:w="28" w:type="dxa"/>
          <w:bottom w:w="28" w:type="dxa"/>
          <w:right w:w="28" w:type="dxa"/>
        </w:tblCellMar>
      </w:tblPr>
      <w:tblGrid>
        <w:gridCol w:w="3676"/>
        <w:gridCol w:w="146"/>
        <w:gridCol w:w="211"/>
        <w:gridCol w:w="571"/>
        <w:gridCol w:w="146"/>
        <w:gridCol w:w="146"/>
        <w:gridCol w:w="294"/>
        <w:gridCol w:w="80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Fixed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Fixed assets, net consisted of the following:</w:t>
      </w:r>
    </w:p>
    <w:p>
      <w:pPr>
        <w:pStyle w:val="TextBody"/>
        <w:bidi w:val="0"/>
        <w:jc w:val="left"/>
        <w:rPr/>
      </w:pPr>
      <w:r>
        <w:rPr/>
        <w:t> </w:t>
      </w:r>
    </w:p>
    <w:tbl>
      <w:tblPr>
        <w:tblW w:w="6399" w:type="dxa"/>
        <w:jc w:val="left"/>
        <w:tblInd w:w="0" w:type="dxa"/>
        <w:tblLayout w:type="fixed"/>
        <w:tblCellMar>
          <w:top w:w="28" w:type="dxa"/>
          <w:left w:w="28" w:type="dxa"/>
          <w:bottom w:w="28" w:type="dxa"/>
          <w:right w:w="28" w:type="dxa"/>
        </w:tblCellMar>
      </w:tblPr>
      <w:tblGrid>
        <w:gridCol w:w="2731"/>
        <w:gridCol w:w="146"/>
        <w:gridCol w:w="916"/>
        <w:gridCol w:w="146"/>
        <w:gridCol w:w="211"/>
        <w:gridCol w:w="631"/>
        <w:gridCol w:w="166"/>
        <w:gridCol w:w="146"/>
        <w:gridCol w:w="274"/>
        <w:gridCol w:w="821"/>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was $0.1 million for the three and six months ended June 30, 2026, respectively. Depreciation expense was $0.1 million and $0.2 million for the three and six months ended June 30, 2025, respectively. In addition, for the three and six months ended June 30, 2026 and 2025, there was less than $0.1 million of depreciation related to sublet assets recorded as other expense.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consisted of the following: </w:t>
      </w:r>
    </w:p>
    <w:p>
      <w:pPr>
        <w:pStyle w:val="TextBody"/>
        <w:bidi w:val="0"/>
        <w:jc w:val="left"/>
        <w:rPr/>
      </w:pPr>
      <w:r>
        <w:rPr/>
        <w:t> </w:t>
      </w:r>
    </w:p>
    <w:tbl>
      <w:tblPr>
        <w:tblW w:w="6347" w:type="dxa"/>
        <w:jc w:val="left"/>
        <w:tblInd w:w="0" w:type="dxa"/>
        <w:tblLayout w:type="fixed"/>
        <w:tblCellMar>
          <w:top w:w="28" w:type="dxa"/>
          <w:left w:w="28" w:type="dxa"/>
          <w:bottom w:w="28" w:type="dxa"/>
          <w:right w:w="28" w:type="dxa"/>
        </w:tblCellMar>
      </w:tblPr>
      <w:tblGrid>
        <w:gridCol w:w="3736"/>
        <w:gridCol w:w="146"/>
        <w:gridCol w:w="211"/>
        <w:gridCol w:w="676"/>
        <w:gridCol w:w="146"/>
        <w:gridCol w:w="146"/>
        <w:gridCol w:w="260"/>
        <w:gridCol w:w="835"/>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Stockholders’ Equity and Stock Options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Company's annual meeting of stockholder on May 19, 2026, the Company's stockholders approved and increase in the number of authorized shares of common stock, par value $0.001 per share from 115,000,000 shares to 215,000,000 shares. As of June 30, 2026, the Company’s Ninth Amended and Restated Certificate of Incorporation, as amended, authorized the Company to issue up to 215,000,000 shares of common stock, par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$0.001 per share, of which 103,882,937 shares were issued and outstanding, and up to 5,000,000 shares of undesignated preferred stock, par value $0.001 per share, of which 500,000 shares were issued and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2025, the Company sold 21,562,500 shares of its common stock in an underwritten public offering at a price of $3.20 per share and received net proceeds of approximately $65.0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Company sold 23,000,000 shares of its common stock in an underwritten public offering at a price of $5.00 per share and received net proceeds of approximately $107.6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ATM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the Company entered into a sales agreement (the "ATM Agreement") with Guggenheim Securities, LLC in connection with the establishment of an “at-the-market” offering program under which the Company could sell up to an aggregate of $100 million of shares of common stock (the “ATM Shares”) from time to time. To date, no sales of common stock have been made under this ATM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Company entered into an exchange agreement (the “Exchange Agreement”) with Blue Owl Healthcare Opportunities IV Public Investments LP (the “Stockholder”) pursuant to which the Stockholder exchanged 2,500,000 shares of the Company’s common stock for 250,000 shares of newly designated Series A Convertible Preferred Stock of par value $0.001 per share (the “Series A Preferred Stock”). In January 2026, the Stockholder exchanged an additional 2,500,000 shares of the Company’s common stock for an additional 250,000 shares of Series A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share of the Series A Preferred Stock will be convertible into ten shares of common stock at the option of the holder at any time, subject to certain limitations, including that the holder will be prohibited from converting preferred stock into common stock if, as a result of such conversion, the holder, together with its affiliates, would beneficially own a number of shares of common stock more than 9.99% of the total common stock then issued and outstanding immediately following the conversion of such shares of Series A Preferred Stock. Holders of the Series A Preferred Stock are permitted to increase this percentage to an amount not to exceed 19.99% upon 60 days’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Series A Preferred Stock will generally have no voting rights, except as required by law and except that the consent of a majority of the holders of the outstanding Series A Preferred Stock will be required to amend the terms of the preferred stock. In the event of the Company’s liquidation, dissolution or winding up, holders of Series A Preferred Stock will participate pari passu with any distribution of proceeds to holders of common stock, calculated on an as-converted basis. Holders of preferred stock are entitled to receive when, as, and if dividends are declared and paid on the common stock, an equivalent dividend, calculated on an as-converted basis. Shares of Series A Preferred Stock are otherwise not entitled to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Series A Preferred Stock ranks on parity with the common stock and any class or series of capital stock of the Company created specifically ranking by its terms on parity with the preferred stock. Additionally, it ranks senior to any class or series of capital stock of the Company hereafter created specifically ranking by its terms junior to the preferred stock and junior to any class or series of capital stock of Larimar created specifically ranking by its terms senior to any preferred stock, in each case, as to distributions of assets upon liquidation, dissolution or winding up of the Company, whether voluntarily or involuntarily.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adopted the 2020 Equity Incentive Plan (the“2020 Plan”) on July 16, 2020 and the stockholders of the Company approved the 2020 Plan on September 29, 2020. The 2020 Plan replaced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of the 2020 Plan, the shares subject to that award will be added to the 2020 Plan share pool so that they can be utilized for new grants under the 2020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2020 Plan provides for the grant of incentive stock options (“ISOs”), nonstatutory stock options (“NSOs”), stock appreciation rights, restricted stock awards, restricted stock unit awards, performance-based restricted stock units,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in respect of incentive stock options is 8,000,000 over the ten-year term of the 2020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permitted by the 2020 Plan, the Company added 3,323,616 and 2,552,603 shares available for grant to the 2020 Plan on January 1, 2026 and January 1, 2025, respectively. As of June 30, 2026, 848,841 shares of common stock were available for grant under the 2020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and twelve months ended December 31, 2025, options to purchase 1,623 and 1,333 shares, respectively, issued under the Prior Plans were cancelled and became available for grant under the 2020 Plan.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 Valuation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on a weighted average basis, the assumptions used in the Black-Scholes option-pricing model to determine the grant-date fair value of stock options granted to employees during the six months ended June 30, 2026:</w:t>
      </w:r>
    </w:p>
    <w:p>
      <w:pPr>
        <w:pStyle w:val="TextBody"/>
        <w:bidi w:val="0"/>
        <w:jc w:val="left"/>
        <w:rPr/>
      </w:pPr>
      <w:r>
        <w:rPr/>
        <w:t> </w:t>
      </w:r>
    </w:p>
    <w:tbl>
      <w:tblPr>
        <w:tblW w:w="2998" w:type="dxa"/>
        <w:jc w:val="left"/>
        <w:tblInd w:w="0" w:type="dxa"/>
        <w:tblLayout w:type="fixed"/>
        <w:tblCellMar>
          <w:top w:w="28" w:type="dxa"/>
          <w:left w:w="28" w:type="dxa"/>
          <w:bottom w:w="28" w:type="dxa"/>
          <w:right w:w="28" w:type="dxa"/>
        </w:tblCellMar>
      </w:tblPr>
      <w:tblGrid>
        <w:gridCol w:w="2086"/>
        <w:gridCol w:w="146"/>
        <w:gridCol w:w="76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6.17</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stock option activity for the six months ended June 30, 2026 (amounts in millions, except for share, contractual term, and per share data):</w:t>
      </w:r>
    </w:p>
    <w:p>
      <w:pPr>
        <w:pStyle w:val="TextBody"/>
        <w:bidi w:val="0"/>
        <w:jc w:val="left"/>
        <w:rPr/>
      </w:pPr>
      <w:r>
        <w:rPr/>
        <w:t> </w:t>
      </w:r>
    </w:p>
    <w:tbl>
      <w:tblPr>
        <w:tblW w:w="10077" w:type="dxa"/>
        <w:jc w:val="left"/>
        <w:tblInd w:w="0" w:type="dxa"/>
        <w:tblLayout w:type="fixed"/>
        <w:tblCellMar>
          <w:top w:w="28" w:type="dxa"/>
          <w:left w:w="28" w:type="dxa"/>
          <w:bottom w:w="28" w:type="dxa"/>
          <w:right w:w="28" w:type="dxa"/>
        </w:tblCellMar>
      </w:tblPr>
      <w:tblGrid>
        <w:gridCol w:w="4051"/>
        <w:gridCol w:w="146"/>
        <w:gridCol w:w="146"/>
        <w:gridCol w:w="1036"/>
        <w:gridCol w:w="166"/>
        <w:gridCol w:w="146"/>
        <w:gridCol w:w="248"/>
        <w:gridCol w:w="548"/>
        <w:gridCol w:w="146"/>
        <w:gridCol w:w="146"/>
        <w:gridCol w:w="418"/>
        <w:gridCol w:w="1037"/>
        <w:gridCol w:w="146"/>
        <w:gridCol w:w="146"/>
        <w:gridCol w:w="354"/>
        <w:gridCol w:w="606"/>
        <w:gridCol w:w="5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(a)</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Options 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11,056,215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expected to vest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11,056,215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The aggregate intrinsic value is calculated as the difference between the exercise price of the underlying options and the fair value of the common stock for the options that were (“In the money”)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Option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granted options to purchase 2,636,040 shares of common stock to employees and directors under the 2020 Plan. The options have an exercise price equal to the closing stock price as of the grant date. Of the 2,636,040 options granted, 2,360,290 were granted to employees and vest over four years, with 25% vesting on the first anniversary of the grant and the remainder vesting in equal monthly installments thereafter. The remaining 275,750 options were annual grants to the Company's directors and vest on the earlier of (i) one year from the grant date or (ii) the date of the Company's next annual meeting of stockholders. The weighted-average grant date fair value of options granted under the 2020 Plan during the six months ended June 30, 2026 was $2.87.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total unrecognized compensation expense related to unvested stock options granted under the 2020 Plan was $14.7 million, which is expected to be recognized over a weighted average period of 2.40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Inducement Stock Option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inducement awards granted in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total unrecognized compensation expense related to unvested inducement options granted was $0.2 million, which is expected to be recognized over a weighted average period of 0.82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RSUs are granted under the 2020 Plan to certain of the Company's employees in order to retain key employees. The value of an RSU award is based on the Company's stock price on the date of grant. The shares underlying the RSUs are not issued until the RSUs vest.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with respect to the Company's RSUs and performance-based RSUs during the six months ended June 30, 2026 was as follows (in millions, except share, contractual term,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59"/>
        <w:gridCol w:w="146"/>
        <w:gridCol w:w="146"/>
        <w:gridCol w:w="931"/>
        <w:gridCol w:w="166"/>
        <w:gridCol w:w="146"/>
        <w:gridCol w:w="292"/>
        <w:gridCol w:w="647"/>
        <w:gridCol w:w="146"/>
        <w:gridCol w:w="146"/>
        <w:gridCol w:w="418"/>
        <w:gridCol w:w="1020"/>
        <w:gridCol w:w="146"/>
        <w:gridCol w:w="146"/>
        <w:gridCol w:w="352"/>
        <w:gridCol w:w="604"/>
        <w:gridCol w:w="594"/>
      </w:tblGrid>
      <w:tr>
        <w:trPr/>
        <w:tc>
          <w:tcPr>
            <w:tcW w:w="4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(a)</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and expected to vest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Stock Unit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the Company granted 527,190 shares of RSUs to employees under the 2020 Plan. The RSUs vest annually over four years and have a weighted-average grant date fair value of $3.60 per unit.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total unrecognized compensation expense for RSUs was $3.2 million, which is expected to be recognized over a weighted average period of 2.70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Performance-Based Restricted Stock Unit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granted performance-based RSUs (the “January 2025 PSU Awards”) to each of the four executive officers of the Company under the 2020 Plan. Each award was expressed as a target number of RSUs. With respect to the January 2025 PSU Awards, the Board established specified regulatory-related performance criteria and a corresponding performance period over which such performance criteria must be achieved, the satisfaction of which are conditions to earning the January 2025 PSU Awards and vesting of the underlying RSUs. As of June 30, 2026, the January 2025 PSU Awards were outstanding covering 200,000 common stock underlying RSUs.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 date fair value of the performance-based RSUs was $3.46 per unit based on the grant date closing price per share. As of June 30, 2026, the underlying performance criteria of the January 2025 PSU Awards were determined to be not probable of achievement for accounting purposes, and no stock-based compensation expense was recognized for the three and six months ended June 30, 2026 and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was classified in the condensed consolidated statements of operations as follows:</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2311"/>
        <w:gridCol w:w="146"/>
        <w:gridCol w:w="257"/>
        <w:gridCol w:w="697"/>
        <w:gridCol w:w="178"/>
        <w:gridCol w:w="178"/>
        <w:gridCol w:w="257"/>
        <w:gridCol w:w="697"/>
        <w:gridCol w:w="146"/>
        <w:gridCol w:w="146"/>
        <w:gridCol w:w="235"/>
        <w:gridCol w:w="637"/>
        <w:gridCol w:w="162"/>
        <w:gridCol w:w="162"/>
        <w:gridCol w:w="235"/>
        <w:gridCol w:w="637"/>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w:t>
      </w:r>
    </w:p>
    <w:p>
      <w:pPr>
        <w:pStyle w:val="TextBody"/>
        <w:bidi w:val="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Intellectual Property Licenses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party to an exclusive License Agreement (the "IU License"), dated November 30, 2016, as amended, with Indiana University (“IU”). Such agreement provides for a transferable, worldwide license to certain patent rights regarding technology used by the Company with respect to the development of nomlabofusp.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partial consideration for the right and license granted under the agreement, the Company will pay IU a royalty of a low single digit percentage of net sales of licensed products depending on whether there is a valid patent covering such products. As additional consideration for these agreements, the Company is obligated to pay IU certain milestone payments of up to $2.0 million in the aggregate upon the achievement of certain developmental milestones, which commenced with the enrollment of the first patient in a Phase 1 clinical trial. The Company enrolled the first patient in its SAD trial on December 11, 2019 and paid IU less than $0.1 million. The Company will also pay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IU for patent-related expenses. In the event that the Company disputes the validity of any of the licensed patents, the royalty rate would be tripled during such dispute. The Company is also obligated to pay to IU a minimum annual royalty of less than $0.1 million per annum.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the Company initiated dosing of a Phase 2 study. Pursuant to the terms of the IU License, the company recognized milestone expense of $0.1 million within research and development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agreement continues from its effective date through the last to date of expiration of the licensed patent, unless earlier terminated by either party in accordance with the terms of the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previously a party to the License Agreement dated November 30, 2016, with Wake Forest University Health Sciences (“WFUHS”), which licensed certain patent rights regarding technology used by us with respect to the development of nomlabofusp in consideration for an obligation to pay WFUHS a royalty of a low single digit percentage of net sales of licensed products, certain milestones, and certain sublicensing revenue. The WFUHS license expired in December 2025 with the last to expire licensed patent.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Bala Cynwyd Office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8, 2019, the Company entered into an operating lease for 4,642 square footage of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2023, the Company executed a lease extension agreement on its original 4,642 square footage of office space in Bala Cynwyd, Pennsylvania (which was set to expire in August 2023) and agreed to lease an additional 3,462 square feet of office space from the same landlord.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lease extension on the original 4,642 square footage commenced on September 1, 2023 and the Company recorded a right of use asset and lease liability of $0.5 million as of that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new lease on 3,462 additional square footage commenced on October 1, 2023 and the Company recorded a right of use asset and lease liability of $0.3 million as of that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24, 2025, the Company executed the second amendment to the lease on the current 8,104 square footage of office space in Bala Cynwyd, Pennsylvania which was set to expire in August 2026 that extended the lease term on the then current 8,104 square footage through January 31, 2030 and agreed to lease an additional 7,107 square feet of space from the same landlord. The lease on the additional space commenced on April 14, 2026 and the Company recorded a right of use asset and lease liability of $1.5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 of use assets and lease liabilities with this lease are reflected in the financial statements for six months ended June 30, 2026 as are the right of use asset and lease liability of the Company's Boston office space discussed below.</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Boston Office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Company's 2020 merger with Zafgen, on May 28, 2020, the Company acquired a non-cancellable operating lease for approximately 17,705 square feet of office space (the “Premises”). The lease expires on October 30, 2029. As part of the agreement, the Company was initially required to maintain a letter of credit, of $1.3 million. In October 2024, pursuant to an agreement with the landlord acknowledging that we had achieved certain clinical development milestones required under the lease, this letter of credit was reduced to $0.6 million. In June 2026, upon the agreement with the landlord that we had achieved certain clinical development milestones required in the lease, this letter of credit was reduced to $0.5 million. During both periods presented, this cash deposit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(“Impairment Testing: Long-Lived Assets Classified as Held and Used”) and determined there was no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Lab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16, 2023, the Company entered into an operating lease for lab space in King of Prussia, Pennsylvania for a period of four years. Due to required tenant improvements to be completed by the landlord, the Company did not take immediate possession of the leased property. The actual lease term commenced on May 10, 2024. Upon commencement of the lease term, the Company recorded a right of use asset and lease liability of $0.5 million which are reflected in these condensed consolidated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 arising from operating leases was $0.2 million and $0.3 million during the three and six months ended June 30, 2026, respectively. Expense arising from operating leases was $0.1 million and $0.3 million during the three and six months ended June 30, 2025, respectively. For operating leases, the weighted-average remaining lease term for leases as of June 30, 2026 and December 31, 2025 was 3.3 and 3.6 years, respectively. For operating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leases, the weighted average discount rate for leases as of June 30, 2026 and December 31, 2025 was 11.0%. The Company has not entered into any financing 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Maturities of lease liabilities due under these lease agreements as of June 30, 2026 are as follows: </w:t>
      </w:r>
    </w:p>
    <w:p>
      <w:pPr>
        <w:pStyle w:val="TextBody"/>
        <w:bidi w:val="0"/>
        <w:jc w:val="left"/>
        <w:rPr/>
      </w:pPr>
      <w:r>
        <w:rPr/>
        <w:t> </w:t>
      </w:r>
    </w:p>
    <w:tbl>
      <w:tblPr>
        <w:tblW w:w="4684" w:type="dxa"/>
        <w:jc w:val="left"/>
        <w:tblInd w:w="0" w:type="dxa"/>
        <w:tblLayout w:type="fixed"/>
        <w:tblCellMar>
          <w:top w:w="28" w:type="dxa"/>
          <w:left w:w="28" w:type="dxa"/>
          <w:bottom w:w="28" w:type="dxa"/>
          <w:right w:w="28" w:type="dxa"/>
        </w:tblCellMar>
      </w:tblPr>
      <w:tblGrid>
        <w:gridCol w:w="3271"/>
        <w:gridCol w:w="146"/>
        <w:gridCol w:w="230"/>
        <w:gridCol w:w="626"/>
        <w:gridCol w:w="4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Six months ending 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not currently a party to any litigation, nor is management aware of any pending or threatened litigation against the Company, that it believes would materially affect the Company's business, operating results, financial condition or cash flows.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Loss Per Share Giving Effect to Exchange of Common Stock to Series A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share for the three and six months ended June 30, 2026 (in thousands, except share and per share amounts). For purposes of earnings per share, the Series A Preferred Stock have the same characteristics as common stock and have no liquidation or other material preferential rights over common stock and accordingly, have been considered as a second class of common stock in the computation of net loss per share regardless of their legal form. Losses are allocated between the common shares and the Series A Preferred Stock on a pro rata basis as they share equally in losses and residual net assets on an as-converted basis.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11"/>
        <w:gridCol w:w="146"/>
        <w:gridCol w:w="330"/>
        <w:gridCol w:w="1792"/>
        <w:gridCol w:w="146"/>
        <w:gridCol w:w="146"/>
        <w:gridCol w:w="328"/>
        <w:gridCol w:w="1613"/>
        <w:gridCol w:w="193"/>
      </w:tblGrid>
      <w:tr>
        <w:trPr/>
        <w:tc>
          <w:tcPr>
            <w:tcW w:w="5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net loss to common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net loss to Series A Preferred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103,882,937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96,887,741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Series A Preferred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470,994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Series A Preferred,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number of Series A Preferred Stock reflects only the period of time that this class of securities has been newly designated and issued.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excluded the options below to purchase common stock, unreleased restricted stock units, and performance-based restricted stock units outstanding as of June 30, 2026 and 2025, respectively, from the computation of diluted net loss per share for the six months ended June 30, 2026 and 2025, respectively, because they had an anti-dilutive impact due to the net loss incurred for the periods. Additionally, the as-converted preferred shares have been excluded from diluted earnings per share as the effect would not be dilutive.</w:t>
      </w:r>
    </w:p>
    <w:p>
      <w:pPr>
        <w:pStyle w:val="TextBody"/>
        <w:bidi w:val="0"/>
        <w:jc w:val="left"/>
        <w:rPr/>
      </w:pPr>
      <w:r>
        <w:rPr/>
        <w:t> </w:t>
      </w:r>
    </w:p>
    <w:tbl>
      <w:tblPr>
        <w:tblW w:w="7374" w:type="dxa"/>
        <w:jc w:val="left"/>
        <w:tblInd w:w="0" w:type="dxa"/>
        <w:tblLayout w:type="fixed"/>
        <w:tblCellMar>
          <w:top w:w="28" w:type="dxa"/>
          <w:left w:w="28" w:type="dxa"/>
          <w:bottom w:w="28" w:type="dxa"/>
          <w:right w:w="28" w:type="dxa"/>
        </w:tblCellMar>
      </w:tblPr>
      <w:tblGrid>
        <w:gridCol w:w="4486"/>
        <w:gridCol w:w="146"/>
        <w:gridCol w:w="146"/>
        <w:gridCol w:w="1036"/>
        <w:gridCol w:w="146"/>
        <w:gridCol w:w="146"/>
        <w:gridCol w:w="146"/>
        <w:gridCol w:w="931"/>
        <w:gridCol w:w="1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11,056,215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8,583,457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performance-based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12,284,322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9,593,248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10.</w:t>
      </w:r>
    </w:p>
    <w:p>
      <w:pPr>
        <w:pStyle w:val="TextBody"/>
        <w:bidi w:val="0"/>
        <w:jc w:val="left"/>
        <w:rPr>
          <w:rFonts w:ascii="Times New Roman" w:hAnsi="Times New Roman"/>
          <w:b/>
          <w:color w:val="000000"/>
          <w:sz w:val="20"/>
        </w:rPr>
      </w:pPr>
      <w:r>
        <w:rPr>
          <w:rFonts w:ascii="Times New Roman" w:hAnsi="Times New Roman"/>
          <w:b/>
          <w:color w:val="000000"/>
          <w:sz w:val="20"/>
        </w:rPr>
        <w:t>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sponsored patient and caregiver awareness events held by Friedreich’s Ataxia Research Alliance ("FARA") for a cumulative $0.2 million. One of the Company’s directors is a director of FARA.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2025 included in our Annual Report on Form 10-K filed with the Securities and Exchange Commission (“SEC”) on March 19, 2026 (the </w:t>
      </w:r>
      <w:r>
        <w:rPr>
          <w:rFonts w:ascii="Times New Roman" w:hAnsi="Times New Roman"/>
          <w:color w:val="000000"/>
          <w:sz w:val="20"/>
        </w:rPr>
        <w:t>“2025 Annual Report”)</w:t>
      </w:r>
      <w:r>
        <w:rPr>
          <w:rFonts w:ascii="Times New Roman" w:hAnsi="Times New Roman"/>
          <w:i/>
          <w:color w:val="000000"/>
          <w:sz w:val="20"/>
        </w:rPr>
        <w:t>.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2025 Annual Report, in addition to the“Cautionary Note Regarding Forward-Looking Statements” sections of this Quarterly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biotechnology company focused on developing treatments for patients suffering from complex rare diseases using our novel cell penetrating peptide (“CPP”) technology platform. Our lead product candidate, nomlabofusp, is a subcutaneously administered, recombinant fusion protein intended to deliver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systemically increase FXN levels in patients with FA.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CPP platform, which enables a therapeutic molecule to cross a cell membrane in order to reach intracellular targets, also has the potential to enable the treatment of other rare and orphan diseases. We intend to use our proprietary platform to target additional orphan indications characterized by deficiencies in or alterations of intracellular content or activity.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developing nomlabofusp, building our intellectual property portfolio, developing third-party manufacturing capabilities, business planning, raising capital, developing sales and marketing capacities, and providing general and administrative support for such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Nomlabofusp Program Update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Orphan Drug Designation, Fast Track Designation, Pediatric Rare Disease Designation and Breakthrough Therapy Designation from the FDA and have been granted orphan drug designation and access to the European Medicines Agency’s (“EMA’s”) Priority Medicines Program (“PRIME”) scheme in the European Union (the “EU”). We have also received access in the United Kingdom (the “UK”) to the Medicines and Healthcare Regulatory Agency’s (“MHRA”) Innovative Licensing and Access Pathway (“ILAP”). These programs are designed to facilitate development of certain therapeutics such as those for rare and serious diseases, and those that have the potential to meet an unmet medical need.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Center for Drug Evaluation and Research selected nomlabofusp as one of a few drug development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multiple discussions and interactions with the FDA in connection with our clinical development of nomlabofusp and communications remain ongoing. We have also had numerous interactions with the EMA, the MHRA, and Canada’s Health Canada regarding the clinical development of nomlabofusp.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completed four clinical studies: (i) two Phase 1 clinical studies in adults, (ii) a Phase 2 dose exploration study in adults and (iii) a Phase 1 pharmacokinetic (“PK”) run-in study in adolescents (12-17 years old). We currently have an ongoing open label (“OL”) study (previously referred to as the Open Label Extension, (“OLE”) study) in adults and adolescents with FA.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significant developments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FDA granted Breakthrough Therapy Designation (“BTD”) ”) to nomlabofusp for the treatment of adults and children with FA. The designation was based on the FDA’s review of available clinical data from our ongoing OL study evaluating nomlabofusp in adult and pediatric patients with FA. BTD is intended to expedite the development and regulatory review of a drug intended to treat a serious condition. A drug is eligible for BTD if preliminary clinical evidence indicates that the drug may demonstrate substantial improvement over available treatments in one or more clinically significant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2026, as a result of a START pilot program meeting with the FDA, we announced continued alignment with the FDA to consider the use of skin FXN as a novel surrogate endpoint reasonably likely to predict clinical benefit to support a planned Biologics License Application (“BLA”) submission seeking accelerated approval and that the use of FXN as a novel surrogate endpoint to support accelerated approval. There was also agreement on the type of analyses required to support the exposure response relationships for the nomlabofusp program. The FDA also stated that the adequacy of the safety database will be a matter of review at the time of BLA submission.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following minutes from a multidisciplinary Type B pre-BLA meeting and FDA review of the nomlabofusp briefing package, we announced continued agreement with the FDA on key elements of a potential BLA submission including: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confirmed that the existing data package appears capable of supporting submission and review of a BLA seeking accelerated approval based on data from the OL study; approval will be a matter of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reaffirmed its willingness to consider FXN as a novel surrogate endpoint and confirmed that our exposure-response analysis linking nomlabofusp exposure to clinical outcomes may support the BLA submission;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stated that the prospectively collected gene expression and lipid biomarker data may provide an opportunity to further characterize the biological activity of nomlabofusp beyond FXN tissue concentrations;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agreed to a rolling BLA submission.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we submitted the first module of our rolling BLA submission and expect that the remaining modules will be submitted in the second half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2026, we reported open label study data. As of June 2026, 43 adolescent and adult participants in the OL study received at least one dose of nomlabofusp and 22 participants remain in the study with a maximum treatment duration of more than 800 days. More than 10,000 doses of nomlabofusp have been administered.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Long-term Safety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Longer-term dosing was generally well tolerated with thirteen adults on treatment for one year, seven for 18 months and three for two years;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common adverse events remained mild-to-moderate local injection site reactions, which decreased in frequency over time and did not lead to any withdrawals from the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Twenty-one participants discontinued since study initiation in January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 participants experienced anaphylaxis and discontinued the study, including nine participants with prior nomlabofusp exposure; all participants who experienced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anaphylaxis responded to standard therapy and all returned to their usual state of health with no further sequelae;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Three participants experienced generalized urticaria and discontinued the study, with no new occurrences observed following initiation of antihistamine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discontinuations included three associated with other adverse events and five discontinuations unrelated to treatment, primarily due to logistical factors such as the inconvenience of participating in a long-term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eleven participants who had previously not been exposed to nomlabofusp, one had anaphylaxis;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Sustained Increases in Skin FXN Levels Comparable to Asymptomatic Carriers. Skin FXN levels increased following nomlabofusp administration, with 82% (9/11) of participants achieving levels above those in asymptomatic carriers by six months, 100% (9/9) reaching this threshold at one year, and 100% (3/3) maintaining it through 18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Improvements in Key Clinical Outcome Measures Relative to FACOMS Natural History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Directional improvement across key clinical endpoints, including the Modified Friedreich Ataxia Rating Scale (mFARS), the Friedreich Ataxia Rating Scale-Activities of Daily Living (FARS-ADL), 9-hole peg test (9-HPT) was sustained following one year of nomlabofusp treatment (n=13) relative to a worsening in those outcomes observed in the FACOMS reference population. Nomlabofusp led to a 2.6-point benefit in mFARS at one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Improvement in clinical outcomes was associated with increased skin FXN levels, supporting the potential for nomlabofusp to provide clinical benefit across a broad spectrum of patients with FA, including those with advanced disease;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global confirmatory Phase 3 study, we are planning sites in the U.S., E.U., U.K., Canada and Australia. We have obtained feedback from both the FDA and the EMA on the study protocol. We plan to initiate dosing of the first patient in the third quarter of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financial statements are prepared in accordance with Generally Accepted Accounting Principles (“GAAP”). The preparation of our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these estimates and assumptions on an ongoing basis. Our actual results may differ from these estimates under different assumptions and conditions.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nomlabofusp through additional clinical trials. As a result, we expect that our research and development expenses will continue to increase in the foreseeable future as we pursue clinical development of nomlabofusp, including manufacturing activities, and/or any other product candidates we develop.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all stock options granted to employees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measure restricted stock options and performance-based restricted stock units based on the grant-date fair value of based on the closing price of the Company’s common stock on the date of grant (or, if the grant date is not a business day, the closing price on the preceding business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restricted stock unit awards, we recognize expense over the expected service period of the recipient.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restricted performance-based restricted stock awards we recognize expense over the estimated period the awards are expected to be earned; that period is the period once the performance objective is determined to be likely, once the performance goal is achieved.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May 28, 2020, we were a private company and lacked company-specific historical and implied volatility information for our common stock. Prior to January 1, 2023, we estimated our expected common stock price volatility solely based on the historical volatility of publicly traded peer companies with comparable characteristics including enterprise value, risk profiles, and position within the industry. Beginning on January 1, 2023, we began blending our historical data starting in June 2020 (following our merger with Zafgen in 2020) with its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our Board of Directors (“Board”) approved the issuance of an aggregate of 200,000 performance-based restricted stock units (“RSUs”) to certain of our executive officers (the “January 2025 PSU Awards”). The Board established specified performance criteria and a corresponding performance period over which such performance criteria must be achieved, the satisfaction of which are conditions to earning the January 2025 PSU Awards, and vesting of the underlying RSUs. As of June 30, 2026, the underlying performance criteria of the January 2025 PSU Awards were determined to be not probable of achievement for accounting purposes and no stock-based compensation expense was recognized for the three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classify stock-based compensation expense in our consolidated statements of operations and comprehensive loss in the same manner in which the award recipient’s payroll costs are classified or in which the award recipient’s service payments are classified. </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operating expenses since inception have consisted primarily of research and development activities, and general and administrative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which consist primarily of costs associated with our product research and development efforts, are expensed as incurred. Research and development expenses consist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 costs relating to research, formulation, manufacturing, non-clinical studies and clinical trial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related costs, including salaries, benefits and stock-based compensation expenses for employees engaged in scientific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costs of outside consultants and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under our third-party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consumables;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allocated facility-related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this time, we cannot reasonably estimate or know the nature, timing and estimated costs of the efforts that will be necessary to complete the clinical and commercial development of nomlabofusp, or any other product candidates we develop. We are also unable to predict when, if ever, material net cash inflows will commence from sales of our product candidates. The duration, costs, and timing of clinical trials and development of nomlabofusp or any other product candidates we develop will depend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rate of progress and expense of clinical trials and other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in clinical trial enrollment rate or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receipt of any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influence of the FDA or other regulatory authorities on our clinical trial design and timing;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patent and trade secret protection and regulatory exclusivity for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and retain key research and development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120"/>
        <w:jc w:val="left"/>
        <w:rPr>
          <w:rFonts w:ascii="Times New Roman" w:hAnsi="Times New Roman"/>
          <w:b w:val="false"/>
          <w:i/>
          <w:color w:val="000000"/>
          <w:sz w:val="20"/>
        </w:rPr>
      </w:pPr>
      <w:r>
        <w:rPr>
          <w:rFonts w:ascii="Times New Roman" w:hAnsi="Times New Roman"/>
          <w:b w:val="false"/>
          <w:i/>
          <w:color w:val="000000"/>
          <w:sz w:val="20"/>
        </w:rPr>
        <w:t>General and Administrative Expenses</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 costs, consisting of salaries, related benefits and stock-based compensation, costs related to our executive, finance, commercial, information technology, and costs related to other administrative functions. General and administrative expenses also include insurance expenses and professional fees for auditing, commercial readiness costs, tax, and legal services, including legal expenses to pursue patent protection for our intellectual property and related costs. We expect that our general and administrative expenses will increase in the foreseeable future as we hire additional employees to implement, improve, and scale our operational, financial, commercial and management systems. </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w:t>
      </w:r>
    </w:p>
    <w:p>
      <w:pPr>
        <w:pStyle w:val="TextBody"/>
        <w:bidi w:val="0"/>
        <w:jc w:val="left"/>
        <w:rPr/>
      </w:pPr>
      <w:r>
        <w:rPr/>
        <w:t> </w:t>
      </w:r>
    </w:p>
    <w:tbl>
      <w:tblPr>
        <w:tblW w:w="6616" w:type="dxa"/>
        <w:jc w:val="left"/>
        <w:tblInd w:w="0" w:type="dxa"/>
        <w:tblLayout w:type="fixed"/>
        <w:tblCellMar>
          <w:top w:w="28" w:type="dxa"/>
          <w:left w:w="28" w:type="dxa"/>
          <w:bottom w:w="28" w:type="dxa"/>
          <w:right w:w="28" w:type="dxa"/>
        </w:tblCellMar>
      </w:tblPr>
      <w:tblGrid>
        <w:gridCol w:w="2671"/>
        <w:gridCol w:w="146"/>
        <w:gridCol w:w="211"/>
        <w:gridCol w:w="736"/>
        <w:gridCol w:w="166"/>
        <w:gridCol w:w="146"/>
        <w:gridCol w:w="211"/>
        <w:gridCol w:w="736"/>
        <w:gridCol w:w="166"/>
        <w:gridCol w:w="146"/>
        <w:gridCol w:w="218"/>
        <w:gridCol w:w="652"/>
        <w:gridCol w:w="4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for the three months ended June 30, 2026 increased $4.6 million compared to the three months ended June 30, 2025. The increase in research and development expenses was primarily driven by a $2.3 million increase in process performance qualification, and other drug manufacturing activities at our third-party manufacturers and a $2.0 million increase in professional and consulting fees associated with our ongoing and planned clinical trials, data analysis costs, FDA inspection readiness expenditures, as well as Biologics License Application preparation costs.</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for the three months ended June 30, 2026 increased $1.9 million compared to the three months ended June 30, 2025. The increase in general and administrative expenses primarily related to the acceleration of commercial activities as we prepare for the planned mid-2027 launch of nomlabofusp, if approved. This included an increase of $0.7 million of increased compensation costs associated with additional commercial and related headcount, an increase of $0.5 million of market development activities and commercial readiness efforts as well as an increase of $0.5 million in legal fees supporting commercialization and development efforts.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was $1.6 million in the three months ended June 30, 2026 compared to $1.6 million income in the three months ended June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2026 and 2025: </w:t>
      </w:r>
    </w:p>
    <w:p>
      <w:pPr>
        <w:pStyle w:val="TextBody"/>
        <w:bidi w:val="0"/>
        <w:jc w:val="left"/>
        <w:rPr/>
      </w:pPr>
      <w:r>
        <w:rPr/>
        <w:t> </w:t>
      </w:r>
    </w:p>
    <w:tbl>
      <w:tblPr>
        <w:tblW w:w="6616" w:type="dxa"/>
        <w:jc w:val="left"/>
        <w:tblInd w:w="0" w:type="dxa"/>
        <w:tblLayout w:type="fixed"/>
        <w:tblCellMar>
          <w:top w:w="28" w:type="dxa"/>
          <w:left w:w="28" w:type="dxa"/>
          <w:bottom w:w="28" w:type="dxa"/>
          <w:right w:w="28" w:type="dxa"/>
        </w:tblCellMar>
      </w:tblPr>
      <w:tblGrid>
        <w:gridCol w:w="2671"/>
        <w:gridCol w:w="146"/>
        <w:gridCol w:w="211"/>
        <w:gridCol w:w="736"/>
        <w:gridCol w:w="166"/>
        <w:gridCol w:w="146"/>
        <w:gridCol w:w="211"/>
        <w:gridCol w:w="736"/>
        <w:gridCol w:w="166"/>
        <w:gridCol w:w="146"/>
        <w:gridCol w:w="218"/>
        <w:gridCol w:w="652"/>
        <w:gridCol w:w="4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six months ended June 30, 2026 increased $3.1 million compared to the six months ended June 30, 2025. This increase was driven by a $3.7 million increase in professional and consulting fees associated with our ongoing and planned clinical trials, data analysis costs, inspection readiness expenditures as well as Biologics License Application preparation costs partially offset by lower manufacturing activities and there related costs in the six month period ended June 30, 2026 compared to the six month period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for the six months ended June 30, 2026 increased $3.4 million compared to the six months ended June 30, 2025. The increase in general and administrative expenses primarily related to the acceleration of commercial activities as we prepare for the planned mid-2027 launch of nomlabofusp, if approved. This included an increase of $1.6 million in market research, market development and other commercial readiness activities, an increase of $1.0 million of increased compensation costs associated with additional commercial and related headcount,as well as an increase of $0.5 million in legal fees supporting commercialization and development efforts.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was $3.1 million income in the six months ended June 30, 2026 compared to $3.5 million income in the six months ended June 30, 2025. The decrease was primarily driven by lower interest and accretion income due to lower interest yields and lower average investable cash, cash equivalents, and marketable securities balances.</w:t>
      </w:r>
    </w:p>
    <w:p>
      <w:pPr>
        <w:pStyle w:val="TextBody"/>
        <w:bidi w:val="0"/>
        <w:spacing w:before="120" w:after="283"/>
        <w:jc w:val="left"/>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 including Recent Material Financings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we completed an underwritten public offering in which we issued and sold 21,562,500 shares of our common stock, including the exercise in full of the underwriters' option to purchase additional shares, at a public offering price of $3.20 per share. We received net proceeds of approximately $65.0 million, after deducting underwriting discounts, commissions and other offering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2026, we completed an underwritten public offering in which we issued and sold 23,000,000 shares of our common stock, including the exercise in full of the underwriters' option to purchase additional shares, at a public offering price of $5.00 per share. We received net proceeds of approximately $107.6 million, after deducting underwriting discounts, commissions, and other offering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sources and uses of cash for each of the periods presented below:</w:t>
      </w:r>
    </w:p>
    <w:p>
      <w:pPr>
        <w:pStyle w:val="TextBody"/>
        <w:bidi w:val="0"/>
        <w:jc w:val="left"/>
        <w:rPr/>
      </w:pPr>
      <w:r>
        <w:rPr/>
        <w:t> </w:t>
      </w:r>
    </w:p>
    <w:tbl>
      <w:tblPr>
        <w:tblW w:w="7319" w:type="dxa"/>
        <w:jc w:val="left"/>
        <w:tblInd w:w="0" w:type="dxa"/>
        <w:tblLayout w:type="fixed"/>
        <w:tblCellMar>
          <w:top w:w="28" w:type="dxa"/>
          <w:left w:w="28" w:type="dxa"/>
          <w:bottom w:w="28" w:type="dxa"/>
          <w:right w:w="28" w:type="dxa"/>
        </w:tblCellMar>
      </w:tblPr>
      <w:tblGrid>
        <w:gridCol w:w="4711"/>
        <w:gridCol w:w="146"/>
        <w:gridCol w:w="211"/>
        <w:gridCol w:w="781"/>
        <w:gridCol w:w="166"/>
        <w:gridCol w:w="146"/>
        <w:gridCol w:w="211"/>
        <w:gridCol w:w="73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operating activities used $88.6 million of cash, resulting from our net loss of $62.4 million, adjusted for noncash expenses of $3.7 million and changes in our operating assets and liabilities resulting in a use of cash of $30.0 million. Our net loss was primarily attributed to research and development activities related to our nomlabofusp program and our general and administrative expenses as described above. Noncash expenses primarily relate to stock-based compensation expenses. The change in operating assets and liabilities was primarily due to decreases in prepaid expenses and accrued expenses, partially offset by an increase in accounts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operating activities used $45.9 million of cash, resulting from our net loss of $55.5 million, adjusted for noncash expenses of $2.5 million and changes in our operating assets and liabilities resulting in a source of cash of $7.1 million. Our net loss was primarily attributed to research and development activities related to our nomlabofusp program and our general and administrative expenses as described above. Noncash expenses primarily relate to stock-based compensation expenses. The change in operating assets and liabilities was primarily due to increases in prepaid expenses, accounts payable and accrued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cash provided by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investing activities used $11.9 million. This use of cash resulted from purchases of $63.3 million of marketable securities, partially offset by the maturities of $51.5 million of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investing activities provided $33.3 million. This source of cash resulted from the maturities of $113.5 million of marketable securities partially offset by purchases of $80.1 million of marketable securities.</w:t>
      </w:r>
    </w:p>
    <w:p>
      <w:pPr>
        <w:pStyle w:val="TextBody"/>
        <w:bidi w:val="0"/>
        <w:spacing w:before="12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financing activities provided $107.7 million of cash flows from an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there were no financing activities.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Operating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from any sources, including from product sales, and have incurred significant operating losses and negative cash flows from our operations. We have incurred net losses of approximately $62.4 million and $55.5 million for the six months ended June 30, 2026 and 2025, respectively. As of June 30, 2026, we had an accumulated deficit of $497.2 million. We have devoted substantially all of our resources to developing nomlabofusp, building our intellectual property portfolio, developing third-party manufacturing capabilities, business planning, capital raising, and providing general and administrative support for such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approximately $156.3 million of cash, cash equivalents and marketable securities. In accordance with Accounting Standards Update (“ASU”) No. 2014-15, “Disclosure of Uncertainties about an Entity’s Ability to Continue as a Going Concern”, we have evaluated whether there are certain conditions and events, considered in the aggregate, that raise substantial doubt about our ability to continue as a going concern within one year after the date that these unaudited condensed consolidated financial statements are issued. These cash resources are not sufficient to fund our planned operations for a period of at least one year from the date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 are issued. While we expect our cash, cash equivalents and marketable securities will fund our forecasted operating expenses and capital expenditure requirements into the third quarter of 2027, if we encounter unexpected delays in our clinical trials or if there are other unanticipated changes to our operating plan from our current assumptions that negatively impact our operations, we may reduce expenditures in order to further extend our existing cash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significant expenses and operating losses for the foreseeable future as we expect to continue to incur expenses in connection with our ongoing activities,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advance the development of nomlabofusp through additional clinical trials, including related manufacturing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advance development of additional product candidates into clinical development and identify additional indications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obtain regulatory approvals for nomlabofusp and other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leverage and expand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commercial and management systems and personnel, including personnel to support our clinical development and future commercialization efforts and our operations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we can generate substantial revenue, if ever, we will need to raise additional capital to fund our ongoing operations, and continue to evaluate opportunities to further finance our operating cash needs through a combination of some, or all, of the following: equity, debt and royalty offerings, collaborations, strategic alliances, and/or marketing, distribution or licensing arrangements. There is no assurance, however, that additional financing will be available when needed or that we will be able to obtain financing on terms acceptable to us. If we are unable to obtain funding when required in the future, we could be required to delay, reduce, or eliminate research and development programs, or commercialization efforts, which could adversely affect our business prospects. These conditions raise substantial doubt about our ability to continue as a going concern.</w:t>
      </w:r>
    </w:p>
    <w:p>
      <w:pPr>
        <w:pStyle w:val="TextBody"/>
        <w:bidi w:val="0"/>
        <w:spacing w:before="120" w:after="283"/>
        <w:jc w:val="left"/>
        <w:rPr>
          <w:rFonts w:ascii="Times New Roman" w:hAnsi="Times New Roman"/>
          <w:sz w:val="20"/>
        </w:rPr>
      </w:pPr>
      <w:r>
        <w:rPr>
          <w:rFonts w:ascii="Times New Roman" w:hAnsi="Times New Roman"/>
          <w:b/>
          <w:i/>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 </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Please read Note 2 to our condensed consolidated financial statements included in Part I of Item 1 of this Quarterly Report on Form 10-Q for a description of recent accounting pronouncements applicable to our business, if any. </w:t>
      </w:r>
    </w:p>
    <w:p>
      <w:pPr>
        <w:pStyle w:val="TextBody"/>
        <w:bidi w:val="0"/>
        <w:spacing w:before="120" w:after="283"/>
        <w:jc w:val="left"/>
        <w:rPr>
          <w:rFonts w:ascii="Times New Roman" w:hAnsi="Times New Roman"/>
          <w:sz w:val="20"/>
        </w:rPr>
      </w:pPr>
      <w:r>
        <w:rPr>
          <w:rFonts w:ascii="Times New Roman" w:hAnsi="Times New Roman"/>
          <w:b/>
          <w:color w:val="000000"/>
          <w:sz w:val="20"/>
        </w:rPr>
        <w:t>Other Company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Securities Exchange Act of 1934, as amended (the "Exchange Act") and are not required to provide the information under this item.</w:t>
      </w:r>
    </w:p>
    <w:p>
      <w:pPr>
        <w:pStyle w:val="TextBody"/>
        <w:bidi w:val="0"/>
        <w:spacing w:before="120" w:after="283"/>
        <w:jc w:val="left"/>
        <w:rPr>
          <w:rFonts w:ascii="Times New Roman" w:hAnsi="Times New Roman"/>
          <w:sz w:val="20"/>
        </w:rPr>
      </w:pPr>
      <w:bookmarkStart w:id="11" w:name="item_4_controls_and_procedures"/>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any disclosure controls and procedures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the quarter ended June 30, 2026,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that have occurred during the fiscal quarter ended June 30, 2026, which have materially affected or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part_ii_or_information"/>
      <w:bookmarkEnd w:id="12"/>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are subject to claims in legal proceedings arising in the normal course of business. To our knowledge, during the six months ended June 30, 2026, there were none, and as of the date of this Quarterly Report, there are no threatened or pending legal actions that could reasonably be expected to have a material adverse effect on our business, financial condition, results of operations, or cash flows. </w:t>
      </w:r>
    </w:p>
    <w:p>
      <w:pPr>
        <w:pStyle w:val="TextBody"/>
        <w:bidi w:val="0"/>
        <w:spacing w:before="12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risk factors described in our 2025 Annual Report under the caption “Item 1A. Risk Factors.” .” Except as set forth below, there have been no material changes in our risk factors disclosed in our 2025 Annual Report. The risks described in our 2025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initiated our rolling BLA submission to the FDA for marketing approval of nomlabofusp using the accelerated approval pathway and expect to submit the remaining modules in the second half of 2026; however, there can be no assurance that we will submit the remaining modules on our expected timeline, that the FDA will accept the BLA for filing or the FDA will approve our BLA submission for 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submitted the first module of our BLA to the FDA in June 2026 to request marketing approval of nomlabofusp. We expect to submit the remaining modules in the second half of 2026. However, our anticipated submission timeline is based on our current development, manufacturing and regulatory plans and assumptions. The timing of submission of the remaining modules may be delayed for a variety of reasons, including for unforeseen reasons beyond our control, and even if we are able to complete our BLA submission on our anticipated timeline, the FDA may not accept or approve our BLA for a variety of reasons. There can be no assurance that the FDA will agree that the data submitted in the BLA is adequate to support approval, including accelerated approval. In addition, the FDA may refuse to accept our planned BLA for substantive review (thereby issuing a “refuse to file” letter) or may conclude after review of our data that our application is insufficient to obtain regulatory approval (thereby issuing a “complete response” letter). Further, as previously disclosed, the FDA stated that the adequacy of the safety database will be a matter of review at the time of BLA submission.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rely on third parties for non-clinical, clinical and manufacturing activities to support the conduct of our trials and our BLA submission. As part of the FDA review process, we are subject to inspections by FDA, as are each of our third-party sites, vendors and suppliers including our clinical sites, non-clinical sites and manufacturing sites, and there is no guarantee that these sites will pass the FDA’s inspection. Accordingly, any regulatory or other issues experienced by these third parties could impact the timing of our BLA submission or any subsequent approval. The FDA conducted a cGMP inspection of our third-party drug product (fill and finish) manufacturer related to the site’s processes and procedures and issued a Form 483 letter. The manufacturer has developed a remediation plan to address the FDA’s observations, but there can be no assurance that this plan will be adequate or address all the issues in a timely manner to the FDA’s satisfaction, which could result in a delay or warning letter. Our strategy is to to have back-up sources for key components in our supply chain. As we have done with our drug substance manufacturer, we are in the process of qualifying an additional drug product (fill and finish) manufacturer. The remediation of issues at our sites or vendors could have a material adverse effect on our business, operating results, financial condition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7" w:name="item_4_mine_safety_disclosures"/>
      <w:bookmarkEnd w:id="17"/>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June 30, 2026, none of our directors or officers (as defined in Rule 16a-1(f) under the Exchange Act) adopted, modified or terminated a “Rule 10b5-1 trading arrangement” or “non-Rule 10b5-1 trading arrangement” (as each term is defined in Item 408(a) of Regulation 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filed as part of this Quarterly Report are set forth on the Exhibit Index, which is incorporated herein by reference. </w:t>
      </w:r>
    </w:p>
    <w:p>
      <w:pPr>
        <w:pStyle w:val="TextBody"/>
        <w:bidi w:val="0"/>
        <w:spacing w:before="60" w:after="283"/>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6"/>
        <w:gridCol w:w="146"/>
        <w:gridCol w:w="9233"/>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3"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Exhibit No.</w:t>
            </w:r>
            <w:r>
              <w:rPr>
                <w:rFonts w:ascii="Times New Roman" w:hAnsi="Times New Roman"/>
                <w:color w:val="000000"/>
                <w:sz w:val="16"/>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9233"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pPr>
            <w:hyperlink w:anchor="lrmr-ex3_1.htm">
              <w:r>
                <w:rPr>
                  <w:rStyle w:val="InternetLink"/>
                  <w:rFonts w:ascii="Times New Roman" w:hAnsi="Times New Roman"/>
                  <w:color w:val="0000FF"/>
                  <w:sz w:val="20"/>
                  <w:u w:val="single"/>
                </w:rPr>
                <w:t>Certificate of Amendment of Ninth Amended and Restated Certificate of Incorporation of Larimar Therapeutics, Inc.</w:t>
              </w:r>
            </w:hyperlink>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pPr>
            <w:hyperlink w:anchor="lrmr-ex31_1.htm">
              <w:r>
                <w:rPr>
                  <w:rStyle w:val="InternetLink"/>
                  <w:rFonts w:ascii="Times New Roman" w:hAnsi="Times New Roman"/>
                  <w:color w:val="0000FF"/>
                  <w:sz w:val="20"/>
                  <w:u w:val="single"/>
                </w:rPr>
                <w:t>Certification of Principal Executive Officer pursuant to Rule 13a-14(a) or Rule 15d-14(a) of the Securities Exchange Act of 1934, as adopted pursuant to Section 302 of the Sarbanes-Oxley Act of 2002.</w:t>
              </w:r>
            </w:hyperlink>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pPr>
            <w:hyperlink w:anchor="lrmr-ex31_2.htm">
              <w:r>
                <w:rPr>
                  <w:rStyle w:val="InternetLink"/>
                  <w:rFonts w:ascii="Times New Roman" w:hAnsi="Times New Roman"/>
                  <w:color w:val="0000FF"/>
                  <w:sz w:val="20"/>
                  <w:u w:val="single"/>
                </w:rPr>
                <w:t>Certification of Principal Financial Officer pursuant to Rule 13a-14(a) or Rule 15d-14(a) of the Securities Exchange Act of 1934, as adopted pursuant to Section 302 of the Sarbanes-Oxley Act of 2002.</w:t>
              </w:r>
            </w:hyperlink>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pPr>
            <w:hyperlink w:anchor="lrmr-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 re embedded within the Inline XBRL document</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6415" w:type="dxa"/>
        <w:jc w:val="left"/>
        <w:tblInd w:w="0" w:type="dxa"/>
        <w:tblLayout w:type="fixed"/>
        <w:tblCellMar>
          <w:top w:w="28" w:type="dxa"/>
          <w:left w:w="28" w:type="dxa"/>
          <w:bottom w:w="28" w:type="dxa"/>
          <w:right w:w="28" w:type="dxa"/>
        </w:tblCellMar>
      </w:tblPr>
      <w:tblGrid>
        <w:gridCol w:w="1846"/>
        <w:gridCol w:w="146"/>
        <w:gridCol w:w="406"/>
        <w:gridCol w:w="14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LARIMAR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Carole S. Ben-Maimon, M.D.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bottom w:val="single" w:sz="6" w:space="0" w:color="FFFFFF"/>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6" w:space="0" w:color="FFFFFF"/>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Celano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Celano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bookmarkStart w:id="21" w:name="lrmr-ex3_1.htm"/>
      <w:bookmarkStart w:id="22" w:name="kslrmrex3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Larimar Therapeutics,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CERTIFICATE OF DESIGNATION OF PREFERENCES,</w:t>
      </w:r>
    </w:p>
    <w:p>
      <w:pPr>
        <w:pStyle w:val="TextBody"/>
        <w:bidi w:val="0"/>
        <w:jc w:val="center"/>
        <w:rPr>
          <w:rFonts w:ascii="Times New Roman" w:hAnsi="Times New Roman"/>
          <w:sz w:val="20"/>
        </w:rPr>
      </w:pPr>
      <w:r>
        <w:rPr>
          <w:rFonts w:ascii="Times New Roman" w:hAnsi="Times New Roman"/>
          <w:b/>
          <w:color w:val="000000"/>
          <w:sz w:val="20"/>
        </w:rPr>
        <w:t>RIGHTS AND LIMITATIONS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SERIES A CONVERTIBLE PREFERRED STOCK</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PURSUANT TO SECTION 151 OF THE </w:t>
      </w:r>
    </w:p>
    <w:p>
      <w:pPr>
        <w:pStyle w:val="TextBody"/>
        <w:bidi w:val="0"/>
        <w:jc w:val="center"/>
        <w:rPr>
          <w:rFonts w:ascii="Times New Roman" w:hAnsi="Times New Roman"/>
          <w:color w:val="000000"/>
          <w:sz w:val="20"/>
        </w:rPr>
      </w:pPr>
      <w:r>
        <w:rPr>
          <w:rFonts w:ascii="Times New Roman" w:hAnsi="Times New Roman"/>
          <w:color w:val="000000"/>
          <w:sz w:val="20"/>
        </w:rPr>
        <w:t xml:space="preserve">DELAWARE GENERAL CORPORATION LAW </w:t>
      </w:r>
    </w:p>
    <w:p>
      <w:pPr>
        <w:pStyle w:val="TextBody"/>
        <w:bidi w:val="0"/>
        <w:spacing w:before="240" w:after="283"/>
        <w:jc w:val="left"/>
        <w:rPr>
          <w:rFonts w:ascii="Times New Roman" w:hAnsi="Times New Roman"/>
          <w:sz w:val="20"/>
        </w:rPr>
      </w:pPr>
      <w:r>
        <w:rPr>
          <w:rFonts w:ascii="Times New Roman" w:hAnsi="Times New Roman"/>
          <w:color w:val="000000"/>
          <w:sz w:val="20"/>
        </w:rPr>
        <w:t>Larimar Therapeutics, Inc. (the “</w:t>
      </w:r>
      <w:r>
        <w:rPr>
          <w:rFonts w:ascii="Times New Roman" w:hAnsi="Times New Roman"/>
          <w:b/>
          <w:color w:val="000000"/>
          <w:sz w:val="20"/>
          <w:u w:val="single"/>
        </w:rPr>
        <w:t>Corporation</w:t>
      </w:r>
      <w:r>
        <w:rPr>
          <w:rFonts w:ascii="Times New Roman" w:hAnsi="Times New Roman"/>
          <w:color w:val="000000"/>
          <w:sz w:val="20"/>
        </w:rPr>
        <w:t>”), a corporation organized and existing and by virtue of the General Corporation Law of the State of Delaware (“</w:t>
      </w:r>
      <w:r>
        <w:rPr>
          <w:rFonts w:ascii="Times New Roman" w:hAnsi="Times New Roman"/>
          <w:b/>
          <w:color w:val="000000"/>
          <w:sz w:val="20"/>
          <w:u w:val="single"/>
        </w:rPr>
        <w:t>DGCL</w:t>
      </w:r>
      <w:r>
        <w:rPr>
          <w:rFonts w:ascii="Times New Roman" w:hAnsi="Times New Roman"/>
          <w:color w:val="000000"/>
          <w:sz w:val="20"/>
        </w:rPr>
        <w:t>”), does hereby certify:</w:t>
      </w:r>
    </w:p>
    <w:p>
      <w:pPr>
        <w:pStyle w:val="TextBody"/>
        <w:bidi w:val="0"/>
        <w:spacing w:before="240" w:after="283"/>
        <w:jc w:val="left"/>
        <w:rPr>
          <w:rFonts w:ascii="Times New Roman" w:hAnsi="Times New Roman"/>
          <w:sz w:val="20"/>
        </w:rPr>
      </w:pPr>
      <w:r>
        <w:rPr>
          <w:rFonts w:ascii="Times New Roman" w:hAnsi="Times New Roman"/>
          <w:color w:val="000000"/>
          <w:sz w:val="20"/>
        </w:rPr>
        <w:t>FIRST: The Corporation’s Certificate of Designation of Preferences, Rights and Limitations of Series A Convertible Preferred Stock was filed with the Secretary of State of the State of Delaware on December 16, 2025 (the “</w:t>
      </w:r>
      <w:r>
        <w:rPr>
          <w:rFonts w:ascii="Times New Roman" w:hAnsi="Times New Roman"/>
          <w:b/>
          <w:color w:val="000000"/>
          <w:sz w:val="20"/>
          <w:u w:val="single"/>
        </w:rPr>
        <w:t>Certificate of Designation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SECOND: The Board of Directors of the Corporation, acting pursuant to Section 141 of the DGCL, duly adopted resolutions approving an increase to the number of shares of authorized preferred stock that would be designated as Series A Convertible Preferred Stock, par value $0.001 per share (the “</w:t>
      </w:r>
      <w:r>
        <w:rPr>
          <w:rFonts w:ascii="Times New Roman" w:hAnsi="Times New Roman"/>
          <w:b/>
          <w:color w:val="000000"/>
          <w:sz w:val="20"/>
          <w:u w:val="single"/>
        </w:rPr>
        <w:t>Series A Preferred Stock</w:t>
      </w:r>
      <w:r>
        <w:rPr>
          <w:rFonts w:ascii="Times New Roman" w:hAnsi="Times New Roman"/>
          <w:color w:val="000000"/>
          <w:sz w:val="20"/>
        </w:rPr>
        <w:t>”) and approving the form of this amendment to the Certificate of Designation set forth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RESOLVED, that Paragraph 2(a) of the Certificate of Designation of the Corporation be amended in its entirety as follows: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Designation, Amount and Par Value; Assignment</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a. The series of preferred stock designated by this Certificate of Designation shall be designated as the Corporation’s Series A Convertible Preferred Stock (the “</w:t>
      </w:r>
      <w:r>
        <w:rPr>
          <w:rFonts w:ascii="Times New Roman" w:hAnsi="Times New Roman"/>
          <w:b/>
          <w:color w:val="000000"/>
          <w:sz w:val="20"/>
          <w:u w:val="single"/>
        </w:rPr>
        <w:t>Series A Preferred Stock</w:t>
      </w:r>
      <w:r>
        <w:rPr>
          <w:rFonts w:ascii="Times New Roman" w:hAnsi="Times New Roman"/>
          <w:color w:val="000000"/>
          <w:sz w:val="20"/>
        </w:rPr>
        <w:t xml:space="preserve">”) and the number of shares so designated shall be 500,000 (which shall not be subject to increase except pursuant to an amendment to this Certificate of Designation duly adopted in accordance with the applicable law) and shall be designated from the 5,000,000 shares of Preferred Stock authorized to be issued under the Certificate of Incorporation. Each share of Series A Preferred Stock shall have a par value of $0.001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w:t>
      </w:r>
      <w:r>
        <w:rPr>
          <w:rFonts w:ascii="Times New Roman" w:hAnsi="Times New Roman"/>
          <w:color w:val="000000"/>
          <w:sz w:val="20"/>
        </w:rPr>
        <w:t xml:space="preserve"> </w:t>
      </w:r>
      <w:r>
        <w:rPr>
          <w:rFonts w:ascii="Times New Roman" w:hAnsi="Times New Roman"/>
          <w:b/>
          <w:color w:val="000000"/>
          <w:sz w:val="20"/>
        </w:rPr>
        <w:t xml:space="preserve">WITNESS WHEREOF, </w:t>
      </w:r>
      <w:r>
        <w:rPr>
          <w:rFonts w:ascii="Times New Roman" w:hAnsi="Times New Roman"/>
          <w:color w:val="000000"/>
          <w:sz w:val="20"/>
        </w:rPr>
        <w:t xml:space="preserve">the undersigned has executed this Certificate of Amendment to the Certificate of Designation this 21st day of January, 2026. </w:t>
      </w:r>
    </w:p>
    <w:p>
      <w:pPr>
        <w:pStyle w:val="TextBody"/>
        <w:bidi w:val="0"/>
        <w:jc w:val="left"/>
        <w:rPr/>
      </w:pPr>
      <w:r>
        <w:rPr/>
        <w:t> </w:t>
      </w:r>
    </w:p>
    <w:p>
      <w:pPr>
        <w:pStyle w:val="TextBody"/>
        <w:bidi w:val="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Carole S. Ben-Maimon, M.D.</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Carole S. Ben-Maimon, M.D.</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23" w:name="lrmr-ex31_1.htm"/>
      <w:bookmarkStart w:id="24" w:name="kslrmrex31_1"/>
      <w:bookmarkEnd w:id="23"/>
      <w:bookmarkEnd w:id="24"/>
      <w:r>
        <w:rPr>
          <w:rFonts w:ascii="Times New Roman" w:hAnsi="Times New Roman"/>
          <w:b/>
          <w:color w:val="000000"/>
          <w:sz w:val="20"/>
        </w:rPr>
        <w:t>Exhibit 31.1</w:t>
      </w:r>
      <w:r>
        <w:br w:type="page"/>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I, Carole S. Ben-Maimon, M.D., certify that: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 I have reviewed this Quarterly Report on Form 10-Q of Larimar Therapeutics, Inc.;</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Date: August 4, 2026</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32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Carole S. Ben-Maimon, M.D.</w:t>
            </w:r>
          </w:p>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25" w:name="lrmr-ex31_2.htm"/>
      <w:bookmarkStart w:id="26" w:name="kslrmrex31_2"/>
      <w:bookmarkEnd w:id="25"/>
      <w:bookmarkEnd w:id="26"/>
      <w:r>
        <w:rPr>
          <w:rFonts w:ascii="Times New Roman" w:hAnsi="Times New Roman"/>
          <w:b/>
          <w:color w:val="000000"/>
          <w:sz w:val="20"/>
        </w:rPr>
        <w:t>Exhibit 31.2</w:t>
      </w:r>
      <w:r>
        <w:br w:type="page"/>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I, Michael Celano, certify that: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 I have reviewed this Quarterly Report on Form 10-Q of Larimar Therapeutics, Inc.;</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 xml:space="preserve">Date: August 4, 2026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283"/>
              <w:jc w:val="left"/>
              <w:rPr>
                <w:sz w:val="4"/>
                <w:szCs w:val="4"/>
              </w:rPr>
            </w:pPr>
            <w:r>
              <w:rPr>
                <w:sz w:val="4"/>
                <w:szCs w:val="4"/>
              </w:rPr>
            </w:r>
          </w:p>
        </w:tc>
      </w:tr>
      <w:tr>
        <w:trPr/>
        <w:tc>
          <w:tcPr>
            <w:tcW w:w="43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Celano</w:t>
            </w:r>
          </w:p>
        </w:tc>
      </w:tr>
      <w:tr>
        <w:trPr/>
        <w:tc>
          <w:tcPr>
            <w:tcW w:w="43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Celano</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lrmr-ex32_1.htm"/>
      <w:bookmarkStart w:id="28" w:name="kslrmrex32_1"/>
      <w:bookmarkEnd w:id="27"/>
      <w:bookmarkEnd w:id="28"/>
      <w:r>
        <w:rPr/>
        <w:t> </w:t>
      </w:r>
      <w:r>
        <w:br w:type="page"/>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center"/>
        <w:rPr>
          <w:rFonts w:ascii="Times New Roman" w:hAnsi="Times New Roman"/>
          <w:b/>
          <w:color w:val="000000"/>
          <w:sz w:val="20"/>
        </w:rPr>
      </w:pPr>
      <w:r>
        <w:rPr>
          <w:rFonts w:ascii="Times New Roman" w:hAnsi="Times New Roman"/>
          <w:b/>
          <w:color w:val="000000"/>
          <w:sz w:val="20"/>
        </w:rPr>
        <w:t>(Subsections (a) and (b) of Section 1350, Chapter 63 of Title 18, United States Code)</w:t>
      </w:r>
    </w:p>
    <w:p>
      <w:pPr>
        <w:pStyle w:val="TextBody"/>
        <w:bidi w:val="0"/>
        <w:jc w:val="center"/>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Quarterly Report on Form 10-Q for the quarter ended June 30, 2026 (the “Report”) of the Company fully complies with the requirements of Section 13(a) or 15(d) of the Securities Exchange Act of 1934;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6170" w:type="dxa"/>
        <w:jc w:val="left"/>
        <w:tblInd w:w="0" w:type="dxa"/>
        <w:tblLayout w:type="fixed"/>
        <w:tblCellMar>
          <w:top w:w="28" w:type="dxa"/>
          <w:left w:w="28" w:type="dxa"/>
          <w:bottom w:w="28" w:type="dxa"/>
          <w:right w:w="28" w:type="dxa"/>
        </w:tblCellMar>
      </w:tblPr>
      <w:tblGrid>
        <w:gridCol w:w="1846"/>
        <w:gridCol w:w="146"/>
        <w:gridCol w:w="146"/>
        <w:gridCol w:w="146"/>
        <w:gridCol w:w="388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Carole S. Ben-Maimon, M.D.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Carole S. Ben-Maimon, M.D.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Michael Celano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Michael Celano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18757</Words>
  <Characters>103999</Characters>
  <CharactersWithSpaces>123753</CharactersWithSpaces>
  <Paragraphs>4443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