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201295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216535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w:t>
      </w:r>
    </w:p>
    <w:p>
      <w:pPr>
        <w:jc w:val="center"/>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November 10,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208915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Larimar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205105</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tbl>
      <w:tblPr>
        <w:tblLayout w:type="fixed"/>
        <w:tblInd w:w="821" w:type="dxa"/>
        <w:tblCellMar>
          <w:top w:w="0" w:type="dxa"/>
          <w:left w:w="0" w:type="dxa"/>
          <w:bottom w:w="0" w:type="dxa"/>
          <w:right w:w="0" w:type="dxa"/>
        </w:tblCellMar>
      </w:tblPr>
      <w:tr>
        <w:trPr>
          <w:trHeight w:val="186"/>
        </w:trPr>
        <w:tc>
          <w:tcPr>
            <w:tcW w:w="3620" w:type="dxa"/>
            <w:vAlign w:val="bottom"/>
          </w:tcPr>
          <w:p>
            <w:pPr>
              <w:jc w:val="center"/>
              <w:ind w:right="1909"/>
              <w:spacing w:after="0"/>
              <w:rPr>
                <w:sz w:val="20"/>
                <w:szCs w:val="20"/>
                <w:color w:val="auto"/>
              </w:rPr>
            </w:pPr>
            <w:r>
              <w:rPr>
                <w:rFonts w:ascii="Arial" w:cs="Arial" w:eastAsia="Arial" w:hAnsi="Arial"/>
                <w:sz w:val="16"/>
                <w:szCs w:val="16"/>
                <w:b w:val="1"/>
                <w:bCs w:val="1"/>
                <w:color w:val="auto"/>
                <w:w w:val="91"/>
              </w:rPr>
              <w:t>Delaware</w:t>
            </w:r>
          </w:p>
        </w:tc>
        <w:tc>
          <w:tcPr>
            <w:tcW w:w="2000" w:type="dxa"/>
            <w:vAlign w:val="bottom"/>
          </w:tcPr>
          <w:p>
            <w:pPr>
              <w:ind w:left="140"/>
              <w:spacing w:after="0"/>
              <w:rPr>
                <w:sz w:val="20"/>
                <w:szCs w:val="20"/>
                <w:color w:val="auto"/>
              </w:rPr>
            </w:pPr>
            <w:r>
              <w:rPr>
                <w:rFonts w:ascii="Arial" w:cs="Arial" w:eastAsia="Arial" w:hAnsi="Arial"/>
                <w:sz w:val="16"/>
                <w:szCs w:val="16"/>
                <w:b w:val="1"/>
                <w:bCs w:val="1"/>
                <w:color w:val="auto"/>
              </w:rPr>
              <w:t>001-36510</w:t>
            </w:r>
          </w:p>
        </w:tc>
        <w:tc>
          <w:tcPr>
            <w:tcW w:w="2160" w:type="dxa"/>
            <w:vAlign w:val="bottom"/>
          </w:tcPr>
          <w:p>
            <w:pPr>
              <w:jc w:val="right"/>
              <w:ind w:right="51"/>
              <w:spacing w:after="0"/>
              <w:rPr>
                <w:sz w:val="20"/>
                <w:szCs w:val="20"/>
                <w:color w:val="auto"/>
              </w:rPr>
            </w:pPr>
            <w:r>
              <w:rPr>
                <w:rFonts w:ascii="Arial" w:cs="Arial" w:eastAsia="Arial" w:hAnsi="Arial"/>
                <w:sz w:val="16"/>
                <w:szCs w:val="16"/>
                <w:b w:val="1"/>
                <w:bCs w:val="1"/>
                <w:color w:val="auto"/>
              </w:rPr>
              <w:t>20-3857670</w:t>
            </w:r>
          </w:p>
        </w:tc>
      </w:tr>
      <w:tr>
        <w:trPr>
          <w:trHeight w:val="130"/>
        </w:trPr>
        <w:tc>
          <w:tcPr>
            <w:tcW w:w="3620" w:type="dxa"/>
            <w:vAlign w:val="bottom"/>
          </w:tcPr>
          <w:p>
            <w:pPr>
              <w:jc w:val="center"/>
              <w:ind w:right="1929"/>
              <w:spacing w:after="0" w:line="130" w:lineRule="exact"/>
              <w:rPr>
                <w:sz w:val="20"/>
                <w:szCs w:val="20"/>
                <w:color w:val="auto"/>
              </w:rPr>
            </w:pPr>
            <w:r>
              <w:rPr>
                <w:rFonts w:ascii="Arial" w:cs="Arial" w:eastAsia="Arial" w:hAnsi="Arial"/>
                <w:sz w:val="13"/>
                <w:szCs w:val="13"/>
                <w:b w:val="1"/>
                <w:bCs w:val="1"/>
                <w:color w:val="auto"/>
                <w:w w:val="88"/>
              </w:rPr>
              <w:t>(State or other jurisdiction of</w:t>
            </w:r>
          </w:p>
        </w:tc>
        <w:tc>
          <w:tcPr>
            <w:tcW w:w="2000" w:type="dxa"/>
            <w:vAlign w:val="bottom"/>
          </w:tcPr>
          <w:p>
            <w:pPr>
              <w:ind w:left="140"/>
              <w:spacing w:after="0" w:line="130" w:lineRule="exact"/>
              <w:rPr>
                <w:sz w:val="20"/>
                <w:szCs w:val="20"/>
                <w:color w:val="auto"/>
              </w:rPr>
            </w:pPr>
            <w:r>
              <w:rPr>
                <w:rFonts w:ascii="Arial" w:cs="Arial" w:eastAsia="Arial" w:hAnsi="Arial"/>
                <w:sz w:val="13"/>
                <w:szCs w:val="13"/>
                <w:b w:val="1"/>
                <w:bCs w:val="1"/>
                <w:color w:val="auto"/>
              </w:rPr>
              <w:t>(Commission</w:t>
            </w:r>
          </w:p>
        </w:tc>
        <w:tc>
          <w:tcPr>
            <w:tcW w:w="2160" w:type="dxa"/>
            <w:vAlign w:val="bottom"/>
          </w:tcPr>
          <w:p>
            <w:pPr>
              <w:jc w:val="center"/>
              <w:ind w:left="1111"/>
              <w:spacing w:after="0" w:line="130"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3620" w:type="dxa"/>
            <w:vAlign w:val="bottom"/>
          </w:tcPr>
          <w:p>
            <w:pPr>
              <w:jc w:val="center"/>
              <w:ind w:right="1909"/>
              <w:spacing w:after="0"/>
              <w:rPr>
                <w:sz w:val="20"/>
                <w:szCs w:val="20"/>
                <w:color w:val="auto"/>
              </w:rPr>
            </w:pPr>
            <w:r>
              <w:rPr>
                <w:rFonts w:ascii="Arial" w:cs="Arial" w:eastAsia="Arial" w:hAnsi="Arial"/>
                <w:sz w:val="13"/>
                <w:szCs w:val="13"/>
                <w:b w:val="1"/>
                <w:bCs w:val="1"/>
                <w:color w:val="auto"/>
                <w:w w:val="88"/>
              </w:rPr>
              <w:t>incorporation or organization)</w:t>
            </w:r>
          </w:p>
        </w:tc>
        <w:tc>
          <w:tcPr>
            <w:tcW w:w="2000" w:type="dxa"/>
            <w:vAlign w:val="bottom"/>
          </w:tcPr>
          <w:p>
            <w:pPr>
              <w:ind w:left="120"/>
              <w:spacing w:after="0"/>
              <w:rPr>
                <w:sz w:val="20"/>
                <w:szCs w:val="20"/>
                <w:color w:val="auto"/>
              </w:rPr>
            </w:pPr>
            <w:r>
              <w:rPr>
                <w:rFonts w:ascii="Arial" w:cs="Arial" w:eastAsia="Arial" w:hAnsi="Arial"/>
                <w:sz w:val="13"/>
                <w:szCs w:val="13"/>
                <w:b w:val="1"/>
                <w:bCs w:val="1"/>
                <w:color w:val="auto"/>
              </w:rPr>
              <w:t>File Number)</w:t>
            </w:r>
          </w:p>
        </w:tc>
        <w:tc>
          <w:tcPr>
            <w:tcW w:w="2160" w:type="dxa"/>
            <w:vAlign w:val="bottom"/>
          </w:tcPr>
          <w:p>
            <w:pPr>
              <w:jc w:val="center"/>
              <w:ind w:left="1111"/>
              <w:spacing w:after="0"/>
              <w:rPr>
                <w:sz w:val="20"/>
                <w:szCs w:val="20"/>
                <w:color w:val="auto"/>
              </w:rPr>
            </w:pPr>
            <w:r>
              <w:rPr>
                <w:rFonts w:ascii="Arial" w:cs="Arial" w:eastAsia="Arial" w:hAnsi="Arial"/>
                <w:sz w:val="13"/>
                <w:szCs w:val="13"/>
                <w:b w:val="1"/>
                <w:bCs w:val="1"/>
                <w:color w:val="auto"/>
                <w:w w:val="89"/>
              </w:rPr>
              <w:t>Identification No.)</w:t>
            </w:r>
          </w:p>
        </w:tc>
      </w:tr>
      <w:tr>
        <w:trPr>
          <w:trHeight w:val="359"/>
        </w:trPr>
        <w:tc>
          <w:tcPr>
            <w:tcW w:w="3620" w:type="dxa"/>
            <w:vAlign w:val="bottom"/>
          </w:tcPr>
          <w:p>
            <w:pPr>
              <w:jc w:val="center"/>
              <w:ind w:left="1129"/>
              <w:spacing w:after="0"/>
              <w:rPr>
                <w:sz w:val="20"/>
                <w:szCs w:val="20"/>
                <w:color w:val="auto"/>
              </w:rPr>
            </w:pPr>
            <w:r>
              <w:rPr>
                <w:rFonts w:ascii="Arial" w:cs="Arial" w:eastAsia="Arial" w:hAnsi="Arial"/>
                <w:sz w:val="16"/>
                <w:szCs w:val="16"/>
                <w:b w:val="1"/>
                <w:bCs w:val="1"/>
                <w:color w:val="auto"/>
                <w:w w:val="89"/>
              </w:rPr>
              <w:t>Three Bala Plaza East. Suite 506</w:t>
            </w:r>
          </w:p>
        </w:tc>
        <w:tc>
          <w:tcPr>
            <w:tcW w:w="20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98"/>
        </w:trPr>
        <w:tc>
          <w:tcPr>
            <w:tcW w:w="3620" w:type="dxa"/>
            <w:vAlign w:val="bottom"/>
          </w:tcPr>
          <w:p>
            <w:pPr>
              <w:jc w:val="center"/>
              <w:ind w:left="1149"/>
              <w:spacing w:after="0"/>
              <w:rPr>
                <w:sz w:val="20"/>
                <w:szCs w:val="20"/>
                <w:color w:val="auto"/>
              </w:rPr>
            </w:pPr>
            <w:r>
              <w:rPr>
                <w:rFonts w:ascii="Arial" w:cs="Arial" w:eastAsia="Arial" w:hAnsi="Arial"/>
                <w:sz w:val="16"/>
                <w:szCs w:val="16"/>
                <w:b w:val="1"/>
                <w:bCs w:val="1"/>
                <w:color w:val="auto"/>
                <w:w w:val="89"/>
              </w:rPr>
              <w:t>Bala Cynwyd, Pennsylvania</w:t>
            </w:r>
          </w:p>
        </w:tc>
        <w:tc>
          <w:tcPr>
            <w:tcW w:w="2000" w:type="dxa"/>
            <w:vAlign w:val="bottom"/>
          </w:tcPr>
          <w:p>
            <w:pPr>
              <w:spacing w:after="0"/>
              <w:rPr>
                <w:sz w:val="17"/>
                <w:szCs w:val="17"/>
                <w:color w:val="auto"/>
              </w:rPr>
            </w:pPr>
          </w:p>
        </w:tc>
        <w:tc>
          <w:tcPr>
            <w:tcW w:w="2160" w:type="dxa"/>
            <w:vAlign w:val="bottom"/>
          </w:tcPr>
          <w:p>
            <w:pPr>
              <w:jc w:val="right"/>
              <w:ind w:right="231"/>
              <w:spacing w:after="0"/>
              <w:rPr>
                <w:sz w:val="20"/>
                <w:szCs w:val="20"/>
                <w:color w:val="auto"/>
              </w:rPr>
            </w:pPr>
            <w:r>
              <w:rPr>
                <w:rFonts w:ascii="Arial" w:cs="Arial" w:eastAsia="Arial" w:hAnsi="Arial"/>
                <w:sz w:val="16"/>
                <w:szCs w:val="16"/>
                <w:b w:val="1"/>
                <w:bCs w:val="1"/>
                <w:color w:val="auto"/>
              </w:rPr>
              <w:t>19004</w:t>
            </w:r>
          </w:p>
        </w:tc>
      </w:tr>
      <w:tr>
        <w:trPr>
          <w:trHeight w:val="164"/>
        </w:trPr>
        <w:tc>
          <w:tcPr>
            <w:tcW w:w="3620" w:type="dxa"/>
            <w:vAlign w:val="bottom"/>
          </w:tcPr>
          <w:p>
            <w:pPr>
              <w:jc w:val="center"/>
              <w:ind w:left="114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000" w:type="dxa"/>
            <w:vAlign w:val="bottom"/>
          </w:tcPr>
          <w:p>
            <w:pPr>
              <w:spacing w:after="0"/>
              <w:rPr>
                <w:sz w:val="14"/>
                <w:szCs w:val="14"/>
                <w:color w:val="auto"/>
              </w:rPr>
            </w:pPr>
          </w:p>
        </w:tc>
        <w:tc>
          <w:tcPr>
            <w:tcW w:w="2160" w:type="dxa"/>
            <w:vAlign w:val="bottom"/>
          </w:tcPr>
          <w:p>
            <w:pPr>
              <w:jc w:val="center"/>
              <w:ind w:left="1111"/>
              <w:spacing w:after="0"/>
              <w:rPr>
                <w:sz w:val="20"/>
                <w:szCs w:val="20"/>
                <w:color w:val="auto"/>
              </w:rPr>
            </w:pPr>
            <w:r>
              <w:rPr>
                <w:rFonts w:ascii="Arial" w:cs="Arial" w:eastAsia="Arial" w:hAnsi="Arial"/>
                <w:sz w:val="13"/>
                <w:szCs w:val="13"/>
                <w:b w:val="1"/>
                <w:bCs w:val="1"/>
                <w:color w:val="auto"/>
                <w:w w:val="90"/>
              </w:rPr>
              <w:t>(Zip Code)</w:t>
            </w:r>
          </w:p>
        </w:tc>
      </w:tr>
    </w:tbl>
    <w:p>
      <w:pPr>
        <w:spacing w:after="0" w:line="1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(844) 511-9056</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203200</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left="1" w:right="40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74"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ind w:left="1"/>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1"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Title of each class</w:t>
            </w:r>
          </w:p>
        </w:tc>
        <w:tc>
          <w:tcPr>
            <w:tcW w:w="3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Trading</w:t>
            </w: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w:t>
            </w:r>
          </w:p>
        </w:tc>
        <w:tc>
          <w:tcPr>
            <w:tcW w:w="0" w:type="dxa"/>
            <w:vAlign w:val="bottom"/>
          </w:tcPr>
          <w:p>
            <w:pPr>
              <w:spacing w:after="0"/>
              <w:rPr>
                <w:sz w:val="1"/>
                <w:szCs w:val="1"/>
                <w:color w:val="auto"/>
              </w:rPr>
            </w:pPr>
          </w:p>
        </w:tc>
      </w:tr>
      <w:tr>
        <w:trPr>
          <w:trHeight w:val="162"/>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Symbol(s)</w:t>
            </w: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6"/>
              </w:rPr>
              <w:t>on which registered</w:t>
            </w:r>
          </w:p>
        </w:tc>
        <w:tc>
          <w:tcPr>
            <w:tcW w:w="0" w:type="dxa"/>
            <w:vAlign w:val="bottom"/>
          </w:tcPr>
          <w:p>
            <w:pPr>
              <w:spacing w:after="0"/>
              <w:rPr>
                <w:sz w:val="1"/>
                <w:szCs w:val="1"/>
                <w:color w:val="auto"/>
              </w:rPr>
            </w:pPr>
          </w:p>
        </w:tc>
      </w:tr>
      <w:tr>
        <w:trPr>
          <w:trHeight w:val="196"/>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Common Stock, par value $0.001 per share</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LRMR</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Nasdaq Global Market</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1" w:right="26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ind w:left="7701"/>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45" w:lineRule="exact"/>
        <w:rPr>
          <w:sz w:val="24"/>
          <w:szCs w:val="24"/>
          <w:color w:val="auto"/>
        </w:rPr>
      </w:pPr>
    </w:p>
    <w:p>
      <w:pPr>
        <w:ind w:left="1" w:right="240"/>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155575</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339" w:right="1139" w:bottom="1440" w:gutter="0" w:footer="0" w:header="0"/>
        </w:sectPr>
      </w:pPr>
    </w:p>
    <w:bookmarkStart w:id="1" w:name="page2"/>
    <w:bookmarkEnd w:id="1"/>
    <w:p>
      <w:pPr>
        <w:ind w:left="1"/>
        <w:spacing w:after="0"/>
        <w:tabs>
          <w:tab w:leader="none" w:pos="941"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22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22225"/>
                    </a:xfrm>
                    <a:prstGeom prst="rect">
                      <a:avLst/>
                    </a:prstGeom>
                    <a:noFill/>
                  </pic:spPr>
                </pic:pic>
              </a:graphicData>
            </a:graphic>
          </wp:anchor>
        </w:drawing>
        <w:t>Item 2.02</w:t>
      </w:r>
      <w:r>
        <w:rPr>
          <w:sz w:val="20"/>
          <w:szCs w:val="20"/>
          <w:color w:val="auto"/>
        </w:rPr>
        <w:tab/>
      </w:r>
      <w:r>
        <w:rPr>
          <w:rFonts w:ascii="Arial" w:cs="Arial" w:eastAsia="Arial" w:hAnsi="Arial"/>
          <w:sz w:val="14"/>
          <w:szCs w:val="14"/>
          <w:b w:val="1"/>
          <w:bCs w:val="1"/>
          <w:color w:val="auto"/>
        </w:rPr>
        <w:t>Results of Operations and Financial Condition</w:t>
      </w:r>
    </w:p>
    <w:p>
      <w:pPr>
        <w:spacing w:after="0" w:line="104" w:lineRule="exact"/>
        <w:rPr>
          <w:sz w:val="20"/>
          <w:szCs w:val="20"/>
          <w:color w:val="auto"/>
        </w:rPr>
      </w:pPr>
    </w:p>
    <w:p>
      <w:pPr>
        <w:ind w:left="1"/>
        <w:spacing w:after="0" w:line="257" w:lineRule="auto"/>
        <w:rPr>
          <w:sz w:val="20"/>
          <w:szCs w:val="20"/>
          <w:color w:val="auto"/>
        </w:rPr>
      </w:pPr>
      <w:r>
        <w:rPr>
          <w:rFonts w:ascii="Arial" w:cs="Arial" w:eastAsia="Arial" w:hAnsi="Arial"/>
          <w:sz w:val="16"/>
          <w:szCs w:val="16"/>
          <w:color w:val="auto"/>
        </w:rPr>
        <w:t>On November 10, 2020, Larimar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announced its financial results and operational highlights for the third quarter ended September 30, 2020. A copy of the press release is being furnished as Exhibit 99.1 to this Current Report on Form 8-K and is incorporated herein by reference.</w:t>
      </w:r>
    </w:p>
    <w:p>
      <w:pPr>
        <w:spacing w:after="0" w:line="166" w:lineRule="exact"/>
        <w:rPr>
          <w:sz w:val="20"/>
          <w:szCs w:val="20"/>
          <w:color w:val="auto"/>
        </w:rPr>
      </w:pPr>
    </w:p>
    <w:p>
      <w:pPr>
        <w:ind w:left="1"/>
        <w:spacing w:after="0" w:line="253" w:lineRule="auto"/>
        <w:rPr>
          <w:sz w:val="20"/>
          <w:szCs w:val="20"/>
          <w:color w:val="auto"/>
        </w:rPr>
      </w:pPr>
      <w:r>
        <w:rPr>
          <w:rFonts w:ascii="Arial" w:cs="Arial" w:eastAsia="Arial" w:hAnsi="Arial"/>
          <w:sz w:val="16"/>
          <w:szCs w:val="16"/>
          <w:color w:val="auto"/>
        </w:rPr>
        <w:t>The information in this Current Report on Form 8-K and Exhibit 99.1 attached hereto is intended to be furnished and shall not be deemed “filed” for purposes of Section 18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or otherwise subject to the liabilities of that section, nor shall it be deemed incorporated by reference in any filing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or the Exchange Act, except as expressly set forth by specific reference in such filing.</w:t>
      </w:r>
    </w:p>
    <w:p>
      <w:pPr>
        <w:spacing w:after="0" w:line="296" w:lineRule="exact"/>
        <w:rPr>
          <w:sz w:val="20"/>
          <w:szCs w:val="20"/>
          <w:color w:val="auto"/>
        </w:rPr>
      </w:pPr>
    </w:p>
    <w:p>
      <w:pPr>
        <w:ind w:left="1"/>
        <w:spacing w:after="0"/>
        <w:tabs>
          <w:tab w:leader="none" w:pos="941"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104" w:lineRule="exact"/>
        <w:rPr>
          <w:sz w:val="20"/>
          <w:szCs w:val="20"/>
          <w:color w:val="auto"/>
        </w:rPr>
      </w:pPr>
    </w:p>
    <w:p>
      <w:pPr>
        <w:ind w:left="1" w:right="360"/>
        <w:spacing w:after="0" w:line="257" w:lineRule="auto"/>
        <w:rPr>
          <w:sz w:val="20"/>
          <w:szCs w:val="20"/>
          <w:color w:val="auto"/>
        </w:rPr>
      </w:pPr>
      <w:r>
        <w:rPr>
          <w:rFonts w:ascii="Arial" w:cs="Arial" w:eastAsia="Arial" w:hAnsi="Arial"/>
          <w:sz w:val="16"/>
          <w:szCs w:val="16"/>
          <w:color w:val="auto"/>
        </w:rPr>
        <w:t>On November 10, 2020, the Company posted on its website an updated slide presentation, which is being furnished as Exhibit 99.2 to this Current Report on Form 8-K and is incorporated herein by reference. Representatives of the Company will use the presentation in various meetings with investors, analysts and other parties from time to time.</w:t>
      </w:r>
    </w:p>
    <w:p>
      <w:pPr>
        <w:spacing w:after="0" w:line="166" w:lineRule="exact"/>
        <w:rPr>
          <w:sz w:val="20"/>
          <w:szCs w:val="20"/>
          <w:color w:val="auto"/>
        </w:rPr>
      </w:pPr>
    </w:p>
    <w:p>
      <w:pPr>
        <w:ind w:left="1" w:right="140"/>
        <w:spacing w:after="0" w:line="311" w:lineRule="auto"/>
        <w:rPr>
          <w:sz w:val="20"/>
          <w:szCs w:val="20"/>
          <w:color w:val="auto"/>
        </w:rPr>
      </w:pPr>
      <w:r>
        <w:rPr>
          <w:rFonts w:ascii="Arial" w:cs="Arial" w:eastAsia="Arial" w:hAnsi="Arial"/>
          <w:sz w:val="14"/>
          <w:szCs w:val="14"/>
          <w:color w:val="auto"/>
        </w:rPr>
        <w:t>The information in this Item 7.01 (including Exhibit 99.2) is being furnished solely to satisfy the requirements of Regulation FD and shall not be deemed to be “filed” for purposes of Section 18 of the Exchange Act or otherwise subject to the liabilities of that section, nor shall it be deemed to be incorporated by reference in any filing under the Securities Act or the Exchange Act, except as expressly set forth by specific reference in such filing.</w:t>
      </w:r>
    </w:p>
    <w:p>
      <w:pPr>
        <w:spacing w:after="0" w:line="257" w:lineRule="exact"/>
        <w:rPr>
          <w:sz w:val="20"/>
          <w:szCs w:val="20"/>
          <w:color w:val="auto"/>
        </w:rPr>
      </w:pPr>
    </w:p>
    <w:p>
      <w:pPr>
        <w:ind w:left="1"/>
        <w:spacing w:after="0"/>
        <w:tabs>
          <w:tab w:leader="none" w:pos="941"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93" w:lineRule="exact"/>
        <w:rPr>
          <w:sz w:val="20"/>
          <w:szCs w:val="20"/>
          <w:color w:val="auto"/>
        </w:rPr>
      </w:pPr>
    </w:p>
    <w:p>
      <w:pPr>
        <w:ind w:left="1"/>
        <w:spacing w:after="0"/>
        <w:rPr>
          <w:sz w:val="20"/>
          <w:szCs w:val="20"/>
          <w:color w:val="auto"/>
        </w:rPr>
      </w:pPr>
      <w:r>
        <w:rPr>
          <w:rFonts w:ascii="Arial" w:cs="Arial" w:eastAsia="Arial" w:hAnsi="Arial"/>
          <w:sz w:val="16"/>
          <w:szCs w:val="16"/>
          <w:color w:val="auto"/>
        </w:rPr>
        <w:t>(d) Exhibits</w:t>
      </w:r>
    </w:p>
    <w:p>
      <w:pPr>
        <w:spacing w:after="0" w:line="100" w:lineRule="exact"/>
        <w:rPr>
          <w:sz w:val="20"/>
          <w:szCs w:val="20"/>
          <w:color w:val="auto"/>
        </w:rPr>
      </w:pPr>
    </w:p>
    <w:p>
      <w:pPr>
        <w:ind w:left="1"/>
        <w:spacing w:after="0"/>
        <w:rPr>
          <w:sz w:val="20"/>
          <w:szCs w:val="20"/>
          <w:color w:val="auto"/>
        </w:rPr>
      </w:pPr>
      <w:r>
        <w:rPr>
          <w:rFonts w:ascii="Arial" w:cs="Arial" w:eastAsia="Arial" w:hAnsi="Arial"/>
          <w:sz w:val="16"/>
          <w:szCs w:val="16"/>
          <w:color w:val="auto"/>
        </w:rPr>
        <w:t>Below is a list of exhibits included with this Current Report on Form 8-K.</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Exhibit</w:t>
      </w:r>
    </w:p>
    <w:p>
      <w:pPr>
        <w:ind w:left="101"/>
        <w:spacing w:after="0"/>
        <w:tabs>
          <w:tab w:leader="none" w:pos="741"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u w:val="single" w:color="auto"/>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25527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5270" cy="7620"/>
                    </a:xfrm>
                    <a:prstGeom prst="rect">
                      <a:avLst/>
                    </a:prstGeom>
                    <a:noFill/>
                  </pic:spPr>
                </pic:pic>
              </a:graphicData>
            </a:graphic>
          </wp:anchor>
        </w:drawing>
      </w:r>
    </w:p>
    <w:p>
      <w:pPr>
        <w:spacing w:after="0" w:line="60" w:lineRule="exact"/>
        <w:rPr>
          <w:sz w:val="20"/>
          <w:szCs w:val="20"/>
          <w:color w:val="auto"/>
        </w:rPr>
      </w:pPr>
    </w:p>
    <w:p>
      <w:pPr>
        <w:ind w:left="1"/>
        <w:spacing w:after="0"/>
        <w:tabs>
          <w:tab w:leader="none" w:pos="741" w:val="left"/>
        </w:tabs>
        <w:rPr>
          <w:rFonts w:ascii="Arial" w:cs="Arial" w:eastAsia="Arial" w:hAnsi="Arial"/>
          <w:sz w:val="14"/>
          <w:szCs w:val="14"/>
          <w:u w:val="single" w:color="auto"/>
          <w:color w:val="0000EE"/>
        </w:rPr>
      </w:pPr>
      <w:r>
        <w:rPr>
          <w:rFonts w:ascii="Arial" w:cs="Arial" w:eastAsia="Arial" w:hAnsi="Arial"/>
          <w:sz w:val="16"/>
          <w:szCs w:val="16"/>
          <w:color w:val="auto"/>
        </w:rPr>
        <w:t>99.1</w:t>
      </w:r>
      <w:r>
        <w:rPr>
          <w:sz w:val="20"/>
          <w:szCs w:val="20"/>
          <w:color w:val="auto"/>
        </w:rPr>
        <w:tab/>
      </w:r>
      <w:hyperlink w:anchor="page4">
        <w:r>
          <w:rPr>
            <w:rFonts w:ascii="Arial" w:cs="Arial" w:eastAsia="Arial" w:hAnsi="Arial"/>
            <w:sz w:val="14"/>
            <w:szCs w:val="14"/>
            <w:u w:val="single" w:color="auto"/>
            <w:color w:val="0000EE"/>
          </w:rPr>
          <w:t>Press Release issued by Larimar Therapeutics, Inc. on November 10, 2020*</w:t>
        </w:r>
      </w:hyperlink>
    </w:p>
    <w:p>
      <w:pPr>
        <w:spacing w:after="0" w:line="100" w:lineRule="exact"/>
        <w:rPr>
          <w:sz w:val="20"/>
          <w:szCs w:val="20"/>
          <w:color w:val="auto"/>
        </w:rPr>
      </w:pPr>
    </w:p>
    <w:p>
      <w:pPr>
        <w:ind w:left="1"/>
        <w:spacing w:after="0"/>
        <w:tabs>
          <w:tab w:leader="none" w:pos="741" w:val="left"/>
        </w:tabs>
        <w:rPr>
          <w:rFonts w:ascii="Arial" w:cs="Arial" w:eastAsia="Arial" w:hAnsi="Arial"/>
          <w:sz w:val="14"/>
          <w:szCs w:val="14"/>
          <w:u w:val="single" w:color="auto"/>
          <w:color w:val="0000EE"/>
        </w:rPr>
      </w:pPr>
      <w:r>
        <w:rPr>
          <w:rFonts w:ascii="Arial" w:cs="Arial" w:eastAsia="Arial" w:hAnsi="Arial"/>
          <w:sz w:val="16"/>
          <w:szCs w:val="16"/>
          <w:color w:val="auto"/>
        </w:rPr>
        <w:t>99.2</w:t>
      </w:r>
      <w:r>
        <w:rPr>
          <w:sz w:val="20"/>
          <w:szCs w:val="20"/>
          <w:color w:val="auto"/>
        </w:rPr>
        <w:tab/>
      </w:r>
      <w:hyperlink w:anchor="page9">
        <w:r>
          <w:rPr>
            <w:rFonts w:ascii="Arial" w:cs="Arial" w:eastAsia="Arial" w:hAnsi="Arial"/>
            <w:sz w:val="14"/>
            <w:szCs w:val="14"/>
            <w:u w:val="single" w:color="auto"/>
            <w:color w:val="0000EE"/>
          </w:rPr>
          <w:t>Larimar Therapeutics, Inc. Corporate Presentation, dated November 10, 2020*</w:t>
        </w:r>
      </w:hyperlink>
    </w:p>
    <w:p>
      <w:pPr>
        <w:spacing w:after="0" w:line="218" w:lineRule="exact"/>
        <w:rPr>
          <w:sz w:val="20"/>
          <w:szCs w:val="20"/>
          <w:color w:val="auto"/>
        </w:rPr>
      </w:pPr>
    </w:p>
    <w:p>
      <w:pPr>
        <w:ind w:left="381" w:hanging="381"/>
        <w:spacing w:after="0"/>
        <w:tabs>
          <w:tab w:leader="none" w:pos="381" w:val="left"/>
        </w:tabs>
        <w:numPr>
          <w:ilvl w:val="0"/>
          <w:numId w:val="2"/>
        </w:numPr>
        <w:rPr>
          <w:rFonts w:ascii="Arial" w:cs="Arial" w:eastAsia="Arial" w:hAnsi="Arial"/>
          <w:sz w:val="16"/>
          <w:szCs w:val="16"/>
          <w:color w:val="auto"/>
        </w:rPr>
      </w:pPr>
      <w:r>
        <w:rPr>
          <w:rFonts w:ascii="Arial" w:cs="Arial" w:eastAsia="Arial" w:hAnsi="Arial"/>
          <w:sz w:val="16"/>
          <w:szCs w:val="16"/>
          <w:color w:val="auto"/>
        </w:rPr>
        <w:t>Furnished herewith</w:t>
      </w:r>
    </w:p>
    <w:p>
      <w:pPr>
        <w:sectPr>
          <w:pgSz w:w="11900" w:h="16838" w:orient="portrait"/>
          <w:cols w:equalWidth="0" w:num="1">
            <w:col w:w="9581"/>
          </w:cols>
          <w:pgMar w:left="1119" w:top="253" w:right="1199" w:bottom="1440" w:gutter="0" w:footer="0" w:header="0"/>
        </w:sectPr>
      </w:pPr>
    </w:p>
    <w:bookmarkStart w:id="2" w:name="page3"/>
    <w:bookmarkEnd w:id="2"/>
    <w:p>
      <w:pPr>
        <w:jc w:val="center"/>
        <w:ind w:right="-3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22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22225"/>
                    </a:xfrm>
                    <a:prstGeom prst="rect">
                      <a:avLst/>
                    </a:prstGeom>
                    <a:noFill/>
                  </pic:spPr>
                </pic:pic>
              </a:graphicData>
            </a:graphic>
          </wp:anchor>
        </w:drawing>
        <w:t>SIGNATURES</w:t>
      </w:r>
    </w:p>
    <w:p>
      <w:pPr>
        <w:spacing w:after="0" w:line="198" w:lineRule="exact"/>
        <w:rPr>
          <w:sz w:val="20"/>
          <w:szCs w:val="20"/>
          <w:color w:val="auto"/>
        </w:rPr>
      </w:pPr>
    </w:p>
    <w:p>
      <w:pPr>
        <w:ind w:right="339"/>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Larimar Therapeutics, Inc.</w:t>
      </w:r>
    </w:p>
    <w:p>
      <w:pPr>
        <w:spacing w:after="0" w:line="194" w:lineRule="exact"/>
        <w:rPr>
          <w:sz w:val="20"/>
          <w:szCs w:val="20"/>
          <w:color w:val="auto"/>
        </w:rPr>
      </w:pPr>
    </w:p>
    <w:p>
      <w:pPr>
        <w:ind w:left="5800"/>
        <w:spacing w:after="0"/>
        <w:tabs>
          <w:tab w:leader="none" w:pos="62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4001770</wp:posOffset>
            </wp:positionH>
            <wp:positionV relativeFrom="paragraph">
              <wp:posOffset>11430</wp:posOffset>
            </wp:positionV>
            <wp:extent cx="212534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25345" cy="7620"/>
                    </a:xfrm>
                    <a:prstGeom prst="rect">
                      <a:avLst/>
                    </a:prstGeom>
                    <a:noFill/>
                  </pic:spPr>
                </pic:pic>
              </a:graphicData>
            </a:graphic>
          </wp:anchor>
        </w:drawing>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6"/>
          <w:szCs w:val="16"/>
          <w:i w:val="1"/>
          <w:iCs w:val="1"/>
          <w:color w:val="auto"/>
        </w:rPr>
        <w:t>Name: Carole S. Ben-Maimon, M.D.</w:t>
      </w:r>
    </w:p>
    <w:p>
      <w:pPr>
        <w:spacing w:after="0" w:line="16" w:lineRule="exact"/>
        <w:rPr>
          <w:sz w:val="20"/>
          <w:szCs w:val="20"/>
          <w:color w:val="auto"/>
        </w:rPr>
      </w:pPr>
    </w:p>
    <w:p>
      <w:pPr>
        <w:ind w:left="5800"/>
        <w:spacing w:after="0"/>
        <w:tabs>
          <w:tab w:leader="none" w:pos="6280" w:val="left"/>
        </w:tabs>
        <w:rPr>
          <w:sz w:val="20"/>
          <w:szCs w:val="20"/>
          <w:color w:val="auto"/>
        </w:rPr>
      </w:pPr>
      <w:r>
        <w:rPr>
          <w:rFonts w:ascii="Arial" w:cs="Arial" w:eastAsia="Arial" w:hAnsi="Arial"/>
          <w:sz w:val="16"/>
          <w:szCs w:val="16"/>
          <w:i w:val="1"/>
          <w:iCs w:val="1"/>
          <w:color w:val="auto"/>
        </w:rPr>
        <w:t>Title:</w:t>
        <w:tab/>
        <w:t>President and Chief Executive Officer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10, 2020</w:t>
      </w:r>
    </w:p>
    <w:p>
      <w:pPr>
        <w:sectPr>
          <w:pgSz w:w="11900" w:h="16838" w:orient="portrait"/>
          <w:cols w:equalWidth="0" w:num="1">
            <w:col w:w="9339"/>
          </w:cols>
          <w:pgMar w:left="1120" w:top="253"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2462530</wp:posOffset>
            </wp:positionH>
            <wp:positionV relativeFrom="paragraph">
              <wp:posOffset>149225</wp:posOffset>
            </wp:positionV>
            <wp:extent cx="1209040"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90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Larimar Therapeutics Reports Third Quarter 2020 Operating and Financial Results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Phase 1 trials evaluating CTI-1601 as a treatment for Friedreich’s ataxia on track for topline data in 1H 2021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Received orphan drug designation for CTI-1601 from the European Commission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Cash, cash equivalents, and marketable securities of $102.3 million as of September 30, 2020</w:t>
      </w:r>
    </w:p>
    <w:p>
      <w:pPr>
        <w:spacing w:after="0" w:line="190" w:lineRule="exact"/>
        <w:rPr>
          <w:sz w:val="20"/>
          <w:szCs w:val="20"/>
          <w:color w:val="auto"/>
        </w:rPr>
      </w:pPr>
    </w:p>
    <w:p>
      <w:pPr>
        <w:spacing w:after="0" w:line="273" w:lineRule="auto"/>
        <w:rPr>
          <w:sz w:val="20"/>
          <w:szCs w:val="20"/>
          <w:color w:val="auto"/>
        </w:rPr>
      </w:pPr>
      <w:r>
        <w:rPr>
          <w:rFonts w:ascii="Arial" w:cs="Arial" w:eastAsia="Arial" w:hAnsi="Arial"/>
          <w:sz w:val="16"/>
          <w:szCs w:val="16"/>
          <w:b w:val="1"/>
          <w:bCs w:val="1"/>
          <w:color w:val="auto"/>
        </w:rPr>
        <w:t xml:space="preserve">Bala Cynwyd, PA – November 10, 2020 </w:t>
      </w:r>
      <w:r>
        <w:rPr>
          <w:rFonts w:ascii="Arial" w:cs="Arial" w:eastAsia="Arial" w:hAnsi="Arial"/>
          <w:sz w:val="16"/>
          <w:szCs w:val="16"/>
          <w:color w:val="auto"/>
        </w:rPr>
        <w:t>– Larimar Therapeutics, Inc. (Nasdaq:LRMR), a clinical-stage biotechnology company focused on developing</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treatments for complex rare diseases, today reported its third quarter 2020 operating and financial results.</w:t>
      </w:r>
    </w:p>
    <w:p>
      <w:pPr>
        <w:spacing w:after="0" w:line="153"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“I am very pleased with the progress Larimar has made over the past few months, as we achieved key clinical, regulatory, and corporate milestones that have left us well positioned for continued growth,” said Carole Ben-Maimon, MD, President and Chief Executive Officer of Larimar Therapeutics. “In the third quarter, we continued to advance our lead program in development for Friedreich’s ataxia (FA), resuming our Phase 1 trials evaluating CTI-1601 in patients with FA. Though the trials were delayed due to the impact of the COVID-19 pandemic, they are now on track for topline results in the first half of 2021.”</w:t>
      </w:r>
    </w:p>
    <w:p>
      <w:pPr>
        <w:spacing w:after="0" w:line="16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Dr. Ben-Maimon continued, “Alongside this clinical achievement, we also complemented previous regulatory designations from the U.S. Food and Drug Administration (FDA) with an orphan drug designation from the European Commission and strengthened Larimar’s leadership team with the formation of a Scientific Advisory Board (SAB). Members of the SAB are key opinion leaders in the fields of rare disease, pediatrics, and mitochondrial disease who will provide strategic scientific guidance as we build our pipeline.”</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Quarter and Subsequent Highlights</w:t>
      </w:r>
    </w:p>
    <w:p>
      <w:pPr>
        <w:spacing w:after="0" w:line="116" w:lineRule="exact"/>
        <w:rPr>
          <w:sz w:val="20"/>
          <w:szCs w:val="20"/>
          <w:color w:val="auto"/>
        </w:rPr>
      </w:pPr>
    </w:p>
    <w:p>
      <w:pPr>
        <w:jc w:val="both"/>
        <w:ind w:left="860" w:right="20" w:hanging="388"/>
        <w:spacing w:after="0" w:line="257"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July 2020, Larimar resumed its Phase 1 clinical trials to evaluate the safety and tolerability of CTI-1601 for the treatment of FA with the dosing of its third cohort. The trials were previously delayed due to the impact of the COVID-19 pandemic. Topline data from the trials are expected in the first half of 2021.</w:t>
      </w:r>
    </w:p>
    <w:p>
      <w:pPr>
        <w:spacing w:after="0" w:line="83" w:lineRule="exact"/>
        <w:rPr>
          <w:rFonts w:ascii="Arial" w:cs="Arial" w:eastAsia="Arial" w:hAnsi="Arial"/>
          <w:sz w:val="16"/>
          <w:szCs w:val="16"/>
          <w:color w:val="auto"/>
        </w:rPr>
      </w:pPr>
    </w:p>
    <w:p>
      <w:pPr>
        <w:ind w:left="860" w:right="280" w:hanging="388"/>
        <w:spacing w:after="0" w:line="302" w:lineRule="auto"/>
        <w:tabs>
          <w:tab w:leader="none" w:pos="86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 August 2020, the European Commission granted an orphan drug designation for CTI-1601 for the treatment of FA. This designation complements previously received Orphan Drug, Fast Track, and Rare Pediatric Disease designations from the FDA.</w:t>
      </w:r>
    </w:p>
    <w:p>
      <w:pPr>
        <w:spacing w:after="0" w:line="50" w:lineRule="exact"/>
        <w:rPr>
          <w:rFonts w:ascii="Arial" w:cs="Arial" w:eastAsia="Arial" w:hAnsi="Arial"/>
          <w:sz w:val="15"/>
          <w:szCs w:val="15"/>
          <w:color w:val="auto"/>
        </w:rPr>
      </w:pPr>
    </w:p>
    <w:p>
      <w:pPr>
        <w:ind w:left="860" w:right="120" w:hanging="388"/>
        <w:spacing w:after="0" w:line="253"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October 2020, Larimar announced the formation of its SAB. The SAB will provide strategic scientific guidance to company management and is comprised of key opinion leaders in the fields of rare disease, pediatrics, and mitochondrial disease. Members of the SAB include: Russell (Rusty) Clayton, DO; Marni J. Falk, MD; Giovanni Manfredi, MD, PhD; Mark Payne, MD; and Marshall Summar, MD.</w:t>
      </w:r>
    </w:p>
    <w:p>
      <w:pPr>
        <w:sectPr>
          <w:pgSz w:w="11900" w:h="16838" w:orient="portrait"/>
          <w:cols w:equalWidth="0" w:num="1">
            <w:col w:w="9640"/>
          </w:cols>
          <w:pgMar w:left="1120" w:top="123" w:right="11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22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22225"/>
                    </a:xfrm>
                    <a:prstGeom prst="rect">
                      <a:avLst/>
                    </a:prstGeom>
                    <a:noFill/>
                  </pic:spPr>
                </pic:pic>
              </a:graphicData>
            </a:graphic>
          </wp:anchor>
        </w:drawing>
        <w:t>Third Quarter 2020 Financial Results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2020, the Company had cash, cash equivalents, and marketable debt securities totaling $102.3 million.</w:t>
      </w:r>
    </w:p>
    <w:p>
      <w:pPr>
        <w:spacing w:after="0" w:line="194"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The Company reported a net loss for the third quarter of 2020 of $10.3 million, or $0.64 per share, compared to a net loss of $8.6 million, or $1.42 per share, for the third quarter of 2019.</w:t>
      </w:r>
    </w:p>
    <w:p>
      <w:pPr>
        <w:spacing w:after="0" w:line="157" w:lineRule="exact"/>
        <w:rPr>
          <w:sz w:val="20"/>
          <w:szCs w:val="20"/>
          <w:color w:val="auto"/>
        </w:rPr>
      </w:pPr>
    </w:p>
    <w:p>
      <w:pPr>
        <w:ind w:right="20"/>
        <w:spacing w:after="0" w:line="301" w:lineRule="auto"/>
        <w:rPr>
          <w:sz w:val="20"/>
          <w:szCs w:val="20"/>
          <w:color w:val="auto"/>
        </w:rPr>
      </w:pPr>
      <w:r>
        <w:rPr>
          <w:rFonts w:ascii="Arial" w:cs="Arial" w:eastAsia="Arial" w:hAnsi="Arial"/>
          <w:sz w:val="14"/>
          <w:szCs w:val="14"/>
          <w:color w:val="auto"/>
        </w:rPr>
        <w:t>Research and development expenses for the third quarter of 2020 were $6.9 million compared to $8.0 million for the third quarter of 2019. The decrease in research and development expenses compared to the prior year period was primarily driven by lower clinical supply manufacturing costs and toxicology studies partially offset by an increase in external clinical trial expenditures, an increase in personnel related costs due to headcount additions in our research and development functions and an increase in stock-based compensation expense associated with stock option grants made in July 2020.</w:t>
      </w:r>
    </w:p>
    <w:p>
      <w:pPr>
        <w:spacing w:after="0" w:line="138"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General and administrative expenses for the third quarter of 2020 were $3.4 million, compared to $0.6 million for the third quarter of 2019. The increase in general and administrative expenses as compared to the prior year period was primarily driven by an increase in professional fees and insurance costs that are primarily due to the costs of operating as a public company, an increase in personnel related costs due to increased headcount, an increase in stock-based compensation associated with stock option grants made in July 2020 and an increase in facilities costs.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CTI-1601</w:t>
      </w:r>
    </w:p>
    <w:p>
      <w:pPr>
        <w:spacing w:after="0" w:line="104"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CTI-1601 is a recombinant fusion protein intended to deliver human frataxin into the mitochondria of patients with Friedreich’s ataxia (FA) who are unable to produce enough of this essential protein. Currently in Phase 1 clinical trials in the U.S., CTI-1601 has been granted Rare Pediatric Disease designation, Fast Track designation and Orphan Drug designation by the U.S. Food and Drug Administration (FDA) and orphan drug designation by the European Commission. Topline results from the Phase 1 clinical program are planned for the first half of 2021.</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Friedreich’s ataxia</w:t>
      </w:r>
    </w:p>
    <w:p>
      <w:pPr>
        <w:spacing w:after="0" w:line="104" w:lineRule="exact"/>
        <w:rPr>
          <w:sz w:val="20"/>
          <w:szCs w:val="20"/>
          <w:color w:val="auto"/>
        </w:rPr>
      </w:pPr>
    </w:p>
    <w:p>
      <w:pPr>
        <w:ind w:right="300"/>
        <w:spacing w:after="0" w:line="286" w:lineRule="auto"/>
        <w:rPr>
          <w:sz w:val="20"/>
          <w:szCs w:val="20"/>
          <w:color w:val="auto"/>
        </w:rPr>
      </w:pPr>
      <w:r>
        <w:rPr>
          <w:rFonts w:ascii="Arial" w:cs="Arial" w:eastAsia="Arial" w:hAnsi="Arial"/>
          <w:sz w:val="14"/>
          <w:szCs w:val="14"/>
          <w:color w:val="auto"/>
        </w:rPr>
        <w:t>Friedreich’s ataxia (FA) is a rare, progressive, multi-symptom genetic disease that typically presents in mid-childhood and affects the functioning of multiple organs and systems. The most common inherited ataxia, FA is a debilitating neurodegenerative disease resulting in multiple symptoms including progressive neurologic and cardiac dysfunction – poor coordination of legs and arms, progressive loss of the ability to walk, generalized weakness, loss of sensation, scoliosis, diabetes, and cardiomyopathy as well as impaired vision, hearing, and speech. FA affects an estimated</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4,000-5,000 individuals living in the United States and approximately 20,000 in the European Economic Area and United Kingdom. FA results from a deficiency of the mitochondrial protein, frataxin (FXN), which is found in cells throughout the body. To date, there are no medical treatment options approved for patients with FA.</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Larimar Therapeutics</w:t>
      </w:r>
    </w:p>
    <w:p>
      <w:pPr>
        <w:spacing w:after="0" w:line="104" w:lineRule="exact"/>
        <w:rPr>
          <w:sz w:val="20"/>
          <w:szCs w:val="20"/>
          <w:color w:val="auto"/>
        </w:rPr>
      </w:pPr>
    </w:p>
    <w:p>
      <w:pPr>
        <w:ind w:right="20"/>
        <w:spacing w:after="0" w:line="301" w:lineRule="auto"/>
        <w:rPr>
          <w:sz w:val="20"/>
          <w:szCs w:val="20"/>
          <w:color w:val="auto"/>
        </w:rPr>
      </w:pPr>
      <w:r>
        <w:rPr>
          <w:rFonts w:ascii="Arial" w:cs="Arial" w:eastAsia="Arial" w:hAnsi="Arial"/>
          <w:sz w:val="14"/>
          <w:szCs w:val="14"/>
          <w:color w:val="auto"/>
        </w:rPr>
        <w:t xml:space="preserve">Larimar Therapeutics, Inc. (Nasdaq:LRMR), is a clinical-stage biotechnology company focused on developing treatments for complex rare diseases. The company’s lead compound, CTI-1601, is currently being evaluated in a Phase 1 clinical program in the U.S. as a potential treatment for Friedreich’s ataxia (FA). Larimar also plans to use its intracellular delivery platform to design other fusion proteins to target additional rare diseases characterized by deficiencies in intracellular bioactive compounds. For more information, please visit: </w:t>
      </w:r>
      <w:r>
        <w:rPr>
          <w:rFonts w:ascii="Arial" w:cs="Arial" w:eastAsia="Arial" w:hAnsi="Arial"/>
          <w:sz w:val="14"/>
          <w:szCs w:val="14"/>
          <w:u w:val="single" w:color="auto"/>
          <w:color w:val="auto"/>
        </w:rPr>
        <w:t>https://larimartx.com</w:t>
      </w:r>
      <w:r>
        <w:rPr>
          <w:rFonts w:ascii="Arial" w:cs="Arial" w:eastAsia="Arial" w:hAnsi="Arial"/>
          <w:sz w:val="14"/>
          <w:szCs w:val="14"/>
          <w:color w:val="auto"/>
        </w:rPr>
        <w:t>.</w:t>
      </w:r>
    </w:p>
    <w:p>
      <w:pPr>
        <w:sectPr>
          <w:pgSz w:w="11900" w:h="16838" w:orient="portrait"/>
          <w:cols w:equalWidth="0" w:num="1">
            <w:col w:w="9620"/>
          </w:cols>
          <w:pgMar w:left="1120" w:top="253" w:right="1159" w:bottom="1440" w:gutter="0" w:footer="0" w:header="0"/>
        </w:sectPr>
      </w:pPr>
    </w:p>
    <w:bookmarkStart w:id="5" w:name="page6"/>
    <w:bookmarkEnd w:id="5"/>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22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22225"/>
                    </a:xfrm>
                    <a:prstGeom prst="rect">
                      <a:avLst/>
                    </a:prstGeom>
                    <a:noFill/>
                  </pic:spPr>
                </pic:pic>
              </a:graphicData>
            </a:graphic>
          </wp:anchor>
        </w:drawing>
        <w:t>Forward-Looking Statements</w:t>
      </w:r>
    </w:p>
    <w:p>
      <w:pPr>
        <w:spacing w:after="0" w:line="104" w:lineRule="exact"/>
        <w:rPr>
          <w:sz w:val="20"/>
          <w:szCs w:val="20"/>
          <w:color w:val="auto"/>
        </w:rPr>
      </w:pPr>
    </w:p>
    <w:p>
      <w:pPr>
        <w:jc w:val="both"/>
        <w:ind w:left="1" w:right="60"/>
        <w:spacing w:after="0" w:line="252" w:lineRule="auto"/>
        <w:rPr>
          <w:sz w:val="20"/>
          <w:szCs w:val="20"/>
          <w:color w:val="auto"/>
        </w:rPr>
      </w:pPr>
      <w:r>
        <w:rPr>
          <w:rFonts w:ascii="Arial" w:cs="Arial" w:eastAsia="Arial" w:hAnsi="Arial"/>
          <w:sz w:val="16"/>
          <w:szCs w:val="16"/>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ability to develop and commercialize CTI-1601 and other planned product candidates, Larimar’s planned research and development efforts, and other matters regarding Larimar’s business strategies, use of capital, results of operations and financial position, and plans and objectives for future operations.</w:t>
      </w:r>
    </w:p>
    <w:p>
      <w:pPr>
        <w:spacing w:after="0" w:line="169" w:lineRule="exact"/>
        <w:rPr>
          <w:sz w:val="20"/>
          <w:szCs w:val="20"/>
          <w:color w:val="auto"/>
        </w:rPr>
      </w:pPr>
    </w:p>
    <w:p>
      <w:pPr>
        <w:ind w:left="1" w:right="60"/>
        <w:spacing w:after="0" w:line="283" w:lineRule="auto"/>
        <w:rPr>
          <w:sz w:val="20"/>
          <w:szCs w:val="20"/>
          <w:color w:val="auto"/>
        </w:rPr>
      </w:pPr>
      <w:r>
        <w:rPr>
          <w:rFonts w:ascii="Arial" w:cs="Arial" w:eastAsia="Arial" w:hAnsi="Arial"/>
          <w:sz w:val="14"/>
          <w:szCs w:val="14"/>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studies and clinical trials; the ongoing impact of the COVID-19 pandemic on Larimar’s clinical trial timelines, ability to raise additional capital and general economic conditions; Larimar’s ability to optimize and scale CTI-1601’s manufacturing process; Larimar’s ability to obtain regulatory approval for CTI-1601 and future product candidates;; Larimar’s ability to develop sales and marketing capabilities, whether alone or with potential future collaborators, and successfully commercialize any approved product candidates; Larimar’s ability to raise the necessary capital to conduct its product development activities; and other risks described in the filings made by the Company with the Securities and Exchange Commission (SEC), including but not limited to Larimar’s periodic reports, including the annual report on Form 10-K, quarterly reports on Form 10-Q and current reports on Form</w:t>
      </w:r>
    </w:p>
    <w:p>
      <w:pPr>
        <w:spacing w:after="0" w:line="4" w:lineRule="exact"/>
        <w:rPr>
          <w:sz w:val="20"/>
          <w:szCs w:val="20"/>
          <w:color w:val="auto"/>
        </w:rPr>
      </w:pPr>
    </w:p>
    <w:p>
      <w:pPr>
        <w:ind w:left="1"/>
        <w:spacing w:after="0" w:line="271" w:lineRule="auto"/>
        <w:rPr>
          <w:sz w:val="20"/>
          <w:szCs w:val="20"/>
          <w:color w:val="auto"/>
        </w:rPr>
      </w:pPr>
      <w:r>
        <w:rPr>
          <w:rFonts w:ascii="Arial" w:cs="Arial" w:eastAsia="Arial" w:hAnsi="Arial"/>
          <w:sz w:val="15"/>
          <w:szCs w:val="15"/>
          <w:color w:val="auto"/>
        </w:rPr>
        <w:t xml:space="preserve">8-K, filed with or furnished to the Securities and Exchange Commission and available at </w:t>
      </w:r>
      <w:r>
        <w:rPr>
          <w:rFonts w:ascii="Arial" w:cs="Arial" w:eastAsia="Arial" w:hAnsi="Arial"/>
          <w:sz w:val="15"/>
          <w:szCs w:val="15"/>
          <w:u w:val="single" w:color="auto"/>
          <w:color w:val="auto"/>
        </w:rPr>
        <w:t>www.sec.gov</w:t>
      </w:r>
      <w:r>
        <w:rPr>
          <w:rFonts w:ascii="Arial" w:cs="Arial" w:eastAsia="Arial" w:hAnsi="Arial"/>
          <w:sz w:val="15"/>
          <w:szCs w:val="15"/>
          <w:color w:val="auto"/>
        </w:rPr>
        <w:t>.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views as of the date hereof. Larimar undertakes no obligation to update any forward-looking statements for any reason, except as required by law.</w:t>
      </w:r>
    </w:p>
    <w:p>
      <w:pPr>
        <w:spacing w:after="0" w:line="24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Investor Contact:</w:t>
      </w:r>
    </w:p>
    <w:p>
      <w:pPr>
        <w:spacing w:after="0" w:line="104" w:lineRule="exact"/>
        <w:rPr>
          <w:sz w:val="20"/>
          <w:szCs w:val="20"/>
          <w:color w:val="auto"/>
        </w:rPr>
      </w:pPr>
    </w:p>
    <w:p>
      <w:pPr>
        <w:ind w:left="1"/>
        <w:spacing w:after="0"/>
        <w:rPr>
          <w:sz w:val="20"/>
          <w:szCs w:val="20"/>
          <w:color w:val="auto"/>
        </w:rPr>
      </w:pPr>
      <w:r>
        <w:rPr>
          <w:rFonts w:ascii="Arial" w:cs="Arial" w:eastAsia="Arial" w:hAnsi="Arial"/>
          <w:sz w:val="16"/>
          <w:szCs w:val="16"/>
          <w:color w:val="auto"/>
        </w:rPr>
        <w:t>Joyce Allaire</w:t>
      </w:r>
    </w:p>
    <w:p>
      <w:pPr>
        <w:spacing w:after="0" w:line="16" w:lineRule="exact"/>
        <w:rPr>
          <w:sz w:val="20"/>
          <w:szCs w:val="20"/>
          <w:color w:val="auto"/>
        </w:rPr>
      </w:pPr>
    </w:p>
    <w:p>
      <w:pPr>
        <w:ind w:left="1"/>
        <w:spacing w:after="0"/>
        <w:rPr>
          <w:sz w:val="20"/>
          <w:szCs w:val="20"/>
          <w:color w:val="auto"/>
        </w:rPr>
      </w:pPr>
      <w:r>
        <w:rPr>
          <w:rFonts w:ascii="Arial" w:cs="Arial" w:eastAsia="Arial" w:hAnsi="Arial"/>
          <w:sz w:val="16"/>
          <w:szCs w:val="16"/>
          <w:color w:val="auto"/>
        </w:rPr>
        <w:t>LifeSci Advisors</w:t>
      </w:r>
    </w:p>
    <w:p>
      <w:pPr>
        <w:spacing w:after="0" w:line="5" w:lineRule="exact"/>
        <w:rPr>
          <w:sz w:val="20"/>
          <w:szCs w:val="20"/>
          <w:color w:val="auto"/>
        </w:rPr>
      </w:pPr>
    </w:p>
    <w:p>
      <w:pPr>
        <w:ind w:left="1" w:right="7840" w:hanging="1"/>
        <w:spacing w:after="0" w:line="324" w:lineRule="auto"/>
        <w:tabs>
          <w:tab w:leader="none" w:pos="382" w:val="left"/>
        </w:tabs>
        <w:numPr>
          <w:ilvl w:val="0"/>
          <w:numId w:val="4"/>
        </w:numPr>
        <w:rPr>
          <w:rFonts w:ascii="Arial" w:cs="Arial" w:eastAsia="Arial" w:hAnsi="Arial"/>
          <w:sz w:val="14"/>
          <w:szCs w:val="14"/>
          <w:color w:val="auto"/>
        </w:rPr>
      </w:pPr>
      <w:r>
        <w:rPr>
          <w:rFonts w:ascii="Arial" w:cs="Arial" w:eastAsia="Arial" w:hAnsi="Arial"/>
          <w:sz w:val="14"/>
          <w:szCs w:val="14"/>
          <w:color w:val="auto"/>
        </w:rPr>
        <w:t>915-2569 jallaire@lifesciadvisors.com</w:t>
      </w:r>
    </w:p>
    <w:p>
      <w:pPr>
        <w:spacing w:after="0" w:line="21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Media Contact:</w:t>
      </w:r>
    </w:p>
    <w:p>
      <w:pPr>
        <w:spacing w:after="0" w:line="104" w:lineRule="exact"/>
        <w:rPr>
          <w:sz w:val="20"/>
          <w:szCs w:val="20"/>
          <w:color w:val="auto"/>
        </w:rPr>
      </w:pPr>
    </w:p>
    <w:p>
      <w:pPr>
        <w:ind w:left="1"/>
        <w:spacing w:after="0"/>
        <w:rPr>
          <w:sz w:val="20"/>
          <w:szCs w:val="20"/>
          <w:color w:val="auto"/>
        </w:rPr>
      </w:pPr>
      <w:r>
        <w:rPr>
          <w:rFonts w:ascii="Arial" w:cs="Arial" w:eastAsia="Arial" w:hAnsi="Arial"/>
          <w:sz w:val="16"/>
          <w:szCs w:val="16"/>
          <w:color w:val="auto"/>
        </w:rPr>
        <w:t>Gina Cestari</w:t>
      </w:r>
    </w:p>
    <w:p>
      <w:pPr>
        <w:spacing w:after="0" w:line="16" w:lineRule="exact"/>
        <w:rPr>
          <w:sz w:val="20"/>
          <w:szCs w:val="20"/>
          <w:color w:val="auto"/>
        </w:rPr>
      </w:pPr>
    </w:p>
    <w:p>
      <w:pPr>
        <w:ind w:left="1" w:right="8020" w:hanging="1"/>
        <w:spacing w:after="0" w:line="418" w:lineRule="auto"/>
        <w:tabs>
          <w:tab w:leader="none" w:pos="119"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Degrees (917) 797-7904 </w:t>
      </w:r>
      <w:r>
        <w:rPr>
          <w:rFonts w:ascii="Arial" w:cs="Arial" w:eastAsia="Arial" w:hAnsi="Arial"/>
          <w:sz w:val="12"/>
          <w:szCs w:val="12"/>
          <w:u w:val="single" w:color="auto"/>
          <w:color w:val="auto"/>
        </w:rPr>
        <w:t>gcestari@6degreespr.com</w:t>
      </w:r>
    </w:p>
    <w:p>
      <w:pPr>
        <w:sectPr>
          <w:pgSz w:w="11900" w:h="16838" w:orient="portrait"/>
          <w:cols w:equalWidth="0" w:num="1">
            <w:col w:w="9641"/>
          </w:cols>
          <w:pgMar w:left="1119" w:top="253" w:right="11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22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22225"/>
                    </a:xfrm>
                    <a:prstGeom prst="rect">
                      <a:avLst/>
                    </a:prstGeom>
                    <a:noFill/>
                  </pic:spPr>
                </pic:pic>
              </a:graphicData>
            </a:graphic>
          </wp:anchor>
        </w:drawing>
        <w:t>LARIMAR THERAPEUTICS,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4"/>
          </w:tcPr>
          <w:p>
            <w:pPr>
              <w:spacing w:after="0"/>
              <w:rPr>
                <w:sz w:val="20"/>
                <w:szCs w:val="20"/>
                <w:color w:val="auto"/>
              </w:rPr>
            </w:pPr>
            <w:r>
              <w:rPr>
                <w:rFonts w:ascii="Arial" w:cs="Arial" w:eastAsia="Arial" w:hAnsi="Arial"/>
                <w:sz w:val="13"/>
                <w:szCs w:val="13"/>
                <w:b w:val="1"/>
                <w:bCs w:val="1"/>
                <w:color w:val="auto"/>
              </w:rPr>
              <w:t>September 30,</w:t>
            </w: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22"/>
        </w:trPr>
        <w:tc>
          <w:tcPr>
            <w:tcW w:w="76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82"/>
              <w:spacing w:after="0" w:line="122" w:lineRule="exact"/>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CCEEFF"/>
            </w:tcBorders>
          </w:tcPr>
          <w:p>
            <w:pPr>
              <w:spacing w:after="0"/>
              <w:rPr>
                <w:sz w:val="10"/>
                <w:szCs w:val="10"/>
                <w:color w:val="auto"/>
              </w:rPr>
            </w:pPr>
          </w:p>
        </w:tc>
        <w:tc>
          <w:tcPr>
            <w:tcW w:w="42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62"/>
              <w:spacing w:after="0" w:line="122"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760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Assets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00" w:type="dxa"/>
            <w:vAlign w:val="bottom"/>
          </w:tcPr>
          <w:p>
            <w:pPr>
              <w:spacing w:after="0"/>
              <w:rPr>
                <w:sz w:val="20"/>
                <w:szCs w:val="20"/>
                <w:color w:val="auto"/>
              </w:rPr>
            </w:pPr>
            <w:r>
              <w:rPr>
                <w:rFonts w:ascii="Arial" w:cs="Arial" w:eastAsia="Arial" w:hAnsi="Arial"/>
                <w:sz w:val="16"/>
                <w:szCs w:val="16"/>
                <w:color w:val="auto"/>
              </w:rPr>
              <w:t>Current assets: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Cash and cash equivalents</w:t>
            </w:r>
          </w:p>
        </w:tc>
        <w:tc>
          <w:tcPr>
            <w:tcW w:w="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101,308</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189"/>
        </w:trPr>
        <w:tc>
          <w:tcPr>
            <w:tcW w:w="7600" w:type="dxa"/>
            <w:vAlign w:val="bottom"/>
          </w:tcPr>
          <w:p>
            <w:pPr>
              <w:ind w:left="620"/>
              <w:spacing w:after="0"/>
              <w:rPr>
                <w:sz w:val="20"/>
                <w:szCs w:val="20"/>
                <w:color w:val="auto"/>
              </w:rPr>
            </w:pPr>
            <w:r>
              <w:rPr>
                <w:rFonts w:ascii="Arial" w:cs="Arial" w:eastAsia="Arial" w:hAnsi="Arial"/>
                <w:sz w:val="16"/>
                <w:szCs w:val="16"/>
                <w:color w:val="auto"/>
              </w:rPr>
              <w:t>Marketable debt securities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1,001</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Prepaid expenses and other current assets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5,507</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3,741</w:t>
            </w:r>
          </w:p>
        </w:tc>
        <w:tc>
          <w:tcPr>
            <w:tcW w:w="0" w:type="dxa"/>
            <w:vAlign w:val="bottom"/>
          </w:tcPr>
          <w:p>
            <w:pPr>
              <w:spacing w:after="0"/>
              <w:rPr>
                <w:sz w:val="1"/>
                <w:szCs w:val="1"/>
                <w:color w:val="auto"/>
              </w:rPr>
            </w:pPr>
          </w:p>
        </w:tc>
      </w:tr>
      <w:tr>
        <w:trPr>
          <w:trHeight w:val="192"/>
        </w:trPr>
        <w:tc>
          <w:tcPr>
            <w:tcW w:w="7600" w:type="dxa"/>
            <w:vAlign w:val="bottom"/>
          </w:tcPr>
          <w:p>
            <w:pPr>
              <w:ind w:left="940"/>
              <w:spacing w:after="0"/>
              <w:rPr>
                <w:sz w:val="20"/>
                <w:szCs w:val="20"/>
                <w:color w:val="auto"/>
              </w:rPr>
            </w:pPr>
            <w:r>
              <w:rPr>
                <w:rFonts w:ascii="Arial" w:cs="Arial" w:eastAsia="Arial" w:hAnsi="Arial"/>
                <w:sz w:val="16"/>
                <w:szCs w:val="16"/>
                <w:color w:val="auto"/>
              </w:rPr>
              <w:t>Total current assets</w:t>
            </w: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107,816</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4,750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630</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189"/>
        </w:trPr>
        <w:tc>
          <w:tcPr>
            <w:tcW w:w="760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4,094</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1,339</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7600" w:type="dxa"/>
            <w:vAlign w:val="bottom"/>
          </w:tcPr>
          <w:p>
            <w:pPr>
              <w:spacing w:after="0"/>
              <w:rPr>
                <w:sz w:val="20"/>
                <w:szCs w:val="20"/>
                <w:color w:val="auto"/>
              </w:rPr>
            </w:pPr>
            <w:r>
              <w:rPr>
                <w:rFonts w:ascii="Arial" w:cs="Arial" w:eastAsia="Arial" w:hAnsi="Arial"/>
                <w:sz w:val="16"/>
                <w:szCs w:val="16"/>
                <w:color w:val="auto"/>
              </w:rPr>
              <w:t>Other assets</w:t>
            </w: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assets</w:t>
            </w:r>
          </w:p>
        </w:tc>
        <w:tc>
          <w:tcPr>
            <w:tcW w:w="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113,957</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5,201</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0" w:type="dxa"/>
            <w:vAlign w:val="bottom"/>
          </w:tcPr>
          <w:p>
            <w:pPr>
              <w:ind w:left="620"/>
              <w:spacing w:after="0"/>
              <w:rPr>
                <w:sz w:val="20"/>
                <w:szCs w:val="20"/>
                <w:color w:val="auto"/>
              </w:rPr>
            </w:pPr>
            <w:r>
              <w:rPr>
                <w:rFonts w:ascii="Arial" w:cs="Arial" w:eastAsia="Arial" w:hAnsi="Arial"/>
                <w:sz w:val="16"/>
                <w:szCs w:val="16"/>
                <w:color w:val="auto"/>
              </w:rPr>
              <w:t>Accounts payable</w:t>
            </w:r>
          </w:p>
        </w:tc>
        <w:tc>
          <w:tcPr>
            <w:tcW w:w="180" w:type="dxa"/>
            <w:vAlign w:val="bottom"/>
            <w:gridSpan w:val="2"/>
          </w:tcPr>
          <w:p>
            <w:pPr>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1,269</w:t>
            </w:r>
          </w:p>
        </w:tc>
        <w:tc>
          <w:tcPr>
            <w:tcW w:w="42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3,539</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Accrued expenses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3,384</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2,259</w:t>
            </w:r>
          </w:p>
        </w:tc>
        <w:tc>
          <w:tcPr>
            <w:tcW w:w="0" w:type="dxa"/>
            <w:vAlign w:val="bottom"/>
          </w:tcPr>
          <w:p>
            <w:pPr>
              <w:spacing w:after="0"/>
              <w:rPr>
                <w:sz w:val="1"/>
                <w:szCs w:val="1"/>
                <w:color w:val="auto"/>
              </w:rPr>
            </w:pPr>
          </w:p>
        </w:tc>
      </w:tr>
      <w:tr>
        <w:trPr>
          <w:trHeight w:val="193"/>
        </w:trPr>
        <w:tc>
          <w:tcPr>
            <w:tcW w:w="7600" w:type="dxa"/>
            <w:vAlign w:val="bottom"/>
          </w:tcPr>
          <w:p>
            <w:pPr>
              <w:ind w:left="620"/>
              <w:spacing w:after="0"/>
              <w:rPr>
                <w:sz w:val="20"/>
                <w:szCs w:val="20"/>
                <w:color w:val="auto"/>
              </w:rPr>
            </w:pPr>
            <w:r>
              <w:rPr>
                <w:rFonts w:ascii="Arial" w:cs="Arial" w:eastAsia="Arial" w:hAnsi="Arial"/>
                <w:sz w:val="16"/>
                <w:szCs w:val="16"/>
                <w:color w:val="auto"/>
              </w:rPr>
              <w:t>Operating lease liabilities, current</w:t>
            </w: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Total current liabilities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5,178</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5,895</w:t>
            </w:r>
          </w:p>
        </w:tc>
        <w:tc>
          <w:tcPr>
            <w:tcW w:w="0" w:type="dxa"/>
            <w:vAlign w:val="bottom"/>
          </w:tcPr>
          <w:p>
            <w:pPr>
              <w:spacing w:after="0"/>
              <w:rPr>
                <w:sz w:val="1"/>
                <w:szCs w:val="1"/>
                <w:color w:val="auto"/>
              </w:rPr>
            </w:pPr>
          </w:p>
        </w:tc>
      </w:tr>
      <w:tr>
        <w:trPr>
          <w:trHeight w:val="193"/>
        </w:trPr>
        <w:tc>
          <w:tcPr>
            <w:tcW w:w="7600" w:type="dxa"/>
            <w:vAlign w:val="bottom"/>
          </w:tcPr>
          <w:p>
            <w:pPr>
              <w:ind w:left="620"/>
              <w:spacing w:after="0"/>
              <w:rPr>
                <w:sz w:val="20"/>
                <w:szCs w:val="20"/>
                <w:color w:val="auto"/>
              </w:rPr>
            </w:pPr>
            <w:r>
              <w:rPr>
                <w:rFonts w:ascii="Arial" w:cs="Arial" w:eastAsia="Arial" w:hAnsi="Arial"/>
                <w:sz w:val="16"/>
                <w:szCs w:val="16"/>
                <w:color w:val="auto"/>
              </w:rPr>
              <w:t>Operating lease liabilities</w:t>
            </w: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6,138</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Total liabilities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11,316</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5,895</w:t>
            </w:r>
          </w:p>
        </w:tc>
        <w:tc>
          <w:tcPr>
            <w:tcW w:w="0" w:type="dxa"/>
            <w:vAlign w:val="bottom"/>
          </w:tcPr>
          <w:p>
            <w:pPr>
              <w:spacing w:after="0"/>
              <w:rPr>
                <w:sz w:val="1"/>
                <w:szCs w:val="1"/>
                <w:color w:val="auto"/>
              </w:rPr>
            </w:pPr>
          </w:p>
        </w:tc>
      </w:tr>
      <w:tr>
        <w:trPr>
          <w:trHeight w:val="192"/>
        </w:trPr>
        <w:tc>
          <w:tcPr>
            <w:tcW w:w="7600" w:type="dxa"/>
            <w:vAlign w:val="bottom"/>
          </w:tcPr>
          <w:p>
            <w:pPr>
              <w:spacing w:after="0"/>
              <w:rPr>
                <w:sz w:val="20"/>
                <w:szCs w:val="20"/>
                <w:color w:val="auto"/>
              </w:rPr>
            </w:pPr>
            <w:r>
              <w:rPr>
                <w:rFonts w:ascii="Arial" w:cs="Arial" w:eastAsia="Arial" w:hAnsi="Arial"/>
                <w:sz w:val="16"/>
                <w:szCs w:val="16"/>
                <w:color w:val="auto"/>
              </w:rPr>
              <w:t>Commitments and contingencies (See Note 9)</w:t>
            </w: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600" w:type="dxa"/>
            <w:vAlign w:val="bottom"/>
          </w:tcPr>
          <w:p>
            <w:pPr>
              <w:ind w:left="620"/>
              <w:spacing w:after="0" w:line="177" w:lineRule="exact"/>
              <w:rPr>
                <w:sz w:val="20"/>
                <w:szCs w:val="20"/>
                <w:color w:val="auto"/>
              </w:rPr>
            </w:pPr>
            <w:r>
              <w:rPr>
                <w:rFonts w:ascii="Arial" w:cs="Arial" w:eastAsia="Arial" w:hAnsi="Arial"/>
                <w:sz w:val="16"/>
                <w:szCs w:val="16"/>
                <w:color w:val="auto"/>
                <w:w w:val="94"/>
              </w:rPr>
              <w:t>Preferred stock; $0.001 par value per share; 5,000,000 shares authorized as of September 30, 2020 and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00" w:type="dxa"/>
            <w:vAlign w:val="bottom"/>
          </w:tcPr>
          <w:p>
            <w:pPr>
              <w:ind w:left="780"/>
              <w:spacing w:after="0"/>
              <w:rPr>
                <w:sz w:val="20"/>
                <w:szCs w:val="20"/>
                <w:color w:val="auto"/>
              </w:rPr>
            </w:pPr>
            <w:r>
              <w:rPr>
                <w:rFonts w:ascii="Arial" w:cs="Arial" w:eastAsia="Arial" w:hAnsi="Arial"/>
                <w:sz w:val="16"/>
                <w:szCs w:val="16"/>
                <w:color w:val="auto"/>
                <w:w w:val="95"/>
              </w:rPr>
              <w:t>December 31, 2019; no shares issued and outstanding as of September 30, 2020 and December 31,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600" w:type="dxa"/>
            <w:vAlign w:val="bottom"/>
          </w:tcPr>
          <w:p>
            <w:pPr>
              <w:ind w:left="780"/>
              <w:spacing w:after="0"/>
              <w:rPr>
                <w:sz w:val="20"/>
                <w:szCs w:val="20"/>
                <w:color w:val="auto"/>
              </w:rPr>
            </w:pPr>
            <w:r>
              <w:rPr>
                <w:rFonts w:ascii="Arial" w:cs="Arial" w:eastAsia="Arial" w:hAnsi="Arial"/>
                <w:sz w:val="16"/>
                <w:szCs w:val="16"/>
                <w:color w:val="auto"/>
              </w:rPr>
              <w:t>2019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7600" w:type="dxa"/>
            <w:vAlign w:val="bottom"/>
            <w:shd w:val="clear" w:color="auto" w:fill="CCEEFF"/>
          </w:tcPr>
          <w:p>
            <w:pPr>
              <w:ind w:left="620"/>
              <w:spacing w:after="0" w:line="178" w:lineRule="exact"/>
              <w:rPr>
                <w:sz w:val="20"/>
                <w:szCs w:val="20"/>
                <w:color w:val="auto"/>
              </w:rPr>
            </w:pPr>
            <w:r>
              <w:rPr>
                <w:rFonts w:ascii="Arial" w:cs="Arial" w:eastAsia="Arial" w:hAnsi="Arial"/>
                <w:sz w:val="16"/>
                <w:szCs w:val="16"/>
                <w:color w:val="auto"/>
                <w:w w:val="96"/>
              </w:rPr>
              <w:t>Common stock, $0.001 par value per share; 115,000,000 shares authorized as of September 30, 2020</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w w:val="92"/>
              </w:rPr>
              <w:t>and December 31, 2019; 15,356,206 and 6,091,250 shares issued and outstanding as of September 30,</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2020 and December 31, 2019, respectively</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760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154,038</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22,432</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(51,410)</w:t>
            </w: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(23,132)</w:t>
            </w:r>
          </w:p>
        </w:tc>
        <w:tc>
          <w:tcPr>
            <w:tcW w:w="0" w:type="dxa"/>
            <w:vAlign w:val="bottom"/>
          </w:tcPr>
          <w:p>
            <w:pPr>
              <w:spacing w:after="0"/>
              <w:rPr>
                <w:sz w:val="1"/>
                <w:szCs w:val="1"/>
                <w:color w:val="auto"/>
              </w:rPr>
            </w:pPr>
          </w:p>
        </w:tc>
      </w:tr>
      <w:tr>
        <w:trPr>
          <w:trHeight w:val="189"/>
        </w:trPr>
        <w:tc>
          <w:tcPr>
            <w:tcW w:w="760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7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stockholders’ equity (deficit)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102,641</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193"/>
        </w:trPr>
        <w:tc>
          <w:tcPr>
            <w:tcW w:w="7600" w:type="dxa"/>
            <w:vAlign w:val="bottom"/>
          </w:tcPr>
          <w:p>
            <w:pPr>
              <w:ind w:left="320"/>
              <w:spacing w:after="0"/>
              <w:rPr>
                <w:sz w:val="20"/>
                <w:szCs w:val="20"/>
                <w:color w:val="auto"/>
              </w:rPr>
            </w:pPr>
            <w:r>
              <w:rPr>
                <w:rFonts w:ascii="Arial" w:cs="Arial" w:eastAsia="Arial" w:hAnsi="Arial"/>
                <w:sz w:val="16"/>
                <w:szCs w:val="16"/>
                <w:color w:val="auto"/>
              </w:rPr>
              <w:t>Total liabilities and stockholders’ equity (deficit)</w:t>
            </w:r>
          </w:p>
        </w:tc>
        <w:tc>
          <w:tcPr>
            <w:tcW w:w="2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113,957</w:t>
            </w:r>
          </w:p>
        </w:tc>
        <w:tc>
          <w:tcPr>
            <w:tcW w:w="2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5,201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640"/>
          </w:cols>
          <w:pgMar w:left="1120" w:top="253" w:right="11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22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22225"/>
                    </a:xfrm>
                    <a:prstGeom prst="rect">
                      <a:avLst/>
                    </a:prstGeom>
                    <a:noFill/>
                  </pic:spPr>
                </pic:pic>
              </a:graphicData>
            </a:graphic>
          </wp:anchor>
        </w:drawing>
        <w:t>LARIMAR THERAPEUTICS,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5"/>
          </w:tcPr>
          <w:p>
            <w:pPr>
              <w:jc w:val="right"/>
              <w:ind w:right="50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5"/>
          </w:tcPr>
          <w:p>
            <w:pPr>
              <w:jc w:val="right"/>
              <w:ind w:right="800"/>
              <w:spacing w:after="0"/>
              <w:rPr>
                <w:sz w:val="20"/>
                <w:szCs w:val="20"/>
                <w:color w:val="auto"/>
              </w:rPr>
            </w:pPr>
            <w:r>
              <w:rPr>
                <w:rFonts w:ascii="Arial" w:cs="Arial" w:eastAsia="Arial" w:hAnsi="Arial"/>
                <w:sz w:val="13"/>
                <w:szCs w:val="13"/>
                <w:b w:val="1"/>
                <w:bCs w:val="1"/>
                <w:color w:val="auto"/>
              </w:rPr>
              <w:t>September 30,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5"/>
          </w:tcPr>
          <w:p>
            <w:pPr>
              <w:jc w:val="right"/>
              <w:ind w:right="66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60" w:type="dxa"/>
            <w:vAlign w:val="bottom"/>
            <w:tcBorders>
              <w:bottom w:val="single" w:sz="8" w:color="CCEEFF"/>
            </w:tcBorders>
          </w:tcPr>
          <w:p>
            <w:pPr>
              <w:spacing w:after="0"/>
              <w:rPr>
                <w:sz w:val="10"/>
                <w:szCs w:val="10"/>
                <w:color w:val="auto"/>
              </w:rPr>
            </w:pPr>
          </w:p>
        </w:tc>
        <w:tc>
          <w:tcPr>
            <w:tcW w:w="6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205"/>
              <w:spacing w:after="0" w:line="122" w:lineRule="exact"/>
              <w:rPr>
                <w:sz w:val="20"/>
                <w:szCs w:val="20"/>
                <w:color w:val="auto"/>
              </w:rPr>
            </w:pPr>
            <w:r>
              <w:rPr>
                <w:rFonts w:ascii="Arial" w:cs="Arial" w:eastAsia="Arial" w:hAnsi="Arial"/>
                <w:sz w:val="13"/>
                <w:szCs w:val="13"/>
                <w:b w:val="1"/>
                <w:bCs w:val="1"/>
                <w:color w:val="auto"/>
              </w:rPr>
              <w:t>2020</w:t>
            </w:r>
          </w:p>
        </w:tc>
        <w:tc>
          <w:tcPr>
            <w:tcW w:w="4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63"/>
              <w:spacing w:after="0" w:line="122"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205"/>
              <w:spacing w:after="0" w:line="122" w:lineRule="exact"/>
              <w:rPr>
                <w:sz w:val="20"/>
                <w:szCs w:val="20"/>
                <w:color w:val="auto"/>
              </w:rPr>
            </w:pPr>
            <w:r>
              <w:rPr>
                <w:rFonts w:ascii="Arial" w:cs="Arial" w:eastAsia="Arial" w:hAnsi="Arial"/>
                <w:sz w:val="13"/>
                <w:szCs w:val="13"/>
                <w:b w:val="1"/>
                <w:bCs w:val="1"/>
                <w:color w:val="auto"/>
              </w:rPr>
              <w:t>2020</w:t>
            </w:r>
          </w:p>
        </w:tc>
        <w:tc>
          <w:tcPr>
            <w:tcW w:w="4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63"/>
              <w:spacing w:after="0" w:line="122"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Operating expenses:</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tcPr>
          <w:p>
            <w:pPr>
              <w:ind w:left="300"/>
              <w:spacing w:after="0"/>
              <w:rPr>
                <w:sz w:val="20"/>
                <w:szCs w:val="20"/>
                <w:color w:val="auto"/>
              </w:rPr>
            </w:pPr>
            <w:r>
              <w:rPr>
                <w:rFonts w:ascii="Arial" w:cs="Arial" w:eastAsia="Arial" w:hAnsi="Arial"/>
                <w:sz w:val="16"/>
                <w:szCs w:val="16"/>
                <w:color w:val="auto"/>
              </w:rPr>
              <w:t>Research and development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6,919</w:t>
            </w:r>
          </w:p>
        </w:tc>
        <w:tc>
          <w:tcPr>
            <w:tcW w:w="4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8,034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6"/>
                <w:szCs w:val="16"/>
                <w:color w:val="auto"/>
              </w:rPr>
              <w:t>20,833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15,384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3,416</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594</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7,575</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1,672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tcPr>
          <w:p>
            <w:pPr>
              <w:ind w:left="600"/>
              <w:spacing w:after="0"/>
              <w:rPr>
                <w:sz w:val="20"/>
                <w:szCs w:val="20"/>
                <w:color w:val="auto"/>
              </w:rPr>
            </w:pPr>
            <w:r>
              <w:rPr>
                <w:rFonts w:ascii="Arial" w:cs="Arial" w:eastAsia="Arial" w:hAnsi="Arial"/>
                <w:sz w:val="16"/>
                <w:szCs w:val="16"/>
                <w:color w:val="auto"/>
              </w:rPr>
              <w:t>Total operating expenses</w:t>
            </w:r>
          </w:p>
        </w:tc>
        <w:tc>
          <w:tcPr>
            <w:tcW w:w="6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10,335</w:t>
            </w:r>
          </w:p>
        </w:tc>
        <w:tc>
          <w:tcPr>
            <w:tcW w:w="4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8,628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28,408</w:t>
            </w:r>
          </w:p>
        </w:tc>
        <w:tc>
          <w:tcPr>
            <w:tcW w:w="4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(10,335)</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(8,628)</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(28,408)</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(17,056)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60" w:type="dxa"/>
            <w:vAlign w:val="bottom"/>
          </w:tcPr>
          <w:p>
            <w:pPr>
              <w:ind w:left="300"/>
              <w:spacing w:after="0"/>
              <w:rPr>
                <w:sz w:val="20"/>
                <w:szCs w:val="20"/>
                <w:color w:val="auto"/>
              </w:rPr>
            </w:pPr>
            <w:r>
              <w:rPr>
                <w:rFonts w:ascii="Arial" w:cs="Arial" w:eastAsia="Arial" w:hAnsi="Arial"/>
                <w:sz w:val="16"/>
                <w:szCs w:val="16"/>
                <w:color w:val="auto"/>
              </w:rPr>
              <w:t>Other income, net</w:t>
            </w:r>
          </w:p>
        </w:tc>
        <w:tc>
          <w:tcPr>
            <w:tcW w:w="6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4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4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(10,274)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(8,628)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(28,278)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(17,056)</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6"/>
                <w:szCs w:val="16"/>
                <w:color w:val="auto"/>
              </w:rPr>
              <w:t>Net loss per share, basic and diluted</w:t>
            </w: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8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(0.64)</w:t>
            </w:r>
          </w:p>
        </w:tc>
        <w:tc>
          <w:tcPr>
            <w:tcW w:w="4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(2.69)</w:t>
            </w:r>
          </w:p>
        </w:tc>
        <w:tc>
          <w:tcPr>
            <w:tcW w:w="4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(2.80)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466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w w:val="99"/>
              </w:rPr>
              <w:t>Weighted average common shares outstanding, basic and diluted</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420"/>
              <w:spacing w:after="0" w:line="177" w:lineRule="exact"/>
              <w:rPr>
                <w:sz w:val="20"/>
                <w:szCs w:val="20"/>
                <w:color w:val="auto"/>
              </w:rPr>
            </w:pPr>
            <w:r>
              <w:rPr>
                <w:rFonts w:ascii="Arial" w:cs="Arial" w:eastAsia="Arial" w:hAnsi="Arial"/>
                <w:sz w:val="16"/>
                <w:szCs w:val="16"/>
                <w:color w:val="auto"/>
                <w:w w:val="87"/>
              </w:rPr>
              <w:t>15,984,609</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line="177" w:lineRule="exact"/>
              <w:rPr>
                <w:sz w:val="20"/>
                <w:szCs w:val="20"/>
                <w:color w:val="auto"/>
              </w:rPr>
            </w:pPr>
            <w:r>
              <w:rPr>
                <w:rFonts w:ascii="Arial" w:cs="Arial" w:eastAsia="Arial" w:hAnsi="Arial"/>
                <w:sz w:val="16"/>
                <w:szCs w:val="16"/>
                <w:color w:val="auto"/>
                <w:w w:val="87"/>
              </w:rPr>
              <w:t>6,091,250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420"/>
              <w:spacing w:after="0" w:line="177" w:lineRule="exact"/>
              <w:rPr>
                <w:sz w:val="20"/>
                <w:szCs w:val="20"/>
                <w:color w:val="auto"/>
              </w:rPr>
            </w:pPr>
            <w:r>
              <w:rPr>
                <w:rFonts w:ascii="Arial" w:cs="Arial" w:eastAsia="Arial" w:hAnsi="Arial"/>
                <w:sz w:val="16"/>
                <w:szCs w:val="16"/>
                <w:color w:val="auto"/>
                <w:w w:val="87"/>
              </w:rPr>
              <w:t>10,505,826</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line="177" w:lineRule="exact"/>
              <w:rPr>
                <w:sz w:val="20"/>
                <w:szCs w:val="20"/>
                <w:color w:val="auto"/>
              </w:rPr>
            </w:pPr>
            <w:r>
              <w:rPr>
                <w:rFonts w:ascii="Arial" w:cs="Arial" w:eastAsia="Arial" w:hAnsi="Arial"/>
                <w:sz w:val="16"/>
                <w:szCs w:val="16"/>
                <w:color w:val="auto"/>
                <w:w w:val="87"/>
              </w:rPr>
              <w:t>6,091,250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640"/>
          </w:cols>
          <w:pgMar w:left="1120" w:top="253" w:right="113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22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22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212"/>
    </w:lvl>
  </w:abstractNum>
  <w:abstractNum w:abstractNumId="4">
    <w:nsid w:val="46E87CCD"/>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2020-11-10T15:35:47Z</dcterms:created>
  <dcterms:modified xsi:type="dcterms:W3CDTF">2020-11-10T15:35:47Z</dcterms:modified>
</cp:coreProperties>
</file>