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Larimar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Blue Owl Capital Holdings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10,739,492.00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10,739,492.00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10,739,492.00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securities represent: (i) 7,120,007 shares of Common Stock; (ii) 975,700 shares of Common Stock issuable upon exercise of 9,757 call options; and (iii) 2,643,785 shares of Common Stock issuable upon conversion of Series A convertible preferred stock ("Series A Preferred Stock"). The reported percentage is calculated based on 103,882,937 shares of Common Stock outstanding as of March 17, 2026, as reported on the Issuer's 10-K filed with the Securities and Exchange Commission on March 19, 2026, as increased by (i) 975,700 shares of Common Stock issuable upon exercise of 9,757 call options and (ii) 2,643,785 shares of Common Stock issuable upon conversion of Series A Preferred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Larimar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Three Bala Plaza East, Suite 506,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Blue Owl Capital Holdings LP, referred to herein as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row 4 on the cover page.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row 9 on the cover page. The reported securities include: (i) 7,120,007 shares of Common Stock; (ii) 975,700 shares of Common Stock issuable upon exercise of 9,757 call options; and (iii) 2,643,785 shares of Common Stock issuable upon conversion of 500,000 shares of Series A Preferred Stock (which would be convertible into 5,000,000 shares of Common Stock in the absence of a conversion blocker that limits the Reporting Person's beneficial ownership to 9.99%). Pursuant to Rule 13d-4 of the Act, the Reporting Person declares that filing this statement shall not be deemed an admission that the Reporting Person is a beneficial owner of the reported securities, for purposes of Section 13(d) and/or Section 13(g)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row 11 on the cover page.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row 5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row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row 7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row 8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Blue Owl Capital Holdings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Karen Hager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Karen Hager /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5275</Characters>
  <CharactersWithSpaces>6302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