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(Amendment No. 1)</w:t>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60" w:type="dxa"/>
            <w:vAlign w:val="bottom"/>
          </w:tcPr>
          <w:p>
            <w:pPr>
              <w:jc w:val="center"/>
              <w:ind w:right="219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160" w:type="dxa"/>
            <w:vAlign w:val="bottom"/>
          </w:tcPr>
          <w:p>
            <w:pPr>
              <w:jc w:val="center"/>
              <w:ind w:right="2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60" w:type="dxa"/>
            <w:vAlign w:val="bottom"/>
          </w:tcPr>
          <w:p>
            <w:pPr>
              <w:jc w:val="center"/>
              <w:ind w:right="2199"/>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16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Boston, Massachusetts 02108</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24"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200" w:type="dxa"/>
            <w:vAlign w:val="bottom"/>
            <w:gridSpan w:val="3"/>
          </w:tcPr>
          <w:p>
            <w:pPr>
              <w:jc w:val="center"/>
              <w:ind w:left="234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52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w w:val="88"/>
              </w:rPr>
              <w:t>Symbol(s)</w:t>
            </w:r>
          </w:p>
        </w:tc>
        <w:tc>
          <w:tcPr>
            <w:tcW w:w="4200" w:type="dxa"/>
            <w:vAlign w:val="bottom"/>
            <w:gridSpan w:val="3"/>
          </w:tcPr>
          <w:p>
            <w:pPr>
              <w:jc w:val="center"/>
              <w:ind w:left="234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0.001 per share</w:t>
            </w: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2"/>
              </w:rPr>
              <w:t>Common Stock, par value $</w:t>
            </w:r>
          </w:p>
        </w:tc>
        <w:tc>
          <w:tcPr>
            <w:tcW w:w="20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LRMR</w:t>
            </w:r>
          </w:p>
        </w:tc>
        <w:tc>
          <w:tcPr>
            <w:tcW w:w="4200" w:type="dxa"/>
            <w:vAlign w:val="bottom"/>
            <w:gridSpan w:val="3"/>
          </w:tcPr>
          <w:p>
            <w:pPr>
              <w:jc w:val="center"/>
              <w:ind w:left="2342"/>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This Current Report on Form 8-K/A (this “Amendment”) is being filed by Larimar Therapeutics, Inc. (f/k/a Zafgen, Inc.), a Delaware corporation (the “Company”), to amend its Current Report on Form 8-K (the “Prior 8-K”) filed with the Securities and Exchange Commission (the “SEC”) on June 2, 2020, in connection with the consummation on May 28, 2020 of the transactions contemplated by that certain Agreement and Plan of Merger and Reorganization, dated December 17, 2019 (the “Merger Agreement”), by and among the Company, Zordich Merger Sub, Inc. (“Zordich”), Chondrial Therapeutics, Inc. (“Chondrial”) and Chondrial Therapeutics Holdings, LLC (“Holdings”), pursuant to which Zordich merged with and into Chondrial, with Chondrial surviving as a wholly-owned subsidiary of the Company (the “Merger”).</w:t>
      </w:r>
    </w:p>
    <w:p>
      <w:pPr>
        <w:spacing w:after="0" w:line="178"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The Company is filing this Amendment solely to provide (i) certain voluntary disclosures concerning the risk factors and financial condition of the Company, as permitted by Item 8.01; (ii) the historical audited financial statements of Chondrial as of and for the years ended December 31, 2019 and 2018, and the unaudited condensed consolidated financial statements as of March 31, 2020 and for the three month periods ended March 31, 2020 and 2019, referred to in Item 9.01(a) below; and (iii) the unaudited pro forma condensed combined financial statements as of and for the three month period ended March 31, 2020 and for the year ended December 31, 2019, referred to in Item 9.01(b) below. Except for the foregoing, this Amendment does not modify or update any other disclosure contained in the Prior 8-K. Such financial information was excluded from the Prior 8-K in reliance on the instructions to such items.</w:t>
      </w:r>
    </w:p>
    <w:p>
      <w:pPr>
        <w:spacing w:after="0" w:line="33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Company’s Risk Factors and Chondrial’s Management’s Discussion and Analysis of Financial Condition and Results of Operations as of March 31, 2020 and for the three month periods ended March 31, 2020 and 2019, are filed herewith and attached hereto as Exhibits 99.1 and 99.2, respectively, and incorporated herein by reference.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44" w:hanging="244"/>
        <w:spacing w:after="0"/>
        <w:tabs>
          <w:tab w:leader="none" w:pos="24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Statements of Business Acquired</w:t>
      </w:r>
    </w:p>
    <w:p>
      <w:pPr>
        <w:spacing w:after="0" w:line="11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audited financial statements of Chondrial as of and for the years ended December 31, 2019 and 2018, and the unaudited condensed consolidated financial statements as of March 31, 2020 and for the three month periods ended March 31, 2020 and 2019, are filed herewith as Exhibits 99.3 and 99.4, respectively, and are incorporated herein by reference. The consent of PricewaterhouseCoopers LLP, the Company’s independent registered public accounting firm, is attached as Exhibit 23.1 to this Current Report on Form 8-K/A.</w:t>
      </w:r>
    </w:p>
    <w:p>
      <w:pPr>
        <w:spacing w:after="0" w:line="295"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Pro Forma Financial Information</w:t>
      </w:r>
      <w:r>
        <w:rPr>
          <w:rFonts w:ascii="Arial" w:cs="Arial" w:eastAsia="Arial" w:hAnsi="Arial"/>
          <w:sz w:val="18"/>
          <w:szCs w:val="18"/>
          <w:color w:val="auto"/>
        </w:rPr>
        <w:t>.</w:t>
      </w:r>
    </w:p>
    <w:p>
      <w:pPr>
        <w:spacing w:after="0" w:line="117"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The unaudited pro forma condensed combined financial statements of the Company and Chondrial as of and for the three month period ended March 31, 2020 and for the year ended December 31, 2019, filed herewith and attached hereto as Exhibit 99.5, are incorporated herein by reference.</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2"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6"/>
            <w:szCs w:val="16"/>
            <w:u w:val="single" w:color="auto"/>
            <w:color w:val="0000EE"/>
          </w:rPr>
          <w:t>Consent of PricewaterhouseCoopers LLP, the Company’s independent registered public accounting firm.</w:t>
        </w:r>
      </w:hyperlink>
    </w:p>
    <w:p>
      <w:pPr>
        <w:spacing w:after="0" w:line="117" w:lineRule="exact"/>
        <w:rPr>
          <w:sz w:val="20"/>
          <w:szCs w:val="20"/>
          <w:color w:val="auto"/>
        </w:rPr>
      </w:pPr>
    </w:p>
    <w:p>
      <w:pPr>
        <w:ind w:left="884" w:right="40"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8"/>
            <w:szCs w:val="18"/>
            <w:u w:val="single" w:color="auto"/>
            <w:color w:val="0000EE"/>
          </w:rPr>
          <w:t>Management’s Discussion and Analysis of Financial Condition and Results of Operations of the Chondrial as of March 31, 2020 and for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three month periods ended March 31, 2020 and 2019.</w:t>
        </w:r>
      </w:hyperlink>
    </w:p>
    <w:p>
      <w:pPr>
        <w:spacing w:after="0" w:line="62"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3">
        <w:r>
          <w:rPr>
            <w:rFonts w:ascii="Arial" w:cs="Arial" w:eastAsia="Arial" w:hAnsi="Arial"/>
            <w:sz w:val="16"/>
            <w:szCs w:val="16"/>
            <w:u w:val="single" w:color="auto"/>
            <w:color w:val="0000EE"/>
          </w:rPr>
          <w:t>Risk Factors of the Company.</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57">
        <w:r>
          <w:rPr>
            <w:rFonts w:ascii="Arial" w:cs="Arial" w:eastAsia="Arial" w:hAnsi="Arial"/>
            <w:sz w:val="16"/>
            <w:szCs w:val="16"/>
            <w:u w:val="single" w:color="auto"/>
            <w:color w:val="0000EE"/>
          </w:rPr>
          <w:t>Audited financial statements of Chondrial as of and for the years ended December 31, 2019 and 2018.</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80">
        <w:r>
          <w:rPr>
            <w:rFonts w:ascii="Arial" w:cs="Arial" w:eastAsia="Arial" w:hAnsi="Arial"/>
            <w:sz w:val="16"/>
            <w:szCs w:val="16"/>
            <w:u w:val="single" w:color="auto"/>
            <w:color w:val="0000EE"/>
          </w:rPr>
          <w:t>Unaudited condensed consolidated financial statements of Chondrial as of March 31, 2020 and for the three month periods ended March 31,</w:t>
        </w:r>
      </w:hyperlink>
    </w:p>
    <w:p>
      <w:pPr>
        <w:spacing w:after="0" w:line="23" w:lineRule="exact"/>
        <w:rPr>
          <w:sz w:val="20"/>
          <w:szCs w:val="20"/>
          <w:color w:val="auto"/>
        </w:rPr>
      </w:pPr>
    </w:p>
    <w:p>
      <w:pPr>
        <w:ind w:left="884"/>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2020 and 2019.</w:t>
        </w:r>
      </w:hyperlink>
    </w:p>
    <w:p>
      <w:pPr>
        <w:spacing w:after="0" w:line="103" w:lineRule="exact"/>
        <w:rPr>
          <w:sz w:val="20"/>
          <w:szCs w:val="20"/>
          <w:color w:val="auto"/>
        </w:rPr>
      </w:pPr>
    </w:p>
    <w:p>
      <w:pPr>
        <w:ind w:left="884" w:right="200"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99.5</w:t>
      </w:r>
      <w:r>
        <w:rPr>
          <w:sz w:val="20"/>
          <w:szCs w:val="20"/>
          <w:color w:val="auto"/>
        </w:rPr>
        <w:tab/>
      </w:r>
      <w:hyperlink w:anchor="page98">
        <w:r>
          <w:rPr>
            <w:rFonts w:ascii="Arial" w:cs="Arial" w:eastAsia="Arial" w:hAnsi="Arial"/>
            <w:sz w:val="18"/>
            <w:szCs w:val="18"/>
            <w:u w:val="single" w:color="auto"/>
            <w:color w:val="0000EE"/>
          </w:rPr>
          <w:t>Unaudited pro forma condensed combined financial statements of the Company and Chondrial as of and for the three month period ended</w:t>
        </w:r>
      </w:hyperlink>
      <w:r>
        <w:rPr>
          <w:rFonts w:ascii="Arial" w:cs="Arial" w:eastAsia="Arial" w:hAnsi="Arial"/>
          <w:sz w:val="18"/>
          <w:szCs w:val="18"/>
          <w:u w:val="single" w:color="auto"/>
          <w:color w:val="0000EE"/>
        </w:rPr>
        <w:t xml:space="preserve"> </w:t>
      </w:r>
      <w:hyperlink w:anchor="page98">
        <w:r>
          <w:rPr>
            <w:rFonts w:ascii="Arial" w:cs="Arial" w:eastAsia="Arial" w:hAnsi="Arial"/>
            <w:sz w:val="18"/>
            <w:szCs w:val="18"/>
            <w:u w:val="single" w:color="auto"/>
            <w:color w:val="0000EE"/>
          </w:rPr>
          <w:t>March 31, 2020 and for the year ended December 31, 2019.</w:t>
        </w:r>
      </w:hyperlink>
    </w:p>
    <w:p>
      <w:pPr>
        <w:sectPr>
          <w:pgSz w:w="11900" w:h="16838" w:orient="portrait"/>
          <w:cols w:equalWidth="0" w:num="1">
            <w:col w:w="11004"/>
          </w:cols>
          <w:pgMar w:left="436"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2020</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333-196900, 333-204931, 333-210216, 333-216602, 333-223561, 333-230291, 333-234579, 333-236917, and 333-228326) and Form S-3 (Nos. 333-219834 and 333-228328) of Larimar Therapeutics, Inc. of our report dated March 6, 2020 relating to the financial statements of Chondrial Therapeutics, Inc., which appears in this Current Report on Form 8-K/A.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On May 28, 2020, Larimar Therapeutics, Inc., formerly known as Zafgen, Inc. (the “Company” or “Larimar”), completed its business combination with Chondrial Therapeutics, Inc., a Delaware corporation (“Chondrial”), in accordance with the terms of the Agreement and Plan of Merger and Reorganization, dated December 17, 2019 (as amended, the “Merger Agreement”), by and among Larimar, Zordich Merger Sub, Inc. (“Merger Sub”), Chondrial and Chondrial Therapeutics Holdings, LLC (“Holdings”), pursuant to which Merger Sub merged with and into Chondrial, with Chondrial surviving as a wholly-owned subsidiary of the Company (the “Merger”). In connection with, and immediately prior to the completion of the Merger, the Company effected a reverse stock split of the Company’s Common Stock at a ratio of 1-for-12 (the “Reverse Stock Split”). Following completion of the Merger, the Company changed its name from “Zafgen, Inc.” to “Larimar Therapeutics, Inc.” (the “Name Change”), Chondrial was determined to be the accounting acquirer, the historical financials of Larimar will be those of Chondrial and the business conducted by the Company became primarily the business conducted by Chondrial.</w:t>
      </w:r>
    </w:p>
    <w:p>
      <w:pPr>
        <w:spacing w:after="0" w:line="1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Chondrial’s financial condition and results of operations together with Chondrial’s condensed consolidated financial statements and the related notes included in Exhibit 99.4 of the Company’s Amendment No. 1 to the Current Report on Form 8-K filed with the Securities and Exchange Commission (“SEC”) on June 26, 2020. Some of the information contained in this discussion and analysis including information with respect to Chondrial’s plans and strategy for Chondrial’s business and related financing, includes forward-looking statements that involve risks and uncertainties. As a result of many factors, including those factors set forth in the “Risk Factors” included in Exhibit 99.2 of the Company’s Amendment No. 1 to the Current Report on Form 8-K filed with the SEC on June 26, 2020, Chondrial’s actual results could differ materially from the results described in or implied by the forward-looking statements contained in the following discussion and analysis.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 The receipt of such designations may not result in a faster development process, review or approval compared to products considered for approval under conventional FDA procedures and does not assure ultimate approval by the FDA.</w:t>
      </w:r>
    </w:p>
    <w:p>
      <w:pPr>
        <w:spacing w:after="0" w:line="17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Chondrial’s cell penetrating peptide technology platform, which enables a therapeutic molecule to cross a cell membrane in order to reach intracellular targets, has the potential to enable the treatment of other rare and orphan diseases. Chondrial intends to use its proprietary platform to target additional orphan indications characterized by deficiencies in or alterations of intracellular protein content or activity.</w:t>
      </w:r>
    </w:p>
    <w:p>
      <w:pPr>
        <w:spacing w:after="0" w:line="16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Since Chondrial’s inception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March 31, 2020, Chondrial received gross proceeds of $35.6 million from the sale of Series A convertible preferred units by its parent company, Chondrial Therapeutics Holdings, LLC, or Holdings. Additionally, from inception through March 31, 2020, Chondrial received gross proceeds of $13.0 million from the sale of Series B Bridge Units by Holdings.</w:t>
      </w:r>
    </w:p>
    <w:p>
      <w:pPr>
        <w:spacing w:after="0" w:line="17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Chondrial has never generated any revenue and has incurred net losses in each year since inception. Chondrial has an accumulated deficit of $29.8 million as of March 31, 2020. Chondrial’s net loss was $6.7 million for the three months ended March 31, 2020 and $4.7 million for the three months ended March 31, 2019. These losses have resulted principally from costs incurred in connection with research and development activities, in-licensing of technology and general and administrative costs associated with Chondrial’s operations. Chondrial expects to incur significant expenses and operating losses for the foreseeable future.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Chondrial expects to continue to incur expenses in connection with its ongoing activities, if and as Chondrial:</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Continues to advance the development of CTI-1601 through additional clinical trials;</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Seeks to identify and advance development of additional product candidates into clinical development and indications for its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Seeks to obtain regulatory approvals for its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Identifies, acquires or in-licenses other product candidates and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Maintains, leverages and expands its intellectual property portfolio; and</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Expands its operational, financial and management systems and personnel, including personnel to support its clinical development and future commercialization efforts and its operations as a public company.</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As a result, Chondrial will need additional financing to support its continuing operations. Until such time that Chondrial can generate significant revenue from product sales, if ever, Chondrial expects to finance its operations through a combination of public equity, private equity, debt financings, or other sources, which may include collaborations with third parties. Arrangements with collaborators or others may require Chondrial to relinquish rights to certain of its technologies or product candidates. In addition, Chondrial may never successfully complete development of any of its product candidates, obtain adequate patent protection for its technology, obtain necessary regulatory approval for its product candidates or achieve commercial viability for any approved product candidates. Adequate additional financing may not be available to Chondrial on acceptable terms, or at all. Chondrial’s failure to raise capital as and when needed would have a negative impact on its financial condition and ability to pursue its business strategy. Chondrial will need to generate significant revenue to achieve profitability, and may never do so.</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Chondrial expects to continue to generate operating losses for the foreseeable future. As of June 26, 2020, the issuance date of the condensed consolidated financial statements for the three months March 31, 2020, Chondrial completed its merger with Zafgen Inc., which, upon closing, provided incremental net cash of approximately $40.0 million concurrent with a private placement which provided additional net proceeds of $75.5 million. Chondrial believes that, based on its current operating plan, its cash and cash equivalents as of the filing date will enable it to fund operations for at least twelve months from the issuance of these interim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121"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On December 17, 2019, Larimar, Merger Sub, Holdings and Chondrial entered into the Merger Agreement, pursuant to which the Merger Sub would merge with and into Chondrial, with Chondrial surviving the merger as a wholly owned subsidiary of Zafgen. The Merger was completed on May 28, 2020 pursuant to the terms of the Merger Agreement.</w:t>
      </w:r>
    </w:p>
    <w:p>
      <w:pPr>
        <w:spacing w:after="0" w:line="184" w:lineRule="exact"/>
        <w:rPr>
          <w:sz w:val="20"/>
          <w:szCs w:val="20"/>
          <w:color w:val="auto"/>
        </w:rPr>
      </w:pPr>
    </w:p>
    <w:p>
      <w:pPr>
        <w:ind w:right="400" w:firstLine="440"/>
        <w:spacing w:after="0" w:line="296" w:lineRule="auto"/>
        <w:rPr>
          <w:sz w:val="20"/>
          <w:szCs w:val="20"/>
          <w:color w:val="auto"/>
        </w:rPr>
      </w:pPr>
      <w:r>
        <w:rPr>
          <w:rFonts w:ascii="Arial" w:cs="Arial" w:eastAsia="Arial" w:hAnsi="Arial"/>
          <w:sz w:val="16"/>
          <w:szCs w:val="16"/>
          <w:color w:val="auto"/>
        </w:rPr>
        <w:t>Pursuant to the terms of the Merger Agreement, upon closing of the Merger, all of Chondrial’s outstanding common stock was exchanged for common stock of Zafgen and all outstanding options exercisable for units of Holdings were exchanged for options to purchase common stock of Larimar. In addition, immediately following the closing of the merger, the combined organization effected the Reverse Stock Split and the Name Change. Except as noted otherwise, the unaudited condensed consolidated financial statements and notes included in Exhibit 99.4 of Larimar’s Amendment No. 1 to the Current Report on Form 8-K filed on June 26, 2020 do not give effect to the Reverse Stock Split.</w:t>
      </w:r>
    </w:p>
    <w:p>
      <w:pPr>
        <w:spacing w:after="0" w:line="16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business combination was accounted for as a reverse acquisition in accordance with GAAP. Under this method of accounting, Chondrial was deemed to be the accounting acquirer for financial reporting purposes. This determination was primarily based on the facts that, immediately following the merger: (i) Chondrial’s stockholders own a substantial majority of the voting rights in the combined organization, (ii) the majority of the board of directors of the combined company is composed of directors designated by Chondrial under the terms of the Merger Agreement and (iii) existing members of Chondrial management will be the management of the combined company. Accordingly, for accounting purposes, the business combination was treated as the equivalent of Chondrial issuing stock to acquire the net assets of Larimar. As a result, as of the closing date of the Merger, the net assets of Larimar were recorded at their acquisition-date fair values in the financial statements of Chondrial and the reported operating results prior to the business combination will be those of Chondrial.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To date, Chondrial has not generated any revenue from product sales, and does not expect to generate any revenue from the sale of products in the foreseeable future. If Chondrial’s development efforts result in clinical success and regulatory approval or collaboration agreements with third parties for its product candidates, Chondrial may generate revenue from those product candidates or collaborations.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majority of Chondrial’s operating expenses since inception have consisted primarily of research and development activities, and general and administrative costs.</w:t>
      </w:r>
    </w:p>
    <w:p>
      <w:pPr>
        <w:spacing w:after="0" w:line="170"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which consist primarily of costs associated with Chondrial’s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efforts, are expensed as incurred. Research and development expenses consist primarily of:</w:t>
      </w:r>
    </w:p>
    <w:p>
      <w:pPr>
        <w:spacing w:after="0" w:line="52" w:lineRule="exact"/>
        <w:rPr>
          <w:sz w:val="20"/>
          <w:szCs w:val="20"/>
          <w:color w:val="auto"/>
        </w:rPr>
      </w:pPr>
    </w:p>
    <w:p>
      <w:pPr>
        <w:ind w:left="960" w:right="2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payments made under Chondrial’s third-party licensing agreements;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preclinical studies and clinical trials are generally recognized based on the evaluation of the progress of completion of specific tasks using information and data provided by Chondrial’s vendors and collaborators. Research and development activities are central to Chondrial’s business. Chondrial expects to increase its investment in research and development in order to advance CTI-1601 through additional clinical trials. As a result, Chondrial expects that its research and development expenses will increase in the foreseeable future as it pursues clinical development of its product candidates.</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At this time, Chondrial cannot reasonably estimate or know the nature, timing and estimated costs of the efforts that will be necessary to complete the development of its product candidates. Chondrial is also unable to predict when, if ever, material net cash inflows will commence from sales of its product candidates. The duration, costs, and timing of clinical trials and development of Chondrial’s product candidates will depend on a variety of factors, including:</w:t>
      </w:r>
    </w:p>
    <w:p>
      <w:pPr>
        <w:spacing w:after="0" w:line="92"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 results, including the ongoing impact of COVID-19;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commercializing Chondrial’s product candidates, if and when approved, whether alone or in collaboration with others;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Chondrial’s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applicable safety profiles of the products following approval;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Chondrial to conduct clinical trials beyond those that Chondrial currently anticipates will be required for the completion of clinical development of a product candidate, or if Chondrial experiences significant delays in enrollment in any of its clinical trials, Chondrial could be required to expend significant additional financial resources and time on the completion of clinical development.</w:t>
      </w:r>
    </w:p>
    <w:p>
      <w:pPr>
        <w:sectPr>
          <w:pgSz w:w="11900" w:h="16838" w:orient="portrait"/>
          <w:cols w:equalWidth="0" w:num="1">
            <w:col w:w="11000"/>
          </w:cols>
          <w:pgMar w:left="440" w:top="270" w:right="45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00"/>
          </w:cols>
          <w:pgMar w:left="440" w:top="270" w:right="459" w:bottom="1440" w:gutter="0" w:footer="0" w:header="0"/>
          <w:type w:val="continuous"/>
        </w:sectPr>
      </w:pPr>
    </w:p>
    <w:bookmarkStart w:id="7" w:name="page8"/>
    <w:bookmarkEnd w:id="7"/>
    <w:p>
      <w:pPr>
        <w:ind w:right="280" w:firstLine="44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General and Administrative Expenses. </w:t>
      </w:r>
      <w:r>
        <w:rPr>
          <w:rFonts w:ascii="Arial" w:cs="Arial" w:eastAsia="Arial" w:hAnsi="Arial"/>
          <w:sz w:val="16"/>
          <w:szCs w:val="16"/>
          <w:color w:val="auto"/>
        </w:rPr>
        <w:t>General and administrative expenses consist primarily of personnel costs, consisting of salaries,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of Chondrial’s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Chondrial’s intellectual property. Chondrial expects that its general and administrative expenses will increase in the foreseeable future as it hires additional employees to implement and improve its operational, financial and management systems. Additionally, as a publicly-traded company, Chondrial will incur significant additional legal, accounting and other expenses that Chondrial did not incur as a privately-held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Chondrial’s condensed consolidated financial statements are prepared in accordance with generally accepted accounting principles in the United States of America. The preparation of Chondrial’s condensed consolidated financial statements and related disclosures requires Chondrial to make estimates and assumptions that affect the reported amount of assets, liabilities, costs and expenses, and related disclosures. Chondrial believes that the estimates and assumptions involved in the accounting policies described below may have the greatest potential impact on Chondrial’s condensed consolidated financial statements and, therefore, consider these to be Chondrial’s critical accounting policies. Chondrial evaluates these estimates and assumptions on an ongoing basis. Chondrial’s actual results may differ from these estimates under different assumptions and conditions. See also Note 3 of Chondrial’s unaudited condensed consolidated financial statements included in Exhibit 99.4 of Larimar’s Amendment No. 1 to the Current Report on Form 8-K filed on June 26,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As part of the process of preparing Chondrial’s condensed consolidated financial statements, Chondrial is required to estimate its accrued research and development expenses. This process involves reviewing open contracts and purchase orders, communicating with its personnel and outside vendors to identify services that have been performed on its behalf and estimating the level of service performed and the associated costs incurred for the services when Chondrial has not yet been invoiced or otherwise notified of the actual costs. The majority of Chondrial’s service providers invoice Chondrial in arrears for services performed, on a pre-determined schedule or when contractual milestones are met; however, some require advance payments. Chondrial makes estimates of its accrued expenses as of each balance sheet date in its condensed consolidated financial statements based on facts and circumstances known to it at that time. Examples of estimated accrued research and development expenses include fees paid to:</w:t>
      </w:r>
    </w:p>
    <w:p>
      <w:pPr>
        <w:spacing w:after="0" w:line="72"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research organizations, or CROs, in connection with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Chondrial bases its expenses related to clinical trials on its estimates of the services received and efforts expended pursuant to contracts with multiple CROs that conduct and manage clinical trials on Chondrial’s behalf. The financial terms of these agreements are subject to negotiation, vary from contract to contract and may result in uneven payment flows. There may be instances in which payments made to Chondrial’s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Chondrial estimates the time period over which services will be performed, enrollment of patients, number of sites activated and the level of effort to be expended in each period. If the actual timing of the performance of services or the level of effort varies from Chondrial’s estimate, Chondrial adjusts the accrual or prepaid accordingly. Although Chondrial does not expect its estimates to be materially different from amounts actually incurred, its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Stock-Based Compensation</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Chondrial has historically issued equity awards to employees in the form of options to purchase common units of Holdings and, to a lesser extent, restricted common units of Holdings. Chondrial measures equity-based awards granted to employees and directors at fair value on the date of grant and recognizes the corresponding compensation expense of those awards over the requisite service period, which is generally the vesting period of the respective award. Generally, Chondrial issues common unit options and restricted common unit awards with only service-based vesting conditions and record the expense for these awards using the straight-line method. Stock-based compensation costs for non-employees are recognized as expense over the vesting period on a graded vesting basis.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fair value of each service-based option grant to employees, and restricted common unit grants to non-employees, is estimated on the date of grant using the Black-Scholes option-pricing model. Chondrial estimates its expected volatility using a weighted average of the historical volatility of publicly-traded peer companies, and expects to continue to do so until such time as it has adequate historical data regarding the volatility of its own traded stock price for the duration of the expected term. The expected term of Chondrial’s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Chondrial has never paid cash dividends and does not expect to pay any cash dividends in the foreseeable future.</w:t>
      </w:r>
    </w:p>
    <w:p>
      <w:pPr>
        <w:spacing w:after="0" w:line="177"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As of March 31, 2020, Chondrial had unrecognized equity-based compensation expense related to Chondrial’s unvested service-based option awards of less than $0.1 million, which is expected to be recognized over the remaining weighted-average vesting period of 1.5 years.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COVID-19 outbreak has caused significant business disruption around the globe. The extent of the impact of COVID-19 on Chondrial’s operational and financial performance will depend on certain developments, including the duration and spread of the outbreak and the impact on Chondrial’s clinical trials, employees and vendors. At this point, the degree to which COVID-19 may impact the Company’s financial condition or results of operations is uncertain. A prolonged outbreak could have a material and adverse impact on financial results and business operations of Chondrial, including the timing and ability of Company to complete its clinical trials and other efforts required to advance the development of CTI-1601. For example, due to the continued impact of COVID-19, Chondrial has delayed initiation of the next cohort in Chondrial’s single ascending dose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the planned multiple ascending dose clinical trials were originally expected by the end of 2020, the delay in the clinical trial timeline caused by the ongoing impact of COVID-19 resulted in top line results being expected in the first half of 2021.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Chondrial’s results of operations for the three months ended March 31, 2020 and 2019:</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5,007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(6,674)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(6,674)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(4,724)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Research and development expenses increased by $0.8 million from $4.2 million for the three months ended March 31, 2019 to $5.0 million for the three months ended March 31, 2020. The increase was primarily due to a $0.5 million increase in external development costs for CTI-1601 and a $0.3 million increase in personnel related costs due to headcount additions in Chondrial’s research and development functions. The $0.5 million increase in external development costs was primarily attributed to incremental costs incurred for the further development of CTI-1601. Specifically, during late 2019 the first patients were dosed in a Phase 1 SAD clinical trial of CTI-1601. The trial was ongoing during the first quarter of 2020. Chondrial is working to initiate the third cohort in the SAD clinical trial, which is delayed due to the continued impact of COVID-19. The $0.9 million increase from the clinical trial was offset by a reduction in costs for third-party manufacturing of CTI-1601 and timing of toxicology studies for CTI-1601.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General and administrative expense increased by $1.2 million from $0.5 million for the three months ended March 31, 2019 to $1.7 million for the three months ended March 31, 2020. The increase was primarily due to a $1.0 million increase in professional fees that is primarily due to a $0.8 million increase in accounting and audit fees due to the Merger, and a $0.2 million increase in legal fees associated with Chondrial becoming a public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Since its inception in November 2016, Chondrial has not generated any revenue from any sources, including from product sales, and have incurred significant operating losses and negative cash flows from its operations.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March 31, 2020, Chondrial received gross proceeds of $45.6 million from the sale of Series A convertible preferred units and Series B Bridge units by its parent company, Holdings.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Chondrial’s sources and uses of cash for each of the periods presented below:</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9,577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3,000</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During the three months ended March 31, 2020, operating activities used $8.9 million of cash, resulting from Chondrial’s net loss of $6.7 million and changes in operating assets and liabilities of $2.3 million. Chondrial’s net loss was primarily attributed to research and development activities related to its CTI-1601 program and its general and administrative expenses. Net cash used in changes in Chondrial’s operating assets and liabilities during the three months ended March 31, 2020, consisted primarily of a $2.3 million decrease in account payable and accrued expenses.</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During the three months ended March 31, 2019, operating activities used $5.8 million of cash, resulting from net loss of $4.7 million and changes in operating assets and liabilities of $1.1 million. Chondrial’s net loss was primarily attributed to research and development activities related to Chondrial’s CTI-1601 program and general and administrative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During the three months ended March 31, 2020, investing activities used $0.8 million of cash, resulting from Chondrial’s transaction costs for the acquisition of Zafgen of $0.7 million and $0.1 million from the purchase of equipment.</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During the three months ended March 31, 2019, investing activities used less than $0.1 million of cash, respectively resulting from purchases of laboratory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During the three months ended March 31, 2020, net cash provided by financing activities of $9.6 million was the result of contributions from Holdings. Of the gross proceeds received by Holdings, $6.6 million was from the sale of 1,323 Series B Bridge Units and $3.0 million from the sale of 600 Second Series B Convertible Preferred Units.</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During the three months ended March 31, 2019, net cash provided by financing activities of $3.0 million was the result of contributions from Holdings of $3.0 million from the sale of 150,000 shares of Series A Preferred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CTI-1601 is currently in Phase 1 clinical development, therefore Chondrial expects to continue to incur significant expenses and operating losses for the foreseeable future. Chondrial anticipates that it will continue to incur expenses, if and as it seeks to:</w:t>
      </w:r>
    </w:p>
    <w:p>
      <w:pPr>
        <w:spacing w:after="0" w:line="76"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Chondrial’s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obtain regulatory approvals for its product candidates;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1" w:name="page12"/>
    <w:bookmarkEnd w:id="11"/>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Identify, acquire or in-license other product candidates and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 and</w:t>
      </w:r>
    </w:p>
    <w:p>
      <w:pPr>
        <w:spacing w:after="0" w:line="130"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personnel, including personnel to support its clinical development and future commercialization efforts and its operations as a public company.</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Chondrial expects to continue to generate operating losses for the foreseeable future. The additional funding through Holding’s Second Series B Bridge Unit Purchase Agreement entered into in January 2020 funded operations until the completion of the Merger. Chondrial completed the Merger on May 28, 2020 which, upon closing, provided incremental net cash of approximately $40.0 million concurrent with a private placement which provided additional net proceeds of $75.5 million. Chondrial believes that, based on its current operating plan, its cash, cash equivalents and marketable securities as of the filing date will enable it to fund operations for at least twelve months from the issuance of its interim financial statements.</w:t>
      </w:r>
    </w:p>
    <w:p>
      <w:pPr>
        <w:spacing w:after="0" w:line="16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Until such time, if ever, as the Chondrial can generate substantial revenue, Chondrial expects to seek additional funding through equity financings, debt financings, or other capital sources, which may include collaborations with other companies, government funding arrangements or other strategic transactions. Chondrial may not be able to obtain financing on acceptable terms, or at all, and Chondrial may not be able to enter into collaborations or other arrangements. The terms of any financing may adversely affect the holdings or rights Chondrial’s existing stockholders’ rights. If Chondrial is unable to obtain additional funding, Chondrial will be forced to delay, reduce or eliminate some or all of its research and development programs, product portfolio expansion or commercialization efforts, which would adversely affect its business, or Chondrial may be unable to continue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During the three months ended March 31, 2020, there have been no material changes to Chondrial’s contractual obligations and commitments outside the ordinary course of business from those described under the heading “</w:t>
      </w:r>
      <w:r>
        <w:rPr>
          <w:rFonts w:ascii="Arial" w:cs="Arial" w:eastAsia="Arial" w:hAnsi="Arial"/>
          <w:sz w:val="18"/>
          <w:szCs w:val="18"/>
          <w:i w:val="1"/>
          <w:iCs w:val="1"/>
          <w:color w:val="auto"/>
        </w:rPr>
        <w:t>Chondrial’s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Operations—Contractual Obligations and Commitments</w:t>
      </w:r>
      <w:r>
        <w:rPr>
          <w:rFonts w:ascii="Arial" w:cs="Arial" w:eastAsia="Arial" w:hAnsi="Arial"/>
          <w:sz w:val="18"/>
          <w:szCs w:val="18"/>
          <w:color w:val="auto"/>
        </w:rPr>
        <w:t>” in the Company’s Definitive Proxy Statement, as filed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29,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During the periods presented Chondrial did not have and Chondrial does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its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Chondrial’s financial position and results of operations is disclosed in Note 3 to Chondrial’s unaudited condensed consolidated financial statements included as Exhibit 99.4 of Larimar’s Amendment No. 1 to the Current Report on Form 8-K filed on June 26,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On May 28, 2020, we completed our business combination with Chondrial Therapeutics, Inc., or Chondrial, in accordance with the terms of the Agreement and Plan of Merger, dated as of December 17, 2019, as amended, or the Merger Agreement, by and among us, Chondrial, a wholly-owned subsidiary of ours, or Merger Sub, and Chondrial Holdings, LLC, or Holdings, the sole stockholder of Chondrial, pursuant to which Merger Sub merged with and into Chondrial, with Chondrial surviving as a wholly-owned subsidiary of ours, or the Merger.</w:t>
      </w:r>
    </w:p>
    <w:p>
      <w:pPr>
        <w:spacing w:after="0" w:line="171"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In connection with, and immediately prior to the completion of the Merger, we effected a reverse stock split of our common stock, at a ratio of 1-for-12, or the Reverse Stock Split. Under the terms of the Merger Agreement, we issued common stock to Holdings at an exchange ratio of 60,912.5005 shares of common stock, after taking into account the Reverse Stock Split, for each share of Chondrial’s common stock outstanding immediately prior to the Merger. Holdings subsequently distributed the shares of our common stock it received in the Merger to its members. Immediately after the completion of the Merger, we changed our name from “Zafgen, Inc.” to “Larimar Therapeutics, Inc.,” Chondrial was determined to be the accounting acquirer, our historical financials will be those of Chondrial and the business conducted by us became the business conducted by Chondrial.</w:t>
      </w:r>
    </w:p>
    <w:p>
      <w:pPr>
        <w:spacing w:after="0" w:line="195" w:lineRule="exact"/>
        <w:rPr>
          <w:sz w:val="20"/>
          <w:szCs w:val="20"/>
          <w:color w:val="auto"/>
        </w:rPr>
      </w:pPr>
    </w:p>
    <w:p>
      <w:pPr>
        <w:ind w:right="340" w:firstLine="991"/>
        <w:spacing w:after="0" w:line="301" w:lineRule="auto"/>
        <w:rPr>
          <w:sz w:val="20"/>
          <w:szCs w:val="20"/>
          <w:color w:val="auto"/>
        </w:rPr>
      </w:pPr>
      <w:r>
        <w:rPr>
          <w:rFonts w:ascii="Arial" w:cs="Arial" w:eastAsia="Arial" w:hAnsi="Arial"/>
          <w:sz w:val="16"/>
          <w:szCs w:val="16"/>
          <w:color w:val="auto"/>
        </w:rPr>
        <w:t>Unless the context otherwise requires, references in this prospectus to “Larimar,” the “Company,” “we,” “our” or “us” refer to Larimar Therapeutics, Inc. (formerly known as Zafgen, Inc.) and its subsidiaries, references to “Zafgen” refer to the Company prior to the completion of the Merger, references to “Chondrial” refer to Chondrial Therapeutics, Inc., a privately held corporation prior to the completion of the Merger, and references to “Merger Subsidiary” refer to Zordich Merger Sub, Inc., the Company’s wholly owned subsidiary following the Merger.</w:t>
      </w:r>
    </w:p>
    <w:p>
      <w:pPr>
        <w:spacing w:after="0" w:line="157"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Investing in our securities involves a high degree of risk. You should carefully consider the risk factors set forth below and under “Risk Factors” in (i) our Annual Report on Form 10-K for the year ended December 31, 2019 and (ii) our Quarterly Report on Form 10-Q for the three months ended March 31, 2020, as updated by our subsequent filings under the Securities Exchange Act of 1934, as amended, before deciding whether to purchase our securities. The risks and uncertainties we describe below and in the documents mentioned above are not the only ones we face. Additional risks and uncertainties not presently known to us could adversely affect our business, operating results and financial condition, as well as adversely affect the value of an investment in our securities, and the occurrence of any of these risks might cause you to lose all or part of your investment.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anticipate that we will incur continued losses for the foreseeable future.</w:t>
      </w:r>
    </w:p>
    <w:p>
      <w:pPr>
        <w:spacing w:after="0" w:line="1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Since our inception we have devoted substantially all of our resources to the development of CTI-1601. We have incurred significant losses in each year of operation since our inception. For the year ended December 31, 2019, we had net losses of $23.1 million and as of December 31, 2019, had an accumulated deficit of $23.1 million and we expect to continue to incur significant expenses and net operating losses for the foreseeable future. Our financial statements for the years ended December 31, 2019 and December 31, 2018 include disclosures regarding management’s assessment of our ability to continue as a going concern and a report from our independent registered public accounting firm that includes an explanatory paragraph regarding going concern, describing conditions that raise substantial doubt about Chondrial Therapeutics, Inc’s ability to continue as a going concern due to our liquidity position and recurring losses from operations since inception and negative cash flows from operating activities.</w:t>
      </w:r>
    </w:p>
    <w:p>
      <w:pPr>
        <w:spacing w:after="0" w:line="16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nonclinical studies and our clinical development program as well as the development of manufacturing processes. We expect to incur significant losses for the foreseeable future to further develop and commercialize our lead drug candidate.</w:t>
      </w:r>
    </w:p>
    <w:p>
      <w:pPr>
        <w:sectPr>
          <w:pgSz w:w="11900" w:h="16838" w:orient="portrait"/>
          <w:cols w:equalWidth="0" w:num="1">
            <w:col w:w="11020"/>
          </w:cols>
          <w:pgMar w:left="440" w:top="121" w:right="4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expect that our expenses will increase substantially if and as we:</w:t>
      </w:r>
    </w:p>
    <w:p>
      <w:pPr>
        <w:spacing w:after="0" w:line="131"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clinical development efforts for CTI-1601;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various products for which we may obtain marketing approval, if any;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contract for the manufacture of larger quantities of product candidates for clinical development and potentially commercialization;</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regulatory, finance, and compliance personnel.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losses and negative cash flows have had, and will continue to have, an adverse effect on our stockholder’s (deficit) equity and working capital.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commercial revenue and may never become profitable.</w:t>
      </w:r>
    </w:p>
    <w:p>
      <w:pPr>
        <w:spacing w:after="0" w:line="11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To date, we have not generated any commercial revenue. Our ability to generate revenue and become profitable depends upon our ability to obtain regulatory approval for, and successfully commercialize, CTI-1601 or other product candidates that we may develop, in-license or acquire in the future.</w:t>
      </w:r>
    </w:p>
    <w:p>
      <w:pPr>
        <w:spacing w:after="0" w:line="12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will require success in a range of challenging activities, including completing clinical trials of CTI-1601 or any future product candidates, obtaining marketing approval for CTI-1601 and any future product candidates, manufacturing, marketing and selling those products for which we, or any future collaborators, may obtain marketing approval, satisfying any post-marketing requirements and obtaining reimbursement for our products from private insurance or government payors. Even if we are able to successfully achieve the above, we do not know what the reimbursement status of CTI-1601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92"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Our ability to generate revenue from CTI-1601 or any future product candidates also depends on a number of additional factors, including our ability to:</w:t>
      </w:r>
    </w:p>
    <w:p>
      <w:pPr>
        <w:spacing w:after="0" w:line="76" w:lineRule="exact"/>
        <w:rPr>
          <w:sz w:val="20"/>
          <w:szCs w:val="20"/>
          <w:color w:val="auto"/>
        </w:rPr>
      </w:pPr>
    </w:p>
    <w:p>
      <w:pPr>
        <w:ind w:left="960" w:right="54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remaining nonclinical studies and planned clinical trials for our product candidates;</w:t>
      </w:r>
    </w:p>
    <w:p>
      <w:pPr>
        <w:spacing w:after="0" w:line="75"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and Biologics License Applications, or BLAs, to the U.S. Food and Drug Administration, or FDA, and Marketing Authorisation Applications, or MAAs, to the European Medicines Agency, or EMA,, and obtain regulatory approval for indications for which there is a commercial market;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any approved products in commercial quantities and on commercially reasonable terms;</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we have retained commercialization rights;</w:t>
      </w:r>
    </w:p>
    <w:p>
      <w:pPr>
        <w:sectPr>
          <w:pgSz w:w="11900" w:h="16838" w:orient="portrait"/>
          <w:cols w:equalWidth="0" w:num="1">
            <w:col w:w="11000"/>
          </w:cols>
          <w:pgMar w:left="440" w:top="274" w:right="459" w:bottom="1440" w:gutter="0" w:footer="0" w:header="0"/>
        </w:sectPr>
      </w:pPr>
    </w:p>
    <w:bookmarkStart w:id="14" w:name="page15"/>
    <w:bookmarkEnd w:id="14"/>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achieve acceptance among patients, clinicians and advocacy groups for any products we develop;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we may receive approval.</w:t>
      </w:r>
    </w:p>
    <w:p>
      <w:pPr>
        <w:spacing w:after="0" w:line="225"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CTI-1601 or any of our future product candidates. Even if we achieve profitability in the future, we may not be able to sustain profitability in subsequent periods.</w:t>
      </w:r>
    </w:p>
    <w:p>
      <w:pPr>
        <w:spacing w:after="0" w:line="26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We expect to continue to spend substantial and increasing amounts to conduct clinical trials of CTI-1601 and further research and development activities for CTI-1601, and for any additional product candidates that we may develop, in-license or acquire in the future. In addition,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w:t>
      </w:r>
    </w:p>
    <w:p>
      <w:pPr>
        <w:spacing w:after="0" w:line="17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As of December 31, 2019, our existing cash and cash equivalents were $1.0 million. This amount, combined with the cash and cash equivalents of Zafgen that were acquired in the Merger, the additional $15.0 million of funding received through the Series B bridge convertible preferred units offering and the aggregate gross proceeds of approximately $80.0 million received in the private placement of shares of our common stock completed in May 2020, or the Private Placement, will not be sufficient to fund all of the efforts that we plan to undertake or to fund the completion of development of CTI-1601. Accordingly, we will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6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candidate. Our failure to raise capital as and when needed would have a negative impact on our business, financial condition and results of operations and our ability to pursue the development of CTI-1601 or future product candidates.</w:t>
      </w:r>
    </w:p>
    <w:p>
      <w:pPr>
        <w:sectPr>
          <w:pgSz w:w="11900" w:h="16838" w:orient="portrait"/>
          <w:cols w:equalWidth="0" w:num="1">
            <w:col w:w="10980"/>
          </w:cols>
          <w:pgMar w:left="440" w:top="274" w:right="479" w:bottom="1440" w:gutter="0" w:footer="0" w:header="0"/>
        </w:sectPr>
      </w:pPr>
    </w:p>
    <w:bookmarkStart w:id="15" w:name="page16"/>
    <w:bookmarkEnd w:id="15"/>
    <w:p>
      <w:pPr>
        <w:ind w:right="820"/>
        <w:spacing w:after="0" w:line="30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Raising additional capital may cause dilution to our existing stockholders, restrict our operations or require us to relinquish rights to our technologies, CTI-1601 or other product candidates that we may develop, in-license or acquire in the future.</w:t>
      </w:r>
    </w:p>
    <w:p>
      <w:pPr>
        <w:spacing w:after="0" w:line="3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strategic partnerships and alliances and licensing arrangements.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financings may be coupled with an equity component, such as warrants to purchase shares, which could also result in dilution of our existing stockholder’s ownership.</w:t>
      </w:r>
    </w:p>
    <w:p>
      <w:pPr>
        <w:spacing w:after="0" w:line="18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we raise additional funds through strategic partnerships and alliances and licensing arrangements with third parties, we may have to relinquish valuable rights to CTI-1601 or other product candidates that we may develop, in-license or acquire in the future, or grant licenses on terms that are not favorable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NOLs and certain other tax attributes may be limited.</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Under Section 382 of the Internal Revenue Code, or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completed several financings since our inception, which we believe have resulted in a change in control as defined by Section 382 of the Code.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The Tax Cuts and Jobs Act of 2017, or Tax Act, which significantly reformed the Code, also reduced the corporate income tax rate to 21%, from a prior rate of 35%. This may cause a reduction in the economic benefit of our NOLs and other deferred tax assets available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Development and Regulatory Approvals</w:t>
      </w:r>
    </w:p>
    <w:p>
      <w:pPr>
        <w:spacing w:after="0" w:line="121"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Our success is currently dependent upon the success of our sole product candidate, CTI-1601, which is currently in Phase 1 clinical trials. We cannot be certain that we will be successful with our clinical development or that we will be able to obtain regulatory approval for CTI-1601.</w:t>
      </w:r>
    </w:p>
    <w:p>
      <w:pPr>
        <w:spacing w:after="0" w:line="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We currently have no drug products for sale and our business is currently dependent on our successful clinical development, regulatory approval and commercialization of CTI-1601, which is in Phase 1 clinical trials.</w:t>
      </w:r>
    </w:p>
    <w:p>
      <w:pPr>
        <w:spacing w:after="0" w:line="170"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If our efforts to develop and commercialize CTI-1601 for the treatment of Friedreich’s Ataxia are unsuccessful, or we experience significant delays in doing so, our business could also be substantially harmed. The success of CTI-1601 will depend on several factors, including the following:</w:t>
      </w:r>
    </w:p>
    <w:p>
      <w:pPr>
        <w:spacing w:after="0" w:line="29" w:lineRule="exact"/>
        <w:rPr>
          <w:sz w:val="20"/>
          <w:szCs w:val="20"/>
          <w:color w:val="auto"/>
        </w:rPr>
      </w:pPr>
    </w:p>
    <w:p>
      <w:pPr>
        <w:ind w:left="1420" w:hanging="331"/>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our IND application with the FDA in order to continue to conduct clinical trials in the United States;</w:t>
      </w:r>
    </w:p>
    <w:p>
      <w:pPr>
        <w:spacing w:after="0" w:line="130" w:lineRule="exact"/>
        <w:rPr>
          <w:rFonts w:ascii="Arial" w:cs="Arial" w:eastAsia="Arial" w:hAnsi="Arial"/>
          <w:sz w:val="18"/>
          <w:szCs w:val="18"/>
          <w:color w:val="auto"/>
        </w:rPr>
      </w:pPr>
    </w:p>
    <w:p>
      <w:pPr>
        <w:ind w:left="1420" w:right="180" w:hanging="331"/>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Phase 1 clinical trials and any clinical trials we may conduct in the future;</w:t>
      </w:r>
    </w:p>
    <w:p>
      <w:pPr>
        <w:spacing w:after="0" w:line="75" w:lineRule="exact"/>
        <w:rPr>
          <w:rFonts w:ascii="Arial" w:cs="Arial" w:eastAsia="Arial" w:hAnsi="Arial"/>
          <w:sz w:val="18"/>
          <w:szCs w:val="18"/>
          <w:color w:val="auto"/>
        </w:rPr>
      </w:pPr>
    </w:p>
    <w:p>
      <w:pPr>
        <w:ind w:left="1420" w:right="460" w:hanging="331"/>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completing all necessary toxicology studies to support clinical development and regulatory approval for CTI-1601;</w:t>
      </w:r>
    </w:p>
    <w:p>
      <w:pPr>
        <w:sectPr>
          <w:pgSz w:w="11900" w:h="16838" w:orient="portrait"/>
          <w:cols w:equalWidth="0" w:num="1">
            <w:col w:w="10960"/>
          </w:cols>
          <w:pgMar w:left="440" w:top="274" w:right="499" w:bottom="1440" w:gutter="0" w:footer="0" w:header="0"/>
        </w:sectPr>
      </w:pPr>
    </w:p>
    <w:bookmarkStart w:id="16" w:name="page17"/>
    <w:bookmarkEnd w:id="16"/>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receiving timely marketing approvals from applicable regulatory authorities;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420" w:hanging="331"/>
        <w:spacing w:after="0" w:line="263"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arrangements with third-party manufacturers for CTI-1601, including developing, validating and maintaining a commercially viable manufacturing process that is compliant with current good manufacturing practices, referred to as cGMPs;</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maintaining and protecting our patents, trade secrets and regulatory exclusivity in the United States and other countries;</w:t>
      </w:r>
    </w:p>
    <w:p>
      <w:pPr>
        <w:spacing w:after="0" w:line="153" w:lineRule="exact"/>
        <w:rPr>
          <w:rFonts w:ascii="Arial" w:cs="Arial" w:eastAsia="Arial" w:hAnsi="Arial"/>
          <w:sz w:val="16"/>
          <w:szCs w:val="16"/>
          <w:color w:val="auto"/>
        </w:rPr>
      </w:pPr>
    </w:p>
    <w:p>
      <w:pPr>
        <w:ind w:left="1420" w:right="12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if applicable;</w:t>
      </w:r>
    </w:p>
    <w:p>
      <w:pPr>
        <w:spacing w:after="0" w:line="75" w:lineRule="exact"/>
        <w:rPr>
          <w:rFonts w:ascii="Arial" w:cs="Arial" w:eastAsia="Arial" w:hAnsi="Arial"/>
          <w:sz w:val="18"/>
          <w:szCs w:val="18"/>
          <w:color w:val="auto"/>
        </w:rPr>
      </w:pPr>
    </w:p>
    <w:p>
      <w:pPr>
        <w:ind w:left="1420" w:right="48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of any current or future third-party contractors.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we are authorized to sell and market CTI-1601 in one or more markets, there is no assurance that we will be able to successfully market CTI-1601 or that CTI-1601 will achieve market acceptance sufficient to generate profits. If we are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our business, financial condition, and results of operations as CTI-1601 is currently our sole product candidate.</w:t>
      </w:r>
    </w:p>
    <w:p>
      <w:pPr>
        <w:spacing w:after="0" w:line="27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3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18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The results from nonclinical studies, toxicology studies or clinical trials of a product candidate may not predict the results of later nonclinical or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w:t>
      </w:r>
    </w:p>
    <w:p>
      <w:pPr>
        <w:sectPr>
          <w:pgSz w:w="11900" w:h="16838" w:orient="portrait"/>
          <w:cols w:equalWidth="0" w:num="1">
            <w:col w:w="10980"/>
          </w:cols>
          <w:pgMar w:left="440" w:top="274" w:right="479" w:bottom="1440" w:gutter="0" w:footer="0" w:header="0"/>
        </w:sectPr>
      </w:pPr>
    </w:p>
    <w:bookmarkStart w:id="17" w:name="page18"/>
    <w:bookmarkEnd w:id="17"/>
    <w:p>
      <w:pPr>
        <w:ind w:right="10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Moreover, this and any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assure you that we will be able to successfully progress any future nonclinical programs from candidate identification to Phase 1 clinical development. As is typical in candidate development, we have a program of ongoing toxicology studies in animals for CTI-1601 and cannot provide assurance that the findings from such studies or any ongoing or future clinical trials will not adversely affect the clinical development of CTI-1601. For the foregoing reasons, we cannot be certain that our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and results of operations.</w:t>
      </w:r>
    </w:p>
    <w:p>
      <w:pPr>
        <w:spacing w:after="0" w:line="19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do not know whether any clinical trials for CTI-1601 will be completed on schedule, if at all, as the commencement and completion of clinical trials can be delayed, prevented or terminated for a number of reasons, including as a result of ambiguous or negative interim results. In addition, a clinical trial may be suspended or terminated by us, the FDA, other regulatory authorities, the institutional review boards, or IRBs</w:t>
      </w:r>
      <w:r>
        <w:rPr>
          <w:rFonts w:ascii="Arial" w:cs="Arial" w:eastAsia="Arial" w:hAnsi="Arial"/>
          <w:sz w:val="18"/>
          <w:szCs w:val="18"/>
          <w:b w:val="1"/>
          <w:bCs w:val="1"/>
          <w:color w:val="auto"/>
        </w:rPr>
        <w:t>,</w:t>
      </w:r>
      <w:r>
        <w:rPr>
          <w:rFonts w:ascii="Arial" w:cs="Arial" w:eastAsia="Arial" w:hAnsi="Arial"/>
          <w:sz w:val="18"/>
          <w:szCs w:val="18"/>
          <w:color w:val="auto"/>
        </w:rPr>
        <w:t xml:space="preserve"> or ethics committees, a data monitoring committee, or safety review committee, overseeing the clinical trial at issue or other regulatory authorities due to a number of factors, including, among others:</w:t>
      </w:r>
    </w:p>
    <w:p>
      <w:pPr>
        <w:spacing w:after="0" w:line="93" w:lineRule="exact"/>
        <w:rPr>
          <w:sz w:val="20"/>
          <w:szCs w:val="20"/>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jc w:val="both"/>
        <w:ind w:left="1420" w:right="220" w:hanging="331"/>
        <w:spacing w:after="0" w:line="263"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89" w:lineRule="exact"/>
        <w:rPr>
          <w:rFonts w:ascii="Arial" w:cs="Arial" w:eastAsia="Arial" w:hAnsi="Arial"/>
          <w:sz w:val="18"/>
          <w:szCs w:val="18"/>
          <w:color w:val="auto"/>
        </w:rPr>
      </w:pPr>
    </w:p>
    <w:p>
      <w:pPr>
        <w:ind w:left="1420" w:right="120" w:hanging="331"/>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prior or ongoing toxicology studies, adverse events or lack of effectiveness;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420" w:right="100" w:hanging="331"/>
        <w:spacing w:after="0" w:line="259"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92" w:lineRule="exact"/>
        <w:rPr>
          <w:rFonts w:ascii="Arial" w:cs="Arial" w:eastAsia="Arial" w:hAnsi="Arial"/>
          <w:sz w:val="18"/>
          <w:szCs w:val="18"/>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our ongoing or future clinical trials;</w:t>
      </w:r>
    </w:p>
    <w:p>
      <w:pPr>
        <w:spacing w:after="0" w:line="130" w:lineRule="exact"/>
        <w:rPr>
          <w:rFonts w:ascii="Arial" w:cs="Arial" w:eastAsia="Arial" w:hAnsi="Arial"/>
          <w:sz w:val="18"/>
          <w:szCs w:val="18"/>
          <w:color w:val="auto"/>
        </w:rPr>
      </w:pPr>
    </w:p>
    <w:p>
      <w:pPr>
        <w:ind w:left="1420" w:right="340" w:hanging="331"/>
        <w:spacing w:after="0" w:line="308"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51" w:lineRule="exact"/>
        <w:rPr>
          <w:rFonts w:ascii="Arial" w:cs="Arial" w:eastAsia="Arial" w:hAnsi="Arial"/>
          <w:sz w:val="17"/>
          <w:szCs w:val="17"/>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a clinical trial;</w:t>
      </w:r>
    </w:p>
    <w:p>
      <w:pPr>
        <w:spacing w:after="0" w:line="130"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 and</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ectPr>
          <w:pgSz w:w="11900" w:h="16838" w:orient="portrait"/>
          <w:cols w:equalWidth="0" w:num="1">
            <w:col w:w="10980"/>
          </w:cols>
          <w:pgMar w:left="440" w:top="274" w:right="47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Failures or delays in the completion of our clinical trials could result in increased costs and could delay, prevent or limit our ability to generate revenue and continue our business.</w:t>
      </w:r>
    </w:p>
    <w:p>
      <w:pPr>
        <w:spacing w:after="0" w:line="6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Our lead product candidate CTI-1601 is currently in Phase 1 clinical trials, and there are a number of FDA regulatory requirements that we must satisfy before we can commence late-stage clinical trials of CTI-1601. To receive approval of CTI-1601 in other countries we will also have to satisfy their regulatory requirements. Satisfaction of these requirements will entail substantial time, effort and financial resources. We may never satisfy these requirements. Clinical trials may also be delayed or terminated as result of ambiguous or negative interim results or events outside of our control. We are currently evaluating CTI-1601 in a SAD Phase 1 clinical trial in patients with Friedreich’s Ataxia. The first two cohorts of patients have completed the SAD clinical trial; however, due to the continued impact of COVID-19, we have delayed initiation of the next cohort in the SAD clinical trial. We are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our clinical trial site for dosing. Due to the uncertainty surrounding COVID-19, we cannot estimate when the next cohort of patients will begin the clinical trial. While top line results from the SAD and MAD clinical trials were originally expected by the end of 2020, the delay in the clinical trial timeline caused by the ongoing impact of COVID-19 has resulted in top line results being delayed until the first half of 2021. If Phase 1 clinical trials of CTI-1601 fail or further delays occur, we may not be able to develop and commercialize CTI-1601 and could fail to realize the potential advantages of doing so, and it could materially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discover or acquire additional product candidates.</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only have one product candidate CTI-1601, which is in Phase 1 clinical trials in the United States.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29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have no marketed proprietary products and have not yet advanced a product candidate beyond Phase 1 clinical trials, which makes it difficult to assess our ability to develop CTI-1601 or any future product candidates and commercialize any resulting products independently.</w:t>
      </w:r>
    </w:p>
    <w:p>
      <w:pPr>
        <w:spacing w:after="0" w:line="16"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We have no experience in Phase 2 and later stage clinical development, and related regulatory requirements or the commercialization of products. As a result, we have not yet demonstrated our ability to independently and repeatedly conduct clinical development after Phase 1, which has not yet been successfully completed, successfully conduct an international multi-center clinical trial, complete a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ectPr>
          <w:pgSz w:w="11900" w:h="16838" w:orient="portrait"/>
          <w:cols w:equalWidth="0" w:num="1">
            <w:col w:w="11000"/>
          </w:cols>
          <w:pgMar w:left="440" w:top="274" w:right="459" w:bottom="1440" w:gutter="0" w:footer="0" w:header="0"/>
        </w:sectPr>
      </w:pPr>
    </w:p>
    <w:bookmarkStart w:id="19" w:name="page20"/>
    <w:bookmarkEnd w:id="19"/>
    <w:p>
      <w:pPr>
        <w:ind w:left="1420" w:hanging="33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 our clinical development plans for later-stage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manage our spending as costs and expenses increase due to clinical trials, regulatory approvals and commercialization activities.</w:t>
      </w:r>
    </w:p>
    <w:p>
      <w:pPr>
        <w:spacing w:after="0" w:line="24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CTI-1601 or any other product candidates.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currently have only one product candidate in clinical development, CTI-1601, which is in Phase 1 clinical trials in the United States. Our business currently depends primarily on CTI-1601’s successful clinical development, regulatory approval and commercialization. We submitted our IND and our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w:t>
      </w:r>
    </w:p>
    <w:p>
      <w:pPr>
        <w:spacing w:after="0" w:line="18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trials.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CTI-1601 is the only protein replacement therapy being developed for the treatment of Friedreich’s Ataxia and therefore nonclinical studies may not be adequate to predict efficacy in a clinical trial due to our novel protein replacement therapy platform.</w:t>
      </w:r>
    </w:p>
    <w:p>
      <w:pPr>
        <w:spacing w:after="0" w:line="16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variability of the disease being studied, changes in and adherence to the dosing regimen and other clinical trial protocols and the rate of dropout among clinical trial participants. If we fail to receive positive results in clinical trials of CTI-1601, the development timeline and regulatory approval and commercialization prospects for CTI-1601, and, correspondingly, our business, financial prospects and results of operation would be negatively impacted.</w:t>
      </w:r>
    </w:p>
    <w:p>
      <w:pPr>
        <w:spacing w:after="0" w:line="192"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Further, CTI-1601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we may request or may grant approval contingent on the performance of costly post-marketing clinical trials. Any of the above could materially adversely affect our business, financial condition and results of operations.</w:t>
      </w:r>
    </w:p>
    <w:p>
      <w:pPr>
        <w:sectPr>
          <w:pgSz w:w="11900" w:h="16838" w:orient="portrait"/>
          <w:cols w:equalWidth="0" w:num="1">
            <w:col w:w="11000"/>
          </w:cols>
          <w:pgMar w:left="440" w:top="274" w:right="459" w:bottom="1440" w:gutter="0" w:footer="0" w:header="0"/>
        </w:sectPr>
      </w:pPr>
    </w:p>
    <w:bookmarkStart w:id="20" w:name="page21"/>
    <w:bookmarkEnd w:id="20"/>
    <w:p>
      <w:pPr>
        <w:ind w:right="32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Unforeseen safety issues or adverse events, including any that may be identified in our ongoing toxicology studies or clinical trials, may delay or prevent the development and regulatory approval of CTI-1601, damage public perception of the safety of CTI-1601 or increase government regulation of CTI-1601.</w:t>
      </w:r>
    </w:p>
    <w:p>
      <w:pPr>
        <w:spacing w:after="0" w:line="76"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We are collecting data about CTI-1601 from ongoing Phase 1 clinical trials and toxicology studies and unforeseen safety issues or adverse events caused by, or other unexpected properties of, CTI-1601 could be identified. Such safety issues or adverse events could cause us or regulatory authorities to interrupt, delay or halt clinical trials of CTI-1601 or could result in a more restrictive label or the delay or denial of regulatory approval by the FDA or other regulatory authorities for CTI-1601, which would materially adversely affect our business, financial condition and results of operations.</w:t>
      </w:r>
    </w:p>
    <w:p>
      <w:pPr>
        <w:spacing w:after="0" w:line="15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Even if we were to receive regulatory approval for CTI-1601 following such events, these events could damage public perception of the safety of CTI-1601 and prevent us from achieving or maintaining market acceptance of CTI-1601 and significantly impact our ability to successfully commercialize CTI-1601 and generate revenues, all of which would materially adversely affect our business, financial condition and results of operations.</w:t>
      </w:r>
    </w:p>
    <w:p>
      <w:pPr>
        <w:spacing w:after="0" w:line="2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experience difficulties identifying and enrolling patients in our clinical trials given the limited number of patients who have the diseases for which CTI-1601 is being studied or for any other product candidate we may study in the future. Difficulty in enrolling patients could delay or prevent clinical trials of CTI-1601 or any future product candidate.</w:t>
      </w:r>
    </w:p>
    <w:p>
      <w:pPr>
        <w:spacing w:after="0" w:line="76"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Identifying and qualifying patients to participate in clinical trials of CTI-1601 is critical to our success. The timing of our clinical trials depends in part on the speed at which we can recruit patients to participate in testing CTI-1601, and we may experience delays in our clinical trials if we encounter difficulties in enrollment.</w:t>
      </w:r>
    </w:p>
    <w:p>
      <w:pPr>
        <w:spacing w:after="0" w:line="18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conditions for which we are planning to evaluate CTI-1601, and any product candidates we may evaluate in the future, are rare genetic diseases. Accordingly, there are limited patient pools from which to draw for clinical trials. We are investigating our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our clinical trials. If the actual number of patients with Friedreich’s Ataxia is lower than we believe or if any approval that we obtain is based on a narrower definition of these patient populations, then the potential market for CTI-1601 will be smaller than we anticipate.</w:t>
      </w:r>
    </w:p>
    <w:p>
      <w:pPr>
        <w:spacing w:after="0" w:line="178"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In addition to the rarity of Friedreich’s Ataxia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our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for CTI-1601 or any future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CTI-1601, which could cause the value of our company to decline and limit our ability to obtain additional financing, if needed. Any of these occurrences may harm our business, financial condition, and prospects significantly.</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Friedreich’s Ataxia has no FDA-approved treatments, and clinical endpoints required to obtain approval are not well defined.</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There are currently no therapies approved to treat Friedreich’s Ataxia. We have concentrated our research and development efforts on developing a novel therapeutic for the treatment of Friedreich’s Ataxia,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we may have to devise novel clinical endpoints to be tested in our clinical trials, which can lead to some subjectivity in interpreting trial results and could result in regulatory agencies not agreeing with the validity of our endpoints, or our interpretation of the clinical data, and therefore denying approval, which would materially adversely affect our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is subject to unknown risks, and we may experience setbacks with our ongoing or planned clinical trials of CTI-1601 in Friedreich’s Ataxia because of the limited clinical experience with our mechanism of action in these patients.</w:t>
      </w:r>
    </w:p>
    <w:p>
      <w:pPr>
        <w:spacing w:after="0" w:line="16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In particular, regulatory authorities in the United States and the European Union, or the EU,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We may use new or novel endpoints or methodologies,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We are collecting data about CTI-1601 from ongoing Phase 1 clinical trials and toxicology studies and any adverse events or undesirable side effects caused by, or other unexpected properties of, CTI-1601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It is possible that as we progress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will be reported by patients. If such side effects become known later in development or after approval, such findings may harm our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our ability to develop or commercialize CTI-1601.</w:t>
      </w:r>
    </w:p>
    <w:p>
      <w:pPr>
        <w:spacing w:after="0" w:line="18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Further, if CTI-1601 were to receive marketing approval and we or others identify undesirable side effects caused by the product (or any other product) after the approval, a number of potentially significant negative consequences could result, including:</w:t>
      </w:r>
    </w:p>
    <w:p>
      <w:pPr>
        <w:spacing w:after="0" w:line="76" w:lineRule="exact"/>
        <w:rPr>
          <w:sz w:val="20"/>
          <w:szCs w:val="20"/>
          <w:color w:val="auto"/>
        </w:rPr>
      </w:pPr>
    </w:p>
    <w:p>
      <w:pPr>
        <w:ind w:left="1420" w:right="200" w:hanging="331"/>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ectPr>
          <w:pgSz w:w="11900" w:h="16838" w:orient="portrait"/>
          <w:cols w:equalWidth="0" w:num="1">
            <w:col w:w="11000"/>
          </w:cols>
          <w:pgMar w:left="440" w:top="274" w:right="459" w:bottom="1440" w:gutter="0" w:footer="0" w:header="0"/>
        </w:sectPr>
      </w:pPr>
    </w:p>
    <w:bookmarkStart w:id="22" w:name="page23"/>
    <w:bookmarkEnd w:id="22"/>
    <w:p>
      <w:pPr>
        <w:ind w:left="1420" w:right="500" w:hanging="331"/>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regulatory authorities may require the addition of labeling statements, such as a “black box” warning or a contraindication or a precaution;</w:t>
      </w:r>
    </w:p>
    <w:p>
      <w:pPr>
        <w:spacing w:after="0" w:line="75" w:lineRule="exact"/>
        <w:rPr>
          <w:rFonts w:ascii="Arial" w:cs="Arial" w:eastAsia="Arial" w:hAnsi="Arial"/>
          <w:sz w:val="18"/>
          <w:szCs w:val="18"/>
          <w:color w:val="auto"/>
        </w:rPr>
      </w:pPr>
    </w:p>
    <w:p>
      <w:pPr>
        <w:ind w:left="1420" w:right="400" w:hanging="331"/>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discover and develop fusion proteins for delivering proteins is novel and may never lead to marketable products.</w:t>
      </w:r>
    </w:p>
    <w:p>
      <w:pPr>
        <w:spacing w:after="0" w:line="12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our lead product candidate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295"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1"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 We contract with third parties for the manufacturing of program materials for CTI-1601.</w:t>
      </w:r>
    </w:p>
    <w:p>
      <w:pPr>
        <w:spacing w:after="0" w:line="164"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would result in a significant delay, would require FDA approval, and cause material additional costs.</w:t>
      </w:r>
    </w:p>
    <w:p>
      <w:pPr>
        <w:sectPr>
          <w:pgSz w:w="11900" w:h="16838" w:orient="portrait"/>
          <w:cols w:equalWidth="0" w:num="1">
            <w:col w:w="11020"/>
          </w:cols>
          <w:pgMar w:left="440" w:top="274" w:right="439" w:bottom="1440" w:gutter="0" w:footer="0" w:header="0"/>
        </w:sectPr>
      </w:pPr>
    </w:p>
    <w:bookmarkStart w:id="23" w:name="page24"/>
    <w:bookmarkEnd w:id="23"/>
    <w:p>
      <w:pPr>
        <w:ind w:right="10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16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Our dependence upon others for the manufacture of our product candidates may also adversely affect our business, results of operations, financial condition and results of operations, and our ability to commercialize any product candidates that receive regulatory approval on a timely and competitive basis.</w:t>
      </w:r>
    </w:p>
    <w:p>
      <w:pPr>
        <w:spacing w:after="0" w:line="2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Fast track designation by the FDA or any future designations may not lead to a faster development, regulatory review or approval process and it does not increase the likelihood that any of our product candidates will receive marketing approval</w:t>
      </w:r>
      <w:r>
        <w:rPr>
          <w:rFonts w:ascii="Arial" w:cs="Arial" w:eastAsia="Arial" w:hAnsi="Arial"/>
          <w:sz w:val="18"/>
          <w:szCs w:val="18"/>
          <w:b w:val="1"/>
          <w:bCs w:val="1"/>
          <w:color w:val="auto"/>
        </w:rPr>
        <w:t>.</w:t>
      </w:r>
    </w:p>
    <w:p>
      <w:pPr>
        <w:spacing w:after="0" w:line="62"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We have received fast track therapy designation for CTI-1601 for the treatment of Friedreich’s Ataxia. We may, in the future, apply for other accelerated programs from the FDA (such as breakthrough therapy or accelerated approval) for CTI-1601 or future product candidates. Designation for these programs is within the discretion of the FDA. Accordingly, even if we believe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been designated as fast track, the FDA may later decide that it no longer meets the criteria for designation and revoke it. If we apply for designation to additional accelerated programs from the FDA for CTI-1601 or future product candidates, the FDA might not grant the designation. If we apply for any similar programs in foreign countries for CTI-1601 or future product candidates, those designations also might not be granted by the regulatory authorities of those countries. Any of the above could adversely affect our business, financial condition and results of operations.</w:t>
      </w: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orphan drug designation or other regulatory exclusivity for CTI-1601 or obtain such exclusivity for any of our other product candidates in the future, our competitive position would be harmed</w:t>
      </w:r>
    </w:p>
    <w:p>
      <w:pPr>
        <w:spacing w:after="0" w:line="6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7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Loss of orphan drug designation for CTI-1601 or the failure to obtain such designation in other countries or for any future product candidates could adversely affect our business, financial condition and results of operation.</w:t>
      </w:r>
    </w:p>
    <w:p>
      <w:pPr>
        <w:sectPr>
          <w:pgSz w:w="11900" w:h="16838" w:orient="portrait"/>
          <w:cols w:equalWidth="0" w:num="1">
            <w:col w:w="11000"/>
          </w:cols>
          <w:pgMar w:left="440" w:top="274" w:right="459" w:bottom="1440" w:gutter="0" w:footer="0" w:header="0"/>
        </w:sectPr>
      </w:pPr>
    </w:p>
    <w:bookmarkStart w:id="24" w:name="page25"/>
    <w:bookmarkEnd w:id="24"/>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Although we have obtained rare pediatric disease designation for CTI-1601, we may not be eligible to receive a priority review voucher in the event the FDA determines we no longer meet the criteria for designation, revokes the designation or that FDA approval does not occur prior to October 1, 2022.</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We received rare pediatric disease designation from the FDA for CTI-1601 in 2019. We may, in the future, apply for rare pediatric disease designation from the FDA for future product candidates that may qualify for designation. Vouchers for rare pediatric disease drugs are awarded when the designated drug receives approval. CTI-1601 may not receive approval and therefore, we may not receive a voucher. In addition, even though CTI-1601 has been designated as a drug for a rare pediatric disease, the FDA may later decide that it no longer meets the criteria for designation, revoke the designation or not award the voucher. If we apply for designation for future product candidates as drugs for rare pediatric diseases, the FDA may not grant the designation. In addition, the current law authorizing the rare pediatric disease program contains sunset provisions such that the FDA cannot award a voucher after September 30, 2020 unless the designation is granted by September 30, 2020 and the application is approved by September 30, 2022. Therefore, if we do not receive approval for CTI-1601 by September 30, 2022, or the legislation is not extended, we would not be able to receive a voucher. Furthermore, if the legislation is not extended, we would not be able to request designation for future product candidates or be eligible to receive vouchers for future product candidates. The failure to maintain rare pediatric disease designation for CTI-1601 or if FDA approval does not occur prior to October 1, 2022 could result in the inability to receive a priority review voucher which could adversely affect our business, financial condition and results of operations.</w:t>
      </w:r>
    </w:p>
    <w:p>
      <w:pPr>
        <w:spacing w:after="0" w:line="2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guidance from other regulatory authorities or unanticipated events during our clinical trials of CTI-1601 may result in changes to clinical trial protocols or additional clinical trial requirements, which could result in increased costs to us and could delay our development timeline.</w:t>
      </w:r>
    </w:p>
    <w:p>
      <w:pPr>
        <w:spacing w:after="0" w:line="7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Changes in regulatory requirements, FDA guidance or guidance from EMA or unanticipated events during our clinical trials may force us to terminate or adjust our clinical program. The FDA, or the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CTI-1601 or any other potential product candidates may be harmed and our ability to generate product revenue will be delayed, and it would materially adversely affect our business, financial condition and results of operations.</w:t>
      </w:r>
    </w:p>
    <w:p>
      <w:pPr>
        <w:spacing w:after="0" w:line="2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ours programs.</w:t>
      </w:r>
    </w:p>
    <w:p>
      <w:pPr>
        <w:spacing w:after="0" w:line="76"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Delays, failure or unexpected costs in obtaining, the regulatory approval necessary to bring our product candidates to market could have a material adverse effect on our business, results of operations, financial condition and prospects.</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ectPr>
          <w:pgSz w:w="11900" w:h="16838" w:orient="portrait"/>
          <w:cols w:equalWidth="0" w:num="1">
            <w:col w:w="11000"/>
          </w:cols>
          <w:pgMar w:left="440" w:top="274" w:right="459" w:bottom="1440" w:gutter="0" w:footer="0" w:header="0"/>
        </w:sectPr>
      </w:pPr>
    </w:p>
    <w:bookmarkStart w:id="25" w:name="page26"/>
    <w:bookmarkEnd w:id="25"/>
    <w:p>
      <w:pPr>
        <w:ind w:right="200"/>
        <w:spacing w:after="0" w:line="31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we intend to seek regulatory approval of, and market, any product candidate.</w:t>
      </w:r>
    </w:p>
    <w:p>
      <w:pPr>
        <w:spacing w:after="0" w:line="4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 and Mitigation Strategies, or REMS, which will require the expenditure of substantial resources beyond the proceeds we currently have on hand.</w:t>
      </w:r>
    </w:p>
    <w:p>
      <w:pPr>
        <w:spacing w:after="0" w:line="17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Furthermore, we are not permitted to market CTI-1601 in the United States or the EU until we receive approval of a BLA from the FDA or a MAA from the EMA, or in any other foreign countries until we receive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CTI-1601 is currently in Phase 1 clinical trials in the United States and will require substantial further clinical development before we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testing or approval of CTI-1601 for many reasons, including, among others:</w:t>
      </w:r>
    </w:p>
    <w:p>
      <w:pPr>
        <w:spacing w:after="0" w:line="76" w:lineRule="exact"/>
        <w:rPr>
          <w:sz w:val="20"/>
          <w:szCs w:val="20"/>
          <w:color w:val="auto"/>
        </w:rPr>
      </w:pPr>
    </w:p>
    <w:p>
      <w:pPr>
        <w:ind w:left="1420" w:hanging="33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demonstrate that CTI-1601 is safe and effective to the satisfaction of the FDA or the EMA;</w:t>
      </w:r>
    </w:p>
    <w:p>
      <w:pPr>
        <w:spacing w:after="0" w:line="130" w:lineRule="exact"/>
        <w:rPr>
          <w:rFonts w:ascii="Arial" w:cs="Arial" w:eastAsia="Arial" w:hAnsi="Arial"/>
          <w:sz w:val="18"/>
          <w:szCs w:val="18"/>
          <w:color w:val="auto"/>
        </w:rPr>
      </w:pPr>
    </w:p>
    <w:p>
      <w:pPr>
        <w:ind w:left="1420" w:right="400" w:hanging="331"/>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the EMA for marketing approval;</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the EMA may disagree with the number, design, size, duration, conduct or implementation of our clinical trials;</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the EMA may require that we conduct additional nonclinical studies or clinical trials;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130"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1420" w:right="540" w:hanging="331"/>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ectPr>
          <w:pgSz w:w="11900" w:h="16838" w:orient="portrait"/>
          <w:cols w:equalWidth="0" w:num="1">
            <w:col w:w="11000"/>
          </w:cols>
          <w:pgMar w:left="440" w:top="274" w:right="459" w:bottom="1440" w:gutter="0" w:footer="0" w:header="0"/>
        </w:sectPr>
      </w:pPr>
    </w:p>
    <w:bookmarkStart w:id="26" w:name="page27"/>
    <w:bookmarkEnd w:id="26"/>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FDA or the EMA may disagree with our interpretation of data from our nonclinical studies or clinical trials;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our clinical trial sites;</w:t>
      </w:r>
    </w:p>
    <w:p>
      <w:pPr>
        <w:spacing w:after="0" w:line="130" w:lineRule="exact"/>
        <w:rPr>
          <w:rFonts w:ascii="Arial" w:cs="Arial" w:eastAsia="Arial" w:hAnsi="Arial"/>
          <w:sz w:val="18"/>
          <w:szCs w:val="18"/>
          <w:color w:val="auto"/>
        </w:rPr>
      </w:pPr>
    </w:p>
    <w:p>
      <w:pPr>
        <w:ind w:left="1420" w:right="160" w:hanging="331"/>
        <w:spacing w:after="0" w:line="286"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70" w:lineRule="exact"/>
        <w:rPr>
          <w:rFonts w:ascii="Arial" w:cs="Arial" w:eastAsia="Arial" w:hAnsi="Arial"/>
          <w:sz w:val="17"/>
          <w:szCs w:val="17"/>
          <w:color w:val="auto"/>
        </w:rPr>
      </w:pPr>
    </w:p>
    <w:p>
      <w:pPr>
        <w:ind w:left="1420" w:right="340" w:hanging="331"/>
        <w:spacing w:after="0" w:line="342" w:lineRule="auto"/>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could require development of a REMS as a condition of approval or post-approval, or may not agree with our proposed REMS, or may impose additional requirements that limit the promotion, advertising, distribution, or sales of CTI-1601;</w:t>
      </w:r>
    </w:p>
    <w:p>
      <w:pPr>
        <w:spacing w:after="0" w:line="29" w:lineRule="exact"/>
        <w:rPr>
          <w:rFonts w:ascii="Arial" w:cs="Arial" w:eastAsia="Arial" w:hAnsi="Arial"/>
          <w:sz w:val="16"/>
          <w:szCs w:val="16"/>
          <w:color w:val="auto"/>
        </w:rPr>
      </w:pPr>
    </w:p>
    <w:p>
      <w:pPr>
        <w:ind w:left="1420" w:right="1040" w:hanging="331"/>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the EMA may change their approval policies or adopt new regulations.</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Any of these factors, many of which are beyond our control, could jeopardize our ability to obtain and/or maintain regulatory approval for and successfully market CTI-1601.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assure that CTI-1601, or any other of our potential product candidates will be successfully developed or commercialized.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Healthcare providers, physicians and others will play a primary role in the recommendation and prescription of CTI-1601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CTI-1601 or potential product candidates, if we obtain marketing approval. In addition, we may be subject to patient privacy regulation by both the federal government and the states or other countries in which we conduct our business. Restrictions under applicable federal and state healthcare laws and regulations include the following:</w:t>
      </w:r>
    </w:p>
    <w:p>
      <w:pPr>
        <w:spacing w:after="0" w:line="98" w:lineRule="exact"/>
        <w:rPr>
          <w:sz w:val="20"/>
          <w:szCs w:val="20"/>
          <w:color w:val="auto"/>
        </w:rPr>
      </w:pPr>
    </w:p>
    <w:p>
      <w:pPr>
        <w:ind w:left="1420" w:hanging="331"/>
        <w:spacing w:after="0" w:line="259"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420" w:right="160" w:hanging="331"/>
        <w:spacing w:after="0" w:line="259"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ectPr>
          <w:pgSz w:w="11900" w:h="16838" w:orient="portrait"/>
          <w:cols w:equalWidth="0" w:num="1">
            <w:col w:w="11000"/>
          </w:cols>
          <w:pgMar w:left="440" w:top="274" w:right="459" w:bottom="1440" w:gutter="0" w:footer="0" w:header="0"/>
        </w:sectPr>
      </w:pPr>
    </w:p>
    <w:bookmarkStart w:id="27" w:name="page28"/>
    <w:bookmarkEnd w:id="27"/>
    <w:p>
      <w:pPr>
        <w:ind w:left="1420" w:right="120" w:hanging="331"/>
        <w:spacing w:after="0" w:line="259"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federal Health Insurance Portability and Accountability Act of 1996, as amended by the Health Information Technology for Economic and Clinical Health Act, or HIPAA,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420" w:right="100" w:hanging="331"/>
        <w:spacing w:after="0" w:line="308" w:lineRule="auto"/>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420" w:right="100" w:hanging="331"/>
        <w:spacing w:after="0" w:line="279" w:lineRule="auto"/>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as amended by the Health Care and Education Affordability Reconciliation Act, or ACA,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6" w:lineRule="exact"/>
        <w:rPr>
          <w:rFonts w:ascii="Arial" w:cs="Arial" w:eastAsia="Arial" w:hAnsi="Arial"/>
          <w:sz w:val="17"/>
          <w:szCs w:val="17"/>
          <w:color w:val="auto"/>
        </w:rPr>
      </w:pPr>
    </w:p>
    <w:p>
      <w:pPr>
        <w:ind w:left="1420" w:right="380" w:hanging="331"/>
        <w:spacing w:after="0" w:line="259"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92" w:lineRule="exact"/>
        <w:rPr>
          <w:rFonts w:ascii="Arial" w:cs="Arial" w:eastAsia="Arial" w:hAnsi="Arial"/>
          <w:sz w:val="18"/>
          <w:szCs w:val="18"/>
          <w:color w:val="auto"/>
        </w:rPr>
      </w:pPr>
    </w:p>
    <w:p>
      <w:pPr>
        <w:ind w:left="1420" w:right="20" w:hanging="331"/>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1420" w:right="100" w:hanging="331"/>
        <w:spacing w:after="0" w:line="255"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9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product candidates and affect the prices we may obtain.</w:t>
      </w:r>
    </w:p>
    <w:p>
      <w:pPr>
        <w:spacing w:after="0" w:line="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w:t>
      </w:r>
    </w:p>
    <w:p>
      <w:pPr>
        <w:sectPr>
          <w:pgSz w:w="11900" w:h="16838" w:orient="portrait"/>
          <w:cols w:equalWidth="0" w:num="1">
            <w:col w:w="11000"/>
          </w:cols>
          <w:pgMar w:left="440" w:top="274" w:right="459" w:bottom="1440" w:gutter="0" w:footer="0" w:header="0"/>
        </w:sectPr>
      </w:pPr>
    </w:p>
    <w:bookmarkStart w:id="28" w:name="page29"/>
    <w:bookmarkEnd w:id="28"/>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example,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Tax Act includes a provision that repealed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18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addition, on January 31, 2020, the United Kingdom exited from the European Union, or Brexit.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w:t>
      </w:r>
    </w:p>
    <w:p>
      <w:pPr>
        <w:spacing w:after="0" w:line="18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CTI-1601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CTI-1601 or future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6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ectPr>
          <w:pgSz w:w="11900" w:h="16838" w:orient="portrait"/>
          <w:cols w:equalWidth="0" w:num="1">
            <w:col w:w="11000"/>
          </w:cols>
          <w:pgMar w:left="440" w:top="274" w:right="459" w:bottom="1440" w:gutter="0" w:footer="0" w:header="0"/>
        </w:sectPr>
      </w:pPr>
    </w:p>
    <w:bookmarkStart w:id="29" w:name="page30"/>
    <w:bookmarkEnd w:id="29"/>
    <w:p>
      <w:pPr>
        <w:jc w:val="center"/>
        <w:ind w:right="2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 if we obtain regulatory and marketing approval for a product candidate, our product candidates will remain subject to regulatory oversight.</w:t>
      </w:r>
    </w:p>
    <w:p>
      <w:pPr>
        <w:spacing w:after="0" w:line="152" w:lineRule="exact"/>
        <w:rPr>
          <w:sz w:val="20"/>
          <w:szCs w:val="20"/>
          <w:color w:val="auto"/>
        </w:rPr>
      </w:pPr>
    </w:p>
    <w:p>
      <w:pPr>
        <w:ind w:right="140" w:firstLine="440"/>
        <w:spacing w:after="0" w:line="268" w:lineRule="auto"/>
        <w:rPr>
          <w:sz w:val="20"/>
          <w:szCs w:val="20"/>
          <w:color w:val="auto"/>
        </w:rPr>
      </w:pPr>
      <w:r>
        <w:rPr>
          <w:rFonts w:ascii="Arial" w:cs="Arial" w:eastAsia="Arial" w:hAnsi="Arial"/>
          <w:sz w:val="17"/>
          <w:szCs w:val="17"/>
          <w:color w:val="auto"/>
        </w:rPr>
        <w:t>Even if we receive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we receive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we or our contractors fail to comply with applicable regulatory requirements following approval of CTI-1601, a regulatory authority may:</w:t>
      </w:r>
    </w:p>
    <w:p>
      <w:pPr>
        <w:spacing w:after="0" w:line="131" w:lineRule="exact"/>
        <w:rPr>
          <w:sz w:val="20"/>
          <w:szCs w:val="20"/>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ectPr>
          <w:pgSz w:w="11900" w:h="16838" w:orient="portrait"/>
          <w:cols w:equalWidth="0" w:num="1">
            <w:col w:w="11000"/>
          </w:cols>
          <w:pgMar w:left="440" w:top="274" w:right="459" w:bottom="1440" w:gutter="0" w:footer="0" w:header="0"/>
        </w:sectPr>
      </w:pPr>
    </w:p>
    <w:bookmarkStart w:id="30" w:name="page31"/>
    <w:bookmarkEnd w:id="30"/>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government investigation of alleged violations of law could require us to expend significant time and resources in response and could generate negative publicity. The occurrence of any event or penalty described above may inhibit our ability to commercialize CTI-1601 and adversely affect our business, financial condition, results of operations and prospects.</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CTI-1601.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CTI-1601 in the United States, we may never receive regulatory approval to market CTI-1601 outside of the United States.</w:t>
      </w:r>
    </w:p>
    <w:p>
      <w:pPr>
        <w:spacing w:after="0" w:line="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We may pursue marketing approval for CTI-1601 in the United States, the European Union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Our future profitability will depend, in part, on our ability to commercialize CTI-1601 and future product candidates in foreign markets for which we may rely on collaborations with third parties. If we commercialize a product candidate in foreign markets, we would be subject to additional risks and uncertainties, including:</w:t>
      </w:r>
    </w:p>
    <w:p>
      <w:pPr>
        <w:spacing w:after="0" w:line="89" w:lineRule="exact"/>
        <w:rPr>
          <w:sz w:val="20"/>
          <w:szCs w:val="20"/>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of 1977, or FCPA;</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ectPr>
          <w:pgSz w:w="11900" w:h="16838" w:orient="portrait"/>
          <w:cols w:equalWidth="0" w:num="1">
            <w:col w:w="10960"/>
          </w:cols>
          <w:pgMar w:left="440" w:top="274" w:right="499" w:bottom="1440" w:gutter="0" w:footer="0" w:header="0"/>
        </w:sectPr>
      </w:pPr>
    </w:p>
    <w:bookmarkStart w:id="31" w:name="page32"/>
    <w:bookmarkEnd w:id="31"/>
    <w:p>
      <w:pPr>
        <w:ind w:left="1420" w:hanging="331"/>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longer lead times for shipping;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CTI-1601, we may not be able to generate any revenue.</w:t>
      </w:r>
    </w:p>
    <w:p>
      <w:pPr>
        <w:spacing w:after="0" w:line="6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CTI-1601, we may not achieve broad market acceptance, which would limit the revenue that we generate from our sales.</w:t>
      </w:r>
    </w:p>
    <w:p>
      <w:pPr>
        <w:spacing w:after="0" w:line="62"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The commercial success of CTI-1601, if developed and approved for marketing by the FDA or EMA or other applicable regulatory authorities, will depend upon the awareness and acceptance of CTI-1601 among the medical community, including physicians, patients, advocacy groups and healthcare payors. Market acceptance of CTI-1601, if approved, will depend on a number of factors, including, among others:</w:t>
      </w:r>
    </w:p>
    <w:p>
      <w:pPr>
        <w:spacing w:after="0" w:line="54" w:lineRule="exact"/>
        <w:rPr>
          <w:sz w:val="20"/>
          <w:szCs w:val="20"/>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w:t>
      </w:r>
    </w:p>
    <w:p>
      <w:pPr>
        <w:sectPr>
          <w:pgSz w:w="11900" w:h="16838" w:orient="portrait"/>
          <w:cols w:equalWidth="0" w:num="1">
            <w:col w:w="11000"/>
          </w:cols>
          <w:pgMar w:left="440" w:top="274" w:right="459" w:bottom="1440" w:gutter="0" w:footer="0" w:header="0"/>
        </w:sectPr>
      </w:pPr>
    </w:p>
    <w:bookmarkStart w:id="32" w:name="page33"/>
    <w:bookmarkEnd w:id="32"/>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payor acceptance;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of any future changes in U.S. healthcare, including medical financial assistance or a transition to a single-payer system;</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increase awareness of CTI-1601 through marketing efforts;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jc w:val="both"/>
        <w:ind w:left="1420" w:hanging="331"/>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8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we may not generate sufficient revenue from CTI-1601 to become or remain profitable and our business, financial condition and results of operations could be materially adversely affected. Our efforts to educate the medical community and third-party payors about the benefits of CTI-1601 may require significant resources and may never be successful.</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CTI-1601 or any potential product candidates, if approved. If we receive marketing approval for CTI-1601,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CTI-1601 or any potential product candidates, if approved, we could become subject to significant liability, which would materially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technologies could emerge, adversely affecting our opportunity to generate revenue from the sale of CTI-1601.</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us to lower prices or could result in reduced sales. In addition, new products developed by others could emerge as competitors to CTI-1601 or any other potential product candidates. If we are not able to compete effectively against our current and future competitors, our business will not grow and our financial condition and results of operations will be adversely affected.</w:t>
      </w:r>
    </w:p>
    <w:p>
      <w:pPr>
        <w:sectPr>
          <w:pgSz w:w="11900" w:h="16838" w:orient="portrait"/>
          <w:cols w:equalWidth="0" w:num="1">
            <w:col w:w="10980"/>
          </w:cols>
          <w:pgMar w:left="440" w:top="274"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may face competition from biosimilars and may face increasing competition over time.</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lower-cost biosimilars or generics that come to market when branded products that compete with our products lose their own patent protection.</w:t>
      </w:r>
    </w:p>
    <w:p>
      <w:pPr>
        <w:spacing w:after="0" w:line="192"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In the EU,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the United States, in 2010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This additional competition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6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We rely on consultants and advisors, including scientific, nonclinical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competition for talent, particularly with the limited number of individuals in our industry with the breadth of skills and experience required to successfully develop, gain regulatory approval of and commercialize products.</w:t>
      </w:r>
    </w:p>
    <w:p>
      <w:pPr>
        <w:spacing w:after="0" w:line="168" w:lineRule="exact"/>
        <w:rPr>
          <w:sz w:val="20"/>
          <w:szCs w:val="20"/>
          <w:color w:val="auto"/>
        </w:rPr>
      </w:pPr>
    </w:p>
    <w:p>
      <w:pPr>
        <w:jc w:val="both"/>
        <w:ind w:right="380" w:firstLine="440"/>
        <w:spacing w:after="0" w:line="279" w:lineRule="auto"/>
        <w:rPr>
          <w:sz w:val="20"/>
          <w:szCs w:val="20"/>
          <w:color w:val="auto"/>
        </w:rPr>
      </w:pPr>
      <w:r>
        <w:rPr>
          <w:rFonts w:ascii="Arial" w:cs="Arial" w:eastAsia="Arial" w:hAnsi="Arial"/>
          <w:sz w:val="17"/>
          <w:szCs w:val="17"/>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w:t>
      </w:r>
    </w:p>
    <w:p>
      <w:pPr>
        <w:sectPr>
          <w:pgSz w:w="11900" w:h="16838" w:orient="portrait"/>
          <w:cols w:equalWidth="0" w:num="1">
            <w:col w:w="11000"/>
          </w:cols>
          <w:pgMar w:left="440" w:top="274" w:right="459" w:bottom="1440" w:gutter="0" w:footer="0" w:header="0"/>
        </w:sectPr>
      </w:pPr>
    </w:p>
    <w:bookmarkStart w:id="34" w:name="page35"/>
    <w:bookmarkEnd w:id="3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192"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Further, if we fail to expand and enhance our operational, financial and management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273"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We have previously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23"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We have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material weaknesses we identified were as follows:</w:t>
      </w:r>
    </w:p>
    <w:p>
      <w:pPr>
        <w:spacing w:after="0" w:line="131" w:lineRule="exact"/>
        <w:rPr>
          <w:sz w:val="20"/>
          <w:szCs w:val="20"/>
          <w:color w:val="auto"/>
        </w:rPr>
      </w:pPr>
    </w:p>
    <w:p>
      <w:pPr>
        <w:ind w:left="1420" w:right="60" w:hanging="331"/>
        <w:spacing w:after="0" w:line="273"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commensurate with our financial reporting requirements. We lacked a sufficient number of professionals with an appropriate level of accounting and controls knowledge, training and experience to appropriately analyze, record and disclose accounting matters timely, completely and accurately. Additionally, the limited personnel resulted in our inability to consistently establish appropriate authorities and responsibilities in pursuit of our financial reporting objectives, as demonstrated by, amongst other things, our insufficient segregation of duties in our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420" w:right="20" w:hanging="331"/>
        <w:spacing w:after="0" w:line="255"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our consolidated financial statements as of and for the years ended December 31, 2019 and 2018.</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Each of these control deficiencies could result in a misstatement of our accounts or disclosures that would result in a material misstatement of our consolidated financial statements that would not be prevented or detected, and accordingly, we determined these control deficiencies constitute material weaknesses.</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this material weakness, including hiring additional finance and accounting personnel and initiating design and implementation of our financial control environment, including the establishment of formal accounting policies and procedures and period-end financial reporting controls.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w:t>
      </w:r>
    </w:p>
    <w:p>
      <w:pPr>
        <w:sectPr>
          <w:pgSz w:w="11900" w:h="16838" w:orient="portrait"/>
          <w:cols w:equalWidth="0" w:num="1">
            <w:col w:w="10980"/>
          </w:cols>
          <w:pgMar w:left="440" w:top="274" w:right="47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 nor our independent registered public accounting firm has performed an evaluation of our internal control over financial reporting in accordance with the provisions of the Sarbanes-Oxley Act of 2002, or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and investors may lose confidence in our financial reporting.</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any contractors or consultants, may fail or suffer security breaches, which could result in a material disruption of ours product development programs.</w:t>
      </w:r>
    </w:p>
    <w:p>
      <w:pPr>
        <w:spacing w:after="0" w:line="62"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Any system failure, accident or security breach that causes interruptions in our operations could result in a material disruption of our product development programs and business operations, in addition to possibly requiring substantial expenditures of resources to remedy. For example, the loss of clinical trial data from completed clinical trials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liabilities and the further development of our product candidates may be delayed. In addition, we may not have adequate insurance coverage to provide compensation for any losses associated with such events.</w:t>
      </w:r>
    </w:p>
    <w:p>
      <w:pPr>
        <w:spacing w:after="0" w:line="16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including personal information of our employees. In addition, outside parties may attempt to penetrate our systems or those of our vendors or fraudulently induce our employees or employees of our vendors to disclose sensitive information in order to gain access to our data. Like other companies, we may experience threats to our data and systems, including malicious codes and viruses, and other cyber-attacks. The number and complexity of these threats continue to increase over time. If a material breach of our security or that of our vendors occurs, the market perception of the effectiveness of our security measures could be harmed, we could lose business and our reputation and credibility could be damaged, all of which would materially adversely affect our business, financial condition and results of operations. We could be required to expend significant amounts of money and other resources to repair or replace information systems or networks. Although we develop and maintain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2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62" w:lineRule="exact"/>
        <w:rPr>
          <w:sz w:val="20"/>
          <w:szCs w:val="20"/>
          <w:color w:val="auto"/>
        </w:rPr>
      </w:pPr>
    </w:p>
    <w:p>
      <w:pPr>
        <w:ind w:right="500" w:firstLine="440"/>
        <w:spacing w:after="0" w:line="311"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believes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ectPr>
          <w:pgSz w:w="11900" w:h="16838" w:orient="portrait"/>
          <w:cols w:equalWidth="0" w:num="1">
            <w:col w:w="11000"/>
          </w:cols>
          <w:pgMar w:left="440" w:top="274" w:right="459" w:bottom="1440" w:gutter="0" w:footer="0" w:header="0"/>
        </w:sectPr>
      </w:pPr>
    </w:p>
    <w:bookmarkStart w:id="36" w:name="page37"/>
    <w:bookmarkEnd w:id="36"/>
    <w:p>
      <w:pPr>
        <w:ind w:right="5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Our development programs and the potential commercialization of our product candidates will require substantial additional cash to fund expenses. For CTI-1601, and any future product candidates, we may decide to collaborate with pharmaceutical and biotechnology companies for the development and potential commercialization of those product candidates in some or all markets.</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for CTI-1601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66"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18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and other outbreaks of communicable diseases, which could significantly disrupt our operations and may materially and adversely affect our business and financial conditions.</w:t>
      </w:r>
    </w:p>
    <w:p>
      <w:pPr>
        <w:sectPr>
          <w:pgSz w:w="11900" w:h="16838" w:orient="portrait"/>
          <w:cols w:equalWidth="0" w:num="1">
            <w:col w:w="10980"/>
          </w:cols>
          <w:pgMar w:left="440" w:top="274" w:right="479" w:bottom="1440" w:gutter="0" w:footer="0" w:header="0"/>
        </w:sectPr>
      </w:pPr>
    </w:p>
    <w:bookmarkStart w:id="37" w:name="page38"/>
    <w:bookmarkEnd w:id="37"/>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business could be adversely impacted by the effects of the coronavirus or other epidemics. In December 2019, a novel strain of the coronavirus, or COVID-19, emerged in China and the virus has now spread to several other countries. In an effort to halt the outbreak of COVID-19, governments of countries around the world, including the United States, China and several European Union member states, have placed significant travel restrictions or advisories on travel within their respective borders and have instituted shelter-in-place policies that have led to extended business closures. The extent to which the coronavirus and global efforts to contain its spread will impact our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our operations, including without limitation, our manufacturing and supply chain for CTI-1601 and ongoing and planned Phase 1 clinical trials, which are facing, and could continue to face, enrollment difficulties as hospitals or clinical trials sites experience closures. We are currently evaluating CTI-1601 in a SAD Phase 1 clinical trial in patients with Friedreich’s Ataxia. The first two cohorts of patients have completed the SAD clinical trial; however, due to the continued impact of COVID-19, we have delayed initiation of the next cohort in the SAD clinical trial. We are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our clinical trial site for dosing. Due to the uncertainty surrounding COVID-19, we cannot estimate when the next cohort of patients will begin the clinical trial. While top line results from the SAD and MAD clinical trials were originally expected by the end of 2020, the delay in the clinical trial timeline caused by the ongoing impact of COVID-19 has resulted in top line results being delayed until the first half of 2021. In addition, employee health and availability could be impacted, which may have a material and adverse effect on our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our business and prospects.</w:t>
      </w:r>
    </w:p>
    <w:p>
      <w:pPr>
        <w:spacing w:after="0" w:line="29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57"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may operate has established its own data security and privacy frameworks with which we must comply. For example, the European Union’s General Data Protection Regulation 2016/679, or GDPR,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our business and substantially increases the penalties to which we could be subject in the event of any non-compliance, including fines of up to €20 million or 4% of total worldwide annual turnover,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we are required to comply with the GDPR’s requirements, we will be required to spend significant time and resources to review our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fines and penalties against us, reputational harm and could have a material adverse effect on our business, financial condition or results of operations.</w:t>
      </w:r>
    </w:p>
    <w:p>
      <w:pPr>
        <w:sectPr>
          <w:pgSz w:w="11900" w:h="16838" w:orient="portrait"/>
          <w:cols w:equalWidth="0" w:num="1">
            <w:col w:w="11000"/>
          </w:cols>
          <w:pgMar w:left="440" w:top="274"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face potential product liability exposure, and, if claims are brought against us, we may incur substantial liability.</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use of CTI-1601 and other potential product candidates in clinical trials, if any, and the sale of CTI-1601 and other potential product candidates, if developed and approved, exposes us to the risk of product liability claims. Product liability claims might be brought against us by patients, healthcare providers or others selling or otherwise coming into contact with CTI-1601 or other potential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1" w:lineRule="exact"/>
        <w:rPr>
          <w:sz w:val="20"/>
          <w:szCs w:val="20"/>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CTI-1601 or ours other potential product candidates following marketing approval, if obtained;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25"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CTI-1601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ectPr>
          <w:pgSz w:w="11900" w:h="16838" w:orient="portrait"/>
          <w:cols w:equalWidth="0" w:num="1">
            <w:col w:w="10980"/>
          </w:cols>
          <w:pgMar w:left="440" w:top="274" w:right="479" w:bottom="1440" w:gutter="0" w:footer="0" w:header="0"/>
        </w:sectPr>
      </w:pPr>
    </w:p>
    <w:bookmarkStart w:id="39" w:name="page40"/>
    <w:bookmarkEnd w:id="39"/>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are expected to adopt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Ours Reliance on Third Parties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6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We have limited experience in conducting or supervising clinical trials that must be performed to obtain data to submit in concert with applications for approval by the FDA or the EMA. As a result, we expect to continue to rely on CROs, clinical data management organizations and consultants to design, conduct, supervise and monitor our nonclinical studies and clinical trials. We and our CROs are required to comply with various regulations, including the FDA’s regulations commonly referred to as good clinical practices, or 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does not control does not relieve us of these responsibilities and requirements. If we or any of our CROs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16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ectPr>
          <w:pgSz w:w="11900" w:h="16838" w:orient="portrait"/>
          <w:cols w:equalWidth="0" w:num="1">
            <w:col w:w="11000"/>
          </w:cols>
          <w:pgMar w:left="440" w:top="274" w:right="459" w:bottom="1440" w:gutter="0" w:footer="0" w:header="0"/>
        </w:sectPr>
      </w:pPr>
    </w:p>
    <w:bookmarkStart w:id="40" w:name="page41"/>
    <w:bookmarkEnd w:id="40"/>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w:t>
      </w:r>
    </w:p>
    <w:p>
      <w:pPr>
        <w:spacing w:after="0" w:line="17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2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62"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our research and development, nonclinical and clinical study drug substance and product. We have not yet manufactured or formulated any product candidate on a commercial scale and may not be able to do so for any of our product candidates. We will work to develop and optimize our manufacturing process, however we cannot be sure that the process will result in therapies that are safe, potent or effective.</w:t>
      </w:r>
    </w:p>
    <w:p>
      <w:pPr>
        <w:spacing w:after="0" w:line="17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In the event that any of our suppliers or manufacturers fails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also rely on third parties to store master and working cell banks. We currently have one master cell bank and one working cell bank for CTI-1601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ectPr>
          <w:pgSz w:w="11900" w:h="16838" w:orient="portrait"/>
          <w:cols w:equalWidth="0" w:num="1">
            <w:col w:w="11000"/>
          </w:cols>
          <w:pgMar w:left="440" w:top="274" w:right="459" w:bottom="1440" w:gutter="0" w:footer="0" w:header="0"/>
        </w:sectPr>
      </w:pPr>
    </w:p>
    <w:bookmarkStart w:id="41" w:name="page42"/>
    <w:bookmarkEnd w:id="41"/>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spacing w:after="0" w:line="83" w:lineRule="exact"/>
        <w:rPr>
          <w:sz w:val="20"/>
          <w:szCs w:val="20"/>
          <w:color w:val="auto"/>
        </w:rPr>
      </w:pPr>
    </w:p>
    <w:p>
      <w:pPr>
        <w:ind w:left="1420" w:hanging="331"/>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30" w:lineRule="exact"/>
        <w:rPr>
          <w:rFonts w:ascii="Arial" w:cs="Arial" w:eastAsia="Arial" w:hAnsi="Arial"/>
          <w:sz w:val="18"/>
          <w:szCs w:val="18"/>
          <w:color w:val="auto"/>
        </w:rPr>
      </w:pPr>
    </w:p>
    <w:p>
      <w:pPr>
        <w:ind w:left="1420" w:right="700" w:hanging="331"/>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our products.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and our contract manufacturers are subject to significant regulation with respect to manufacturing our products. The manufacturing facilities on which we rely may not continue to meet regulatory requirements and have limited capacity.</w:t>
      </w:r>
    </w:p>
    <w:p>
      <w:pPr>
        <w:spacing w:after="0" w:line="6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good laboratory practices, or GLPs, and cGMP regulations enforced by the FDA or other regulator through facilities inspection programs. The facilities and quality systems of some or all of our third-party contractors must pass a pre-approval inspection for compliance with the applicable regulations as a condition of regulatory approval of CTI-1601 or any of our other potential products. In addition, the regulatory authorities may, at any time, audit or inspect a manufacturing facility involved with the preparation of CTI-1601 or our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8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ectPr>
          <w:pgSz w:w="11900" w:h="16838" w:orient="portrait"/>
          <w:cols w:equalWidth="0" w:num="1">
            <w:col w:w="11020"/>
          </w:cols>
          <w:pgMar w:left="440" w:top="274" w:right="439" w:bottom="1440" w:gutter="0" w:footer="0" w:header="0"/>
        </w:sectPr>
      </w:pPr>
    </w:p>
    <w:bookmarkStart w:id="42" w:name="page43"/>
    <w:bookmarkEnd w:id="42"/>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we or any of our third-party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These factors could also cause the delay of manufacturing development, clinical trials, regulatory submissions, required approvals or commercialization of CTI-1601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29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3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consulting services.</w:t>
      </w:r>
    </w:p>
    <w:p>
      <w:pPr>
        <w:spacing w:after="0" w:line="192"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ectPr>
          <w:pgSz w:w="11900" w:h="16838" w:orient="portrait"/>
          <w:cols w:equalWidth="0" w:num="1">
            <w:col w:w="10940"/>
          </w:cols>
          <w:pgMar w:left="440" w:top="274" w:right="51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Dependence on collaborative arrangements or strategic alliances would subject us to a number of risks, including the risk that:</w:t>
      </w:r>
    </w:p>
    <w:p>
      <w:pPr>
        <w:spacing w:after="0" w:line="131" w:lineRule="exact"/>
        <w:rPr>
          <w:sz w:val="20"/>
          <w:szCs w:val="20"/>
          <w:color w:val="auto"/>
        </w:rPr>
      </w:pPr>
    </w:p>
    <w:p>
      <w:pPr>
        <w:ind w:left="1420" w:right="720" w:hanging="331"/>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devote to the relevant product candidates;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30" w:lineRule="exact"/>
        <w:rPr>
          <w:rFonts w:ascii="Arial" w:cs="Arial" w:eastAsia="Arial" w:hAnsi="Arial"/>
          <w:sz w:val="18"/>
          <w:szCs w:val="18"/>
          <w:color w:val="auto"/>
        </w:rPr>
      </w:pPr>
    </w:p>
    <w:p>
      <w:pPr>
        <w:ind w:left="1420" w:right="680" w:hanging="331"/>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75" w:lineRule="exact"/>
        <w:rPr>
          <w:rFonts w:ascii="Arial" w:cs="Arial" w:eastAsia="Arial" w:hAnsi="Arial"/>
          <w:sz w:val="18"/>
          <w:szCs w:val="18"/>
          <w:color w:val="auto"/>
        </w:rPr>
      </w:pPr>
    </w:p>
    <w:p>
      <w:pPr>
        <w:ind w:left="1420" w:right="940" w:hanging="331"/>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ours competitors; and</w:t>
      </w:r>
    </w:p>
    <w:p>
      <w:pPr>
        <w:spacing w:after="0" w:line="75"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With respect to our patent portfolio, we in-license from WFUHS certain issued U.S. patents that relate to CTI-1601 and its use for treating Friedreich’s Ataxia. We also in-license from IU certain pending U.S. provisional patent applications that relate to the composition of CTI-1601 and methods of use, and certain U.S. patents relating to materials and methods of use relating to the development of CTI-1601. We also own or co-own pending U.S. provisional applications relating to methods of use of CTI-1601, biomarkers and to our platform technology.</w:t>
      </w:r>
    </w:p>
    <w:p>
      <w:pPr>
        <w:spacing w:after="0" w:line="15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17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We cannot provide any assurances that any of our pending patent applications that mature into issued patents will include claims with a scope sufficient to protect CTI-1601,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w:t>
      </w:r>
    </w:p>
    <w:p>
      <w:pPr>
        <w:sectPr>
          <w:pgSz w:w="11900" w:h="16838" w:orient="portrait"/>
          <w:cols w:equalWidth="0" w:num="1">
            <w:col w:w="11000"/>
          </w:cols>
          <w:pgMar w:left="440" w:top="274" w:right="459" w:bottom="1440" w:gutter="0" w:footer="0" w:header="0"/>
        </w:sectPr>
      </w:pPr>
    </w:p>
    <w:bookmarkStart w:id="44" w:name="page45"/>
    <w:bookmarkEnd w:id="4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CTI-1601, and other potential product candidates.</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CTI-1601 are invalidated or found unenforceable, our financial position and results of operations would be materially and adversely impacted. In addition, if a court found that valid, enforceable patents held by third parties covered CTI-1601, our financial position and results of operations would also be materially and adversely impacted.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1420" w:right="480" w:hanging="331"/>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CTI-1601 or any other products or product candidates;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able to successfully develop and, if approved, commercialize CTI-1601 before our relevant patents expire;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1420" w:right="100" w:hanging="331"/>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ectPr>
          <w:pgSz w:w="11900" w:h="16838" w:orient="portrait"/>
          <w:cols w:equalWidth="0" w:num="1">
            <w:col w:w="10960"/>
          </w:cols>
          <w:pgMar w:left="440" w:top="274" w:right="499" w:bottom="1440" w:gutter="0" w:footer="0" w:header="0"/>
        </w:sectPr>
      </w:pPr>
    </w:p>
    <w:bookmarkStart w:id="45" w:name="page46"/>
    <w:bookmarkEnd w:id="45"/>
    <w:p>
      <w:pPr>
        <w:ind w:left="1420" w:hanging="331"/>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CTI-1601 or potential future product candidates, third parties could compete against us more directly, which would have a material adverse impact on our business, results of operations, financial condition and prospects.</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Over time, we will lose our ability to rely upon the intellectual property we currently own to prevent competing products, which may impair our ability to generate revenue.</w:t>
      </w:r>
    </w:p>
    <w:p>
      <w:pPr>
        <w:spacing w:after="0" w:line="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We have in-licensed certain patents relating to CTI-1601 from WFUHS. The U.S. patents relating to CTI-1601 and its use for the treatment of Friedreich’s Ataxia expire in 2024 and 2025, respectively. We have also in-licensed certain provisional patent applications relating to the composition of CTI-1601 and methods of use from IU, which, if issued as a patent, would expire at the earliest in 2040. We cannot predict whether these provisional patent applications we and our licensors are currently pursuing will issue as patents in any particular jurisdiction or whether the claims of any issued patents will provide sufficient protection from competitors or other third parties. When these various patents expire, we will be unable to use the patents to try to block others from marketing CTI-1601 in the United States.</w:t>
      </w:r>
    </w:p>
    <w:p>
      <w:pPr>
        <w:spacing w:after="0" w:line="178"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232"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16"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12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Third parties may allege that CTI-1601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w:t>
      </w:r>
    </w:p>
    <w:p>
      <w:pPr>
        <w:sectPr>
          <w:pgSz w:w="11900" w:h="16838" w:orient="portrait"/>
          <w:cols w:equalWidth="0" w:num="1">
            <w:col w:w="10960"/>
          </w:cols>
          <w:pgMar w:left="440" w:top="274" w:right="499" w:bottom="1440" w:gutter="0" w:footer="0" w:header="0"/>
        </w:sectPr>
      </w:pPr>
    </w:p>
    <w:bookmarkStart w:id="46" w:name="page47"/>
    <w:bookmarkEnd w:id="46"/>
    <w:p>
      <w:pPr>
        <w:ind w:right="8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if any such claim were successfully asserted against us and we could not obtain such a license, we may be forced to stop or delay developing, manufacturing, selling or otherwise commercializing CTI-1601.</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3" w:lineRule="exact"/>
        <w:rPr>
          <w:sz w:val="20"/>
          <w:szCs w:val="20"/>
          <w:color w:val="auto"/>
        </w:rPr>
      </w:pPr>
    </w:p>
    <w:p>
      <w:pPr>
        <w:ind w:left="1420" w:hanging="331"/>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cease preparations or development of our other potential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420" w:right="220" w:hanging="331"/>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75" w:lineRule="exact"/>
        <w:rPr>
          <w:rFonts w:ascii="Arial" w:cs="Arial" w:eastAsia="Arial" w:hAnsi="Arial"/>
          <w:sz w:val="18"/>
          <w:szCs w:val="18"/>
          <w:color w:val="auto"/>
        </w:rPr>
      </w:pPr>
    </w:p>
    <w:p>
      <w:pPr>
        <w:ind w:left="1420" w:right="80" w:hanging="331"/>
        <w:spacing w:after="0" w:line="342"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30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which would adversely affect our business, financial condition and results of operations.</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w:t>
      </w:r>
    </w:p>
    <w:p>
      <w:pPr>
        <w:sectPr>
          <w:pgSz w:w="11900" w:h="16838" w:orient="portrait"/>
          <w:cols w:equalWidth="0" w:num="1">
            <w:col w:w="10960"/>
          </w:cols>
          <w:pgMar w:left="440" w:top="274" w:right="49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18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dependent on licensed intellectual property for CTI-1601. If we were to lose our rights to licensed intellectual property, we may not be able to continue developing or commercializing CTI-1601, if approved.</w:t>
      </w:r>
    </w:p>
    <w:p>
      <w:pPr>
        <w:spacing w:after="0" w:line="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CTI-1601 and its use for the treatment of mitochondrial diseases,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loss of our right to use the licensed intellectual property, which could materially adversely affect our ability to develop and commercialize CTI-1601, if approved, as well as harm our competitive business position, our business prospects, financial condition and results of operations.</w:t>
      </w:r>
    </w:p>
    <w:p>
      <w:pPr>
        <w:spacing w:after="0" w:line="30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CTI-1601.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420" w:hanging="331"/>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420" w:right="180" w:hanging="331"/>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ectPr>
          <w:pgSz w:w="11900" w:h="16838" w:orient="portrait"/>
          <w:cols w:equalWidth="0" w:num="1">
            <w:col w:w="11000"/>
          </w:cols>
          <w:pgMar w:left="440" w:top="274" w:right="459" w:bottom="1440" w:gutter="0" w:footer="0" w:header="0"/>
        </w:sectPr>
      </w:pPr>
    </w:p>
    <w:bookmarkStart w:id="49" w:name="page50"/>
    <w:bookmarkEnd w:id="49"/>
    <w:p>
      <w:pPr>
        <w:ind w:left="1420" w:hanging="331"/>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CTI-1601, which could have a material adverse effect on our business, financial conditions, results of operations, and prospects.</w:t>
      </w:r>
    </w:p>
    <w:p>
      <w:pPr>
        <w:spacing w:after="0" w:line="2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CTI-1601 or other potential product candidates and failure to secure such registrations could adversely affect our business, financial condition and results of operations.</w:t>
      </w:r>
    </w:p>
    <w:p>
      <w:pPr>
        <w:spacing w:after="0" w:line="6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We have not yet registered trademarks for a commercial trade name for CTI-1601 or other potential product candidates. Any future trademark applications may be rejected during trademark registration proceedings. Although 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ectPr>
          <w:pgSz w:w="11900" w:h="16838" w:orient="portrait"/>
          <w:cols w:equalWidth="0" w:num="1">
            <w:col w:w="11000"/>
          </w:cols>
          <w:pgMar w:left="440" w:top="274" w:right="459" w:bottom="1440" w:gutter="0" w:footer="0" w:header="0"/>
        </w:sectPr>
      </w:pPr>
    </w:p>
    <w:bookmarkStart w:id="50" w:name="page51"/>
    <w:bookmarkEnd w:id="50"/>
    <w:p>
      <w:pPr>
        <w:ind w:right="1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we do not obtain additional protection under the Hatch-Waxman Amendments and similar foreign legislation by extending the patent terms and obtaining data exclusivity for CTI-1601, our business may be materially harmed.</w:t>
      </w:r>
    </w:p>
    <w:p>
      <w:pPr>
        <w:spacing w:after="0" w:line="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Depending upon the timing, duration and specifics of development and FDA marketing approval of CTI-1601 or our other potential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62"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17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ours competitors independently develop equivalent knowledge, methods and know-how, we would not be able to assert our trade secrets against them and our business, financial condition and results of operations could be harmed.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w:t>
      </w:r>
    </w:p>
    <w:p>
      <w:pPr>
        <w:sectPr>
          <w:pgSz w:w="11900" w:h="16838" w:orient="portrait"/>
          <w:cols w:equalWidth="0" w:num="1">
            <w:col w:w="10980"/>
          </w:cols>
          <w:pgMar w:left="440" w:top="274"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 will be entitled to the patent on an invention regardless of whether a third party was the first to invent the claimed</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issued patents, all of which could harm our business, results of operations, financial condition and prospects.</w:t>
      </w:r>
    </w:p>
    <w:p>
      <w:pPr>
        <w:spacing w:after="0" w:line="19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6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CTI-1601 or our other potential product candidates, which would materially adversely affect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be highly volatile, and purchasers of our common stock could incur substantial losses.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9" w:lineRule="exact"/>
        <w:rPr>
          <w:sz w:val="20"/>
          <w:szCs w:val="20"/>
          <w:color w:val="auto"/>
        </w:rPr>
      </w:pPr>
    </w:p>
    <w:p>
      <w:pPr>
        <w:ind w:left="1420" w:hanging="331"/>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current, and any future, nonclinical or clinical trials of CTI-1601 or any of our future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420" w:right="600" w:hanging="331"/>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CTI-1601 or any of our future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ectPr>
          <w:pgSz w:w="11900" w:h="16838" w:orient="portrait"/>
          <w:cols w:equalWidth="0" w:num="1">
            <w:col w:w="11000"/>
          </w:cols>
          <w:pgMar w:left="440" w:top="274" w:right="459" w:bottom="1440" w:gutter="0" w:footer="0" w:header="0"/>
        </w:sectPr>
      </w:pPr>
    </w:p>
    <w:bookmarkStart w:id="52" w:name="page53"/>
    <w:bookmarkEnd w:id="52"/>
    <w:p>
      <w:pPr>
        <w:ind w:left="1420" w:right="720" w:hanging="331"/>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adverse publicity relating to our markets, including with respect to other products and potential products in such markets;</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volume of our common stock;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2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3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Until December 31, 2019, Zafgen was an “emerging growth company,” as defined in the Jumpstart Our Business Startups Act, and took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6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149"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14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have previously identified material weaknesses in our internal control over financial reporting.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w:t>
      </w:r>
    </w:p>
    <w:p>
      <w:pPr>
        <w:sectPr>
          <w:pgSz w:w="11900" w:h="16838" w:orient="portrait"/>
          <w:cols w:equalWidth="0" w:num="1">
            <w:col w:w="10980"/>
          </w:cols>
          <w:pgMar w:left="440" w:top="274" w:right="479" w:bottom="1440" w:gutter="0" w:footer="0" w:header="0"/>
        </w:sectPr>
      </w:pPr>
    </w:p>
    <w:bookmarkStart w:id="53" w:name="page54"/>
    <w:bookmarkEnd w:id="53"/>
    <w:p>
      <w:pPr>
        <w:ind w:right="120"/>
        <w:spacing w:after="0" w:line="30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accurately or timely report our financial condition or results of operations, which may adversely affect our business</w:t>
      </w:r>
      <w:r>
        <w:rPr>
          <w:rFonts w:ascii="Arial" w:cs="Arial" w:eastAsia="Arial" w:hAnsi="Arial"/>
          <w:sz w:val="16"/>
          <w:szCs w:val="16"/>
          <w:color w:val="auto"/>
        </w:rPr>
        <w:t>.” We are in the process of</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implementing measures designed to improve our internal control over financial reporting and remediate the control deficiencies that led to this material weakness, including hiring additional finance and accounting personnel and initiating design and implementation of our financial control environment, including the establishment of formal accounting policies and procedures and period-end financial reporting controls. We will continue this process.</w:t>
      </w:r>
    </w:p>
    <w:p>
      <w:pPr>
        <w:spacing w:after="0" w:line="15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Our management may not be able to effectively and timely implement controls and procedures that adequately remediate our material weaknesses and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remediate our existing or any future material weaknesses in internal control over financial reporting, or identify any additional material weaknesses, our business and reputation may be harmed and our stock price may decline. Furthermore, investor perceptions of us may be adversely affected, which could cause a decline in the market price of our common stock.</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the continued listing requirements of The Nasdaq Stock Market LLC could result in a delisting of our Common Stock.</w:t>
      </w:r>
    </w:p>
    <w:p>
      <w:pPr>
        <w:spacing w:after="0" w:line="140"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If we fail to satisfy the continued listing requirements of The Nasdaq Stock Market LLC, or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shares of common stock when you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27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6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As a publicly-traded company, we will incur significant additional legal, accounting and other expenses that Chondrial did not incur as a privately-held company prior to the Merger.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or the Dodd-Frank Act, and the listing requirements of Nasdaq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In addition, we expect these rules and regulations to make it more difficult and more expensive for us to obtain director and officer liability insurance and we may be required to incur substantial costs to maintain the same or similar coverage that Chondrial had as a privately-held company. For example, Chondrial’s management had identified material weaknesses in Chondrial’s internal control over financial reporting prior to the Merger. As a result, our management and other personnel will need to devote a substantial amount of time to remedy the identified material weaknesses and otherwise ensure that we comply with all of these requirements and to keep pace with new regulations, otherwise we may fall out of compliance and risk becoming subject to litigation or being delisted, among other potential problems.</w:t>
      </w:r>
    </w:p>
    <w:p>
      <w:pPr>
        <w:sectPr>
          <w:pgSz w:w="11900" w:h="16838" w:orient="portrait"/>
          <w:cols w:equalWidth="0" w:num="1">
            <w:col w:w="11000"/>
          </w:cols>
          <w:pgMar w:left="440" w:top="274" w:right="459" w:bottom="1440" w:gutter="0" w:footer="0" w:header="0"/>
        </w:sectPr>
      </w:pPr>
    </w:p>
    <w:bookmarkStart w:id="54" w:name="page55"/>
    <w:bookmarkEnd w:id="54"/>
    <w:p>
      <w:pPr>
        <w:ind w:right="4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or availability for sale of a substantial number of shares of our common stock after the expiration of applicable lock-up periods could adversely affect the market price of such shares.</w:t>
      </w:r>
    </w:p>
    <w:p>
      <w:pPr>
        <w:spacing w:after="0" w:line="62"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after expiration of applicable lock-up periods and other legal restrictions on resale, or the perception that these sales could occur, could adversely affect the market price of such shares and could materially impair our ability to raise capital through equity offerings in the future. We are unable to predict what effect, if any, market sales of securities held by significant stockholders, directors or officers or the availability of these securities for future sale will have on our market price.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of our common stock is highly concentrated, and it may prevent other stockholders from influencing significant corporate decisions.</w:t>
      </w:r>
    </w:p>
    <w:p>
      <w:pPr>
        <w:spacing w:after="0" w:line="140"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Holdings’ members beneficially own or control approximately 39.8% of our outstanding common stock (assuming no exercise of outstanding options) as of June 1, 2020, on a fully-diluted basis. Accordingly Holdings’ members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2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38"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We are currently a “smaller reporting company” as defined in the Securities Exchange Act of 1934, as amended, or the Exchange Act,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6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Corporations Law, or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do not anticipate that we will pay any cash dividends in the foreseeable future.</w:t>
      </w:r>
    </w:p>
    <w:p>
      <w:pPr>
        <w:spacing w:after="0" w:line="117"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including due to the impact of any potential new outbreaks related to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ectPr>
          <w:pgSz w:w="11900" w:h="16838" w:orient="portrait"/>
          <w:cols w:equalWidth="0" w:num="1">
            <w:col w:w="11000"/>
          </w:cols>
          <w:pgMar w:left="440" w:top="274"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CHONDRIAL’S AUDITED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 TO CHONDRIAL’S AUDITED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
            <w:vMerge w:val="restart"/>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1"/>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60" w:type="dxa"/>
            <w:vAlign w:val="bottom"/>
            <w:gridSpan w:val="2"/>
          </w:tcPr>
          <w:p>
            <w:pPr>
              <w:spacing w:after="0" w:line="194" w:lineRule="exact"/>
              <w:rPr>
                <w:sz w:val="20"/>
                <w:szCs w:val="20"/>
                <w:color w:val="auto"/>
              </w:rPr>
            </w:pPr>
            <w:r>
              <w:rPr>
                <w:rFonts w:ascii="Arial" w:cs="Arial" w:eastAsia="Arial" w:hAnsi="Arial"/>
                <w:sz w:val="18"/>
                <w:szCs w:val="18"/>
                <w:b w:val="1"/>
                <w:bCs w:val="1"/>
                <w:color w:val="0000EE"/>
              </w:rPr>
              <w:t>Consolidated Financial Statements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6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Balance Sheets as of December 31,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Statements of Operations for the years ended December 31,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Statements of Changes in Stockholder’s (Deficit) Equity for the years ended December 31,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Statements of Cash Flows for the years ended December 31,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5"/>
        </w:trPr>
        <w:tc>
          <w:tcPr>
            <w:tcW w:w="10660" w:type="dxa"/>
            <w:vAlign w:val="bottom"/>
            <w:gridSpan w:val="2"/>
          </w:tcPr>
          <w:p>
            <w:pPr>
              <w:ind w:left="54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58" w:name="page59"/>
    <w:bookmarkEnd w:id="58"/>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Chondrial Therapeutics,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Chondrial Therapeutics, Inc. and its subsidiary (the “Company”) as of December 31, 2019 and 2018, and the related consolidated statements of operations, changes in stockholder’s (deficit)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2019 AND 2018</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7"/>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(See note 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5,000 shares authorized and 100 shares issued, par value $0.01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20"/>
                <w:szCs w:val="20"/>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3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20,790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1,583</w:t>
            </w:r>
          </w:p>
        </w:tc>
      </w:tr>
      <w:tr>
        <w:trPr>
          <w:trHeight w:val="27"/>
        </w:trPr>
        <w:tc>
          <w:tcPr>
            <w:tcW w:w="6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11,192</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(23,214)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20"/>
                <w:szCs w:val="20"/>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5"/>
              </w:rPr>
              <w:t>(23,132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(23,132)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r>
      <w:tr>
        <w:trPr>
          <w:trHeight w:val="20"/>
        </w:trPr>
        <w:tc>
          <w:tcPr>
            <w:tcW w:w="6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gridSpan w:val="4"/>
            <w:vMerge w:val="restart"/>
          </w:tcPr>
          <w:p>
            <w:pPr>
              <w:ind w:left="300"/>
              <w:spacing w:after="0"/>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40"/>
              <w:spacing w:after="0" w:line="149" w:lineRule="exact"/>
              <w:rPr>
                <w:sz w:val="20"/>
                <w:szCs w:val="20"/>
                <w:color w:val="auto"/>
              </w:rPr>
            </w:pPr>
            <w:r>
              <w:rPr>
                <w:rFonts w:ascii="Arial" w:cs="Arial" w:eastAsia="Arial" w:hAnsi="Arial"/>
                <w:sz w:val="14"/>
                <w:szCs w:val="14"/>
                <w:color w:val="auto"/>
              </w:rPr>
              <w:t>Combined</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6"/>
                <w:szCs w:val="6"/>
                <w:color w:val="auto"/>
              </w:rPr>
            </w:pPr>
          </w:p>
        </w:tc>
        <w:tc>
          <w:tcPr>
            <w:tcW w:w="86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12,082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(11,192)</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(11,192)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of entities under common control (See Note 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19,395</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19,395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(22,699)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(9,505)</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Capital contribution from related party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4,356</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63" w:name="page64"/>
    <w:bookmarkEnd w:id="63"/>
    <w:p>
      <w:pPr>
        <w:ind w:left="2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CHONDRIAL’S 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16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11)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(see Note 8).</w:t>
      </w:r>
    </w:p>
    <w:p>
      <w:pPr>
        <w:spacing w:after="0" w:line="17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The Company is a clinical stage biopharmaceutical company leveraging its proprietary knowledge to develop a therapeutic treatment for mitochondrial disorders which currently have no cure. The Company has focused on Friedreich’s ataxia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 On September 27, 2019, the Company submitted an Investigational New Drug (“IND”) application for CTI-1601 to the Center for Drug Evaluation and Research (“CDER”) of the FDA as well as a “Fast Track” designation request, and on October 9, 2019, the Company requested designation for CTI-1601 as a drug for a rare pediatric disease. Fast Track designation is designed to facilitate the development of, and expedite the review of, drugs to treat serious conditions and fill unmet medical needs, the purpose being to make important new drugs available to patients earlier. Rare pediatric disease designation incentivizes companies to develop drugs to treat rare pediatric diseases and drugs with this designation can become eligible upon approval for a voucher entitling another drug to priority review by FDA. On October 25, 2019, the FDA informed the Company that it may proceed with its clinical investigation for the treatment of “Friedreich’s Ataxia” and on November 20, 2019, the Company was granted Fast Track Designation for CTI-1601. On December 5, 2019, the FDA granted the Company designation for CTI-1601 as a drug for a rare pediatric disease, and that same month, the Company dosed its first human patient in its Phase I clinical trial.</w:t>
      </w:r>
    </w:p>
    <w:p>
      <w:pPr>
        <w:spacing w:after="0" w:line="18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On December 17, 2019 the Company entered into an Agreement and Plan of Merger (“Merger Agreement”) with Zordich Merger Sub, Inc., (“Merger Sub”) a wholly owned subsidiary of Zafgen, Inc. (“Zafgen”), a publicly traded company on the NASDAQ Global Market. Pursuant to the Merger Agreement, the Company will be merged with and into Merger Sub at the effective time of the merger, with the Company continuing after the merger as the surviving company (the “Merger”). The surviving company will be named Larimar Therapeutics, Inc. Under the exchange ratio formula in the Merger Agreement, immediately after the Merger, the Company’s shareholders are expected to own approximately 60% of the outstanding common stock on a fully-diluted basis, and shareholders of Zafgen are expected to own approximately 40% of the outstanding shares on a fully-diluted basis. Zafgen’s and the Company’s obligations to consummate the Merger are subject to the satisfaction or waiver of customary closing conditions, including, among others, obtaining the requisite approvals of the stockholders of Zafgen, Holdings and the Company, including the approval of the charter amendments by the stockholders of Zafgen, as well as satisfaction of minimum net cash thresholds of $30.0 million by Zafgen and not less than zero by the Company. Holdings, in its capacity as the sole stockholder of Chondrial Inc., has approved the Merger Agreement by written consent.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64" w:name="page65"/>
    <w:bookmarkEnd w:id="64"/>
    <w:p>
      <w:pPr>
        <w:ind w:left="4"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Zafgen board of directors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w:t>
      </w:r>
    </w:p>
    <w:p>
      <w:pPr>
        <w:spacing w:after="0" w:line="184"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 xml:space="preserve">The Merger will be accounted for as an asset acquisition under the provisions of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Because the Company has been determined to be the accounting acquirer in the Merger, but not the legal acquirer, the Merger is deemed a reverse acquisition under the guidance of ASC 805. As a result, upon consummation of the Merger, the historical financial statements of the Company will become the historical financial statements of the combined company and the Company will record the assets acquired and liabilities assumed of Zafgen in the Merger at their fair values as of the acquisition date.</w:t>
      </w:r>
    </w:p>
    <w:p>
      <w:pPr>
        <w:spacing w:after="0" w:line="16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Chondrial Inc. and its wholly owned subsidiary, IP LLC. All intercompany balances and transactions have been eliminated. The accompanying consolidated financial statements have been prepared in conformity with accounting principles generally accepted in the United States of America (“GAAP”).</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Going Concern, Liquidity and Uncertainties</w:t>
      </w:r>
    </w:p>
    <w:p>
      <w:pPr>
        <w:spacing w:after="0" w:line="121"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 (Subtopic 205-40)</w:t>
      </w:r>
      <w:r>
        <w:rPr>
          <w:rFonts w:ascii="Arial" w:cs="Arial" w:eastAsia="Arial" w:hAnsi="Arial"/>
          <w:sz w:val="16"/>
          <w:szCs w:val="16"/>
          <w:color w:val="auto"/>
        </w:rPr>
        <w:t>, the Company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that the consolidated financial statements are issued.</w:t>
      </w:r>
    </w:p>
    <w:p>
      <w:pPr>
        <w:spacing w:after="0" w:line="149"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From its inception through December 31, 2019,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during 2019, 2018, 2017 and 2016. The Company has incurred recurring losses since its inception, including net losses of $23.1 million and $11.2 million for the years ended December 31, 2019 and 2018, respectively. In addition, as of December 31, 2019, the Company had an accumulated deficit of $23.1 million. The Company expects to continue to generate operating losses for the foreseeable future.</w:t>
      </w:r>
    </w:p>
    <w:p>
      <w:pPr>
        <w:spacing w:after="0" w:line="192"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As of March 6, 2020, the issuance date of the consolidated financial statements for the year ended December 31, 2019, the Company expects that its cash balance at December 31, 2019, funding from the issuances of Series B Bridge Units (see Note 12) and Second Series B Bridge Units (see Note</w:t>
      </w:r>
    </w:p>
    <w:p>
      <w:pPr>
        <w:ind w:left="4" w:right="420" w:hanging="4"/>
        <w:spacing w:after="0" w:line="253" w:lineRule="auto"/>
        <w:tabs>
          <w:tab w:leader="none" w:pos="2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Holdings, would enable it to fund its operating expense and capital requirements into the second quarter of 2020. The future viability of the Company is largely dependent on its ability to generate cash from operating activities and to raise additional capital to finance its operations. The Company’s failure to raise capital as and when needed will have a negative impact on its financial condition and its ability to continue to pursue its business strategies.</w:t>
      </w:r>
    </w:p>
    <w:p>
      <w:pPr>
        <w:spacing w:after="0" w:line="193"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believes that, based on its current operating plan, its cash and cash equivalents as of December 31, 2019, and funding received from the issuance of Series B Bridge Units by Holdings in January and February 2020, will enable it to fund its operating expenses and capital expenditure requirements into March 2020. Accordingly, there is substantial doubt about the Company’s ability to continue as a going concern as the Company does not believe that its cash, cash equivalents and investments will be sufficient to fund operations for at least twelve months from the date of issuance of these financial statements.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5" w:name="page66"/>
    <w:bookmarkEnd w:id="6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expects to receive an additional $15.0 million of funding through the Second Series B Bridge Unit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the Company to fund operations into the second quarter of 2020 if it were received.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seeking to complete the Merger, which upon closing, would provide the Company minimum incremental net cash of</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$30.0 million. The Company can provide no assurances that the Merger will be consummated. In the event the Company does not complete the Merger,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would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Based on its recurring losses from operations incurred since inception, expectation of continuing losses for the foreseeable future and need to raise additional capital to finance its future operations, as of March 6, 2020, the issuance date of the consolidated financial statements for the year ended December 31, 2019, the Company has concluded that there is substantial doubt about its ability to continue as a going concern.</w:t>
      </w:r>
    </w:p>
    <w:p>
      <w:pPr>
        <w:spacing w:after="0" w:line="165"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the fair value of equity instruments. Actual results could differ from those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Restricted cash equivalents represent amounts held as collateral pursuant to the Company’s corporate credit card program. Cash and restricted cash equivalents are stated at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The Company has all cash and cash equivalents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6" w:name="page67"/>
    <w:bookmarkEnd w:id="66"/>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is dependent on third-party manufacturers to supply batches of CTI-1601 for research and development activities. The Company’s development efforts could be adversely affected by a significant interruption in the supply of CTI-1601. The Company is also dependent on third-parties to conduct its clinical research programs. The Company’s development efforts could be adversely affected if these clinical research organizations are unable to conduct the Company’s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Fixed assets consist of furniture and fixtures, computers and laboratory equipment which are stated at cost less accumulated depreciation. Depreciation expense is recognized using the straight-line method over a five-year estimated useful life for both computer and laboratory equipment and a seven-year estimated useful life for furniture and fixtures. Expenditures for repairs and maintenance are expensed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 Lived Assets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Long-lived assets to be held and used are tested for recoverability whenever events or changes in business circumstances indicate that the carrying amount of the assets may not be fully recoverable.</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In-process research and development (“IPR&amp;D”) purchased in asset acquisition transactions are expensed as research and development unless the assets acquired have an alternative future use. The IPR&amp;D acquired in connection with the Transaction in 2016 (see Note 1) was expensed on the Transaction Date due to uncertain future economic benefit of the acquired research and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and these differences could be material.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Patent Costs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recognized for the expected future tax consequences attributable to differences between the financial statement carrying amounts of existing assets and liabilities and their respective tax basis, operating loss and tax credit carryforwards. Deferred tax assets and liabilities are determined based on differences between financial statement carrying amounts of existing assets and their respective tax basis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provides a valuation allowance on its net deferred tax assets to the extent that realization of such benefits is more likely than not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accounting for uncertainty in income tax positions prescribes a recognition threshold and measurement of a tax position taken or expected to be taken in an income tax return. It also provides guidance in de-recognition, classification, interest and penalties, accounting in interim periods, disclosures and transition. The Company recognizes such tax benefits based upon the tax position being more-likely-than-not to be sustained upon examination by taxing authorities. There were no uncertain tax positions as of December 31, 2019 and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conditions and records the expense for these awards using the straight-line method. The Company accounts for forfeitures as they occur.</w:t>
      </w:r>
    </w:p>
    <w:p>
      <w:pPr>
        <w:spacing w:after="0" w:line="187"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 xml:space="preserve">The Company adopted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or ASU 2018-07, effective January 1, 2017. The adoption of ASU 2018-07 did not have a material impact on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results of operations or cash flows.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right="440" w:firstLine="44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clinical stage biopharmaceutical company leveraging its proprietary knowledge to develop a therapeutic treatment for mitochondrial disorders. No revenue has been generated since inception, and all tangible assets are held in the United States.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Recently Issued and Adopted Accounting Pronouncements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18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Upon adoption, the Company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Rent expense associated with leases with an initial term of 12 months or less was $0.1 million for the year ended December 31, 2019. Upon adoption of the new leasing standards the Company recognized an operating lease asset of approximately $0.2 million and a corresponding operating lease liability of approximately $0.2 million. The adoption of the new leasing standards did not have an impact on the Company’s consolidated statements of operations or cash flows.</w:t>
      </w:r>
    </w:p>
    <w:p>
      <w:pPr>
        <w:spacing w:after="0" w:line="16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rate when readily determinable and uses the incremental borrowing rate when the implicit rate is not readily determinable based upon the information available at the commencement date in determining the present value of the lease payments. The Company’s incremental borrowing rate was estimated based on the respective weighted average term of the agreements. As the Company does not have outstanding collateralized borrowings, the rate was determined using market comparisons.</w:t>
      </w:r>
    </w:p>
    <w:p>
      <w:pPr>
        <w:spacing w:after="0" w:line="16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The lease payments used to determine the Company’s operating lease assets may include lease incentives, stated rent increases and escalation clauses linked to rates of inflation when determinable and are recognized in the Company’s operating lease assets in our consolidated balance sheets.</w:t>
      </w:r>
    </w:p>
    <w:p>
      <w:pPr>
        <w:spacing w:after="0" w:line="124"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The Company’s operating leases are reflected in operating lease right-of-use assets and in current operating lease liabilities in the Company’s consolidated balance sheets. Lease expense for minimum lease payments is recognized on a straight-line basis over the lease term.</w:t>
      </w:r>
    </w:p>
    <w:p>
      <w:pPr>
        <w:spacing w:after="0" w:line="124"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For additional information on the adoption of the new leasing standards, see Note 11, Commitments, to these consolidated financial statements. 13</w:t>
      </w:r>
    </w:p>
    <w:p>
      <w:pPr>
        <w:sectPr>
          <w:pgSz w:w="11900" w:h="16838" w:orient="portrait"/>
          <w:cols w:equalWidth="0" w:num="1">
            <w:col w:w="11000"/>
          </w:cols>
          <w:pgMar w:left="440" w:top="274"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 Fair Value Measurements</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December 31, 2019 and 2018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77" w:lineRule="exact"/>
        <w:rPr>
          <w:sz w:val="20"/>
          <w:szCs w:val="20"/>
          <w:color w:val="auto"/>
        </w:rPr>
      </w:pPr>
    </w:p>
    <w:p>
      <w:pPr>
        <w:ind w:left="2000" w:right="1220" w:hanging="890"/>
        <w:spacing w:after="0" w:line="277" w:lineRule="auto"/>
        <w:tabs>
          <w:tab w:leader="none" w:pos="1980" w:val="left"/>
        </w:tabs>
        <w:rPr>
          <w:sz w:val="20"/>
          <w:szCs w:val="20"/>
          <w:color w:val="auto"/>
        </w:rPr>
      </w:pPr>
      <w:r>
        <w:rPr>
          <w:rFonts w:ascii="Arial" w:cs="Arial" w:eastAsia="Arial" w:hAnsi="Arial"/>
          <w:sz w:val="18"/>
          <w:szCs w:val="18"/>
          <w:color w:val="auto"/>
        </w:rPr>
        <w:t>Level – 1</w:t>
        <w:tab/>
        <w:t>Inputs to the valuation methodology are quoted prices (unadjusted) for identical assets or liabilities in active markets.</w:t>
      </w:r>
    </w:p>
    <w:p>
      <w:pPr>
        <w:spacing w:after="0" w:line="62" w:lineRule="exact"/>
        <w:rPr>
          <w:sz w:val="20"/>
          <w:szCs w:val="20"/>
          <w:color w:val="auto"/>
        </w:rPr>
      </w:pPr>
    </w:p>
    <w:p>
      <w:pPr>
        <w:ind w:left="2000" w:right="1220" w:hanging="890"/>
        <w:spacing w:after="0" w:line="263" w:lineRule="auto"/>
        <w:tabs>
          <w:tab w:leader="none" w:pos="1980" w:val="left"/>
        </w:tabs>
        <w:rPr>
          <w:sz w:val="20"/>
          <w:szCs w:val="20"/>
          <w:color w:val="auto"/>
        </w:rPr>
      </w:pPr>
      <w:r>
        <w:rPr>
          <w:rFonts w:ascii="Arial" w:cs="Arial" w:eastAsia="Arial" w:hAnsi="Arial"/>
          <w:sz w:val="18"/>
          <w:szCs w:val="18"/>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6" w:lineRule="exact"/>
        <w:rPr>
          <w:sz w:val="20"/>
          <w:szCs w:val="20"/>
          <w:color w:val="auto"/>
        </w:rPr>
      </w:pPr>
    </w:p>
    <w:p>
      <w:pPr>
        <w:ind w:left="1100"/>
        <w:spacing w:after="0"/>
        <w:tabs>
          <w:tab w:leader="none" w:pos="1980"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Company’s cash is carried at fair value and is comprised of a checking account and money market account which totaled $1.0 million and $4.4 million at December 31, 2019 and 2018, respectively, and are classified as Level 1 investments.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2019 and 2018 were considered representative of their fair values due to their short term to maturity.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assets consisted of the following as of December 31, 2019 and 2018.</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456</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Capitalized transaction costs as of December 31, 2019, consists of capitalized legal fees incurred by the Company during the year ended December 31, 2019, related to the Merger. These costs will be included in the purchase price allocation when accounting for the Merger. In the event the Merger Agreement is terminated, such costs will be expensed in the period in which such termination occurs.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 Fixed Assets,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assets, net consisted of the following as of December 31, 2019 and 2018:</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Lab equipment</w:t>
            </w:r>
          </w:p>
        </w:tc>
        <w:tc>
          <w:tcPr>
            <w:tcW w:w="2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for the years ended December 31, 2019 and 2018 was approximately $0.1 million and $0.1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as of December 31, 2019 and 2018.</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2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expenses—research and development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expenses—professional services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7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1,324</w:t>
            </w: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(Deficit) Equity</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12 for related party transactions and capital contributions associated with Holdings funding of the Company.</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December 31, 2018 the Board of Managers approved the Contribution Agreement between Holdings, IP LLC and Chondrial Inc. Pursuant to this agreement, Holdings transferred and contributed 100 Series A-1 units of IP LLC, which constitutes all of the outstanding equity interests of IP LLC, to Chondrial Inc. for no consideration. This transaction was considered a transaction between entities under common control. The consolidation of Chondrial Inc. and its subsidiary (IP LLC) has been accounted for at historical cost and on the basis as if the aforementioned transaction had become effective on the Transaction Date, the date on which common control was established.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71" w:name="page72"/>
    <w:bookmarkEnd w:id="7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compensation expense on a graded vesting basis in research and development expense of approximately $0.1 million and $0.1 million in the years ended December 31, 2019 and 2018, respectively. The Company expects to recognize less than $0.1 million over the remaining eleven month vesting period.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has recorded costs incurred as stock-based compensation with a corresponding capital contribution from Holdings as such employees are working on behalf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188"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During 2019 and 2018, Holdings issued 73,986 and 11,500 options, respectively, to purchase Common Units to certain employees of the Company. These options vest 25% on the first anniversary date of the grant date and the remaining 75% vest ratably over a 3 year period and are exercisable over a 10 year period at a weighted average exercise price of $11.00 and $10.00 per Common Unit option,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Common Unit option activity in Holdings is as follows: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129,606</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73,986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202,392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129,606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w:t>
            </w:r>
            <w:r>
              <w:rPr>
                <w:rFonts w:ascii="Arial" w:cs="Arial" w:eastAsia="Arial" w:hAnsi="Arial"/>
                <w:sz w:val="18"/>
                <w:szCs w:val="18"/>
                <w:color w:val="auto"/>
              </w:rPr>
              <w:t>,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Common Unit options exercisable, and vested and expected to vest as of December 31, 2019:</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104,937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Exercisable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95,684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Unit for the options as of December 31, 2019. The Common Unit options had no intrinsic value as of December 31, 2019, as the exercise price of such Common Unit options exceeded the fair value of a Common Unit on such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72" w:name="page73"/>
    <w:bookmarkEnd w:id="72"/>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recorded costs incurred as stock-based compensation with a corresponding capital contribution from Holdings. Total share-based expense associated with Common Unit options and restricted Common Units was reflected in the Statement of Operations as follows:</w:t>
      </w:r>
    </w:p>
    <w:p>
      <w:pPr>
        <w:spacing w:after="0" w:line="13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fair value of each Common Unit option granted is estimated on the grant date using the Black-Scholes stock option pricing model. The following assumptions were made in estimating fair value:</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Assumption</w:t>
            </w:r>
          </w:p>
        </w:tc>
        <w:tc>
          <w:tcPr>
            <w:tcW w:w="4700" w:type="dxa"/>
            <w:vAlign w:val="bottom"/>
            <w:vMerge w:val="restart"/>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02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6.25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6.25 years</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unit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$0.98 - $1.75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dividend yield is based upon the assumption that Holdings will not declare a dividend over the life of the options. The Company is unable to use historical employee exercise and option expiration data to estimate the expected term assumption and has therefore utilized the “simplified” method, as prescribed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as such options are considered to have “plain vanilla” characteristics. The risk-free interest rate is based on valuations used to derive the unit price. The expected volatility was based on the historical volatility of peer company data.</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the absence of a public trading market, the Company determined a reasonable estimate of the then-current fair value of Holding’s Common Units for purposes of granting equity-based compensation. The Company determined the fair value of Holding’s Common Units utilizing methodologies, approaches and assumptions from a third-party valuation firm. In addition, the Company exercised judgment in evaluating and assessing the foregoing based on several factors including:</w:t>
      </w:r>
    </w:p>
    <w:p>
      <w:pPr>
        <w:spacing w:after="0" w:line="92" w:lineRule="exact"/>
        <w:rPr>
          <w:sz w:val="20"/>
          <w:szCs w:val="20"/>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value of companies that are engaged in a similar business to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marketability of the Company’s Common Units;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at which shares of the Company’s other equity instruments have been sold;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overall inherent risks associated with the Company’s business at the time common unit option grants were approved;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overall equity market conditions and general economic trends.</w:t>
      </w:r>
    </w:p>
    <w:p>
      <w:pPr>
        <w:spacing w:after="0" w:line="225"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auto"/>
        </w:rPr>
        <w:t>Unrecognized compensation expense related to non-vested employee Common Unit options amounted to approximately $0.1 million as of December 31, 2019. Such compensation expense is expected to be recognized over a weighted-average period of 1.8 years.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 Income Taxes</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During the years ended December 31, 2019 and 2018,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as of December 31, 2019 and 2018 consisted of the following:</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10,983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 carryforwards</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(11,735)</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As of December 31, 2019, the Company had net operating loss carryforwards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The Company has $33.2 million of federal net operating loss carryforward subject to this limitation. As of December 31, 2019, the Company also had available tax credit carryforwards for state income tax purposes of approximately $0.1 million which begin to expire in 2027.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7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74" w:name="page75"/>
    <w:bookmarkEnd w:id="74"/>
    <w:p>
      <w:pPr>
        <w:ind w:right="1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2019 and 2018. Management reevaluates the positive and negative evidence at each reporting period.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not recorded any amounts for unrecognized tax benefits as of December 31, 2019 or 2018.</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The Company’s policy is to record interest and penalties related to income taxes as part of its income tax provision.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Effective May 1, 2017, the Company became a party to the TriNet 401(k) Plan, a multiple employer 401(k) plan offered through the Company’s third-party payroll and benefits provider. Under the terms of the plan, eligible employees may choose to contribute between 1% and 100% of their total pay subject to Internal Revenue Service limitations. The TriNet 401(k) Plan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Effective December 31, 2018, the Company terminated is participation in the TriNet 401(k) Plan and on January 1, 2019, the Company adopted the Chondrial Therapeutics, Inc. 401(k) Plan (the “Chondrial 401(k)”). Under the terms of the plan, eligible employees of the Company may choose to contribute between 1% and 100% of their total pay subject to Internal Revenue Service limitations.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For the years ended December 31, 2019 and 2018, the Company recognized approximately $0.1 million and $0.1 million of expense related to its contributions.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176"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75" w:name="page76"/>
    <w:bookmarkEnd w:id="75"/>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 Pursuant to the terms of the Option Agreement, upon exercise of the Option and the entering into formal License Agreements, Holdings issued 14,622 Common Units to WFUHS and 3,647 Common Units to IURTC with such amount being recorded as research and development expense in the period ended December 31, 2016.</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partial consideration for the right and license granted under these agreements, the 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the event that the Company is required to pay WFUHS consideration, then the Company may deduct 60% of such WFUHS consideration on a dollar-for-dollar basis from the consideration due to IURTC, as amended on August 16, 2019, as described below.</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In December 2019, the Company recognized milestone expenses of twenty-eight thousand dollars, after taking into account the potential deductions indicated above, which is included in research and development expense in the accompany consolidated Statement of Operations for the year ended December 31, 2019. None of the milestones were achieved in 2018 or prior years and therefore no such expense was recognized in 2018.</w:t>
      </w:r>
    </w:p>
    <w:p>
      <w:pPr>
        <w:spacing w:after="0" w:line="149"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 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 Pursuant to amendments to extend these dates, the Company believes it is in compliance with each of the above noted requirements as of December 31, 2019.</w:t>
      </w:r>
    </w:p>
    <w:p>
      <w:pPr>
        <w:spacing w:after="0" w:line="166"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The WFUHS License Agreement was terminable in the event the Company failed to raise $1.0 million by December 31, 2016, $2.0 million by December 31, 2017 and $4.0 million by December 31, 2018. The Company successfully raised the required proceeds in the respective periods.</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18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 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76" w:name="page77"/>
    <w:bookmarkEnd w:id="76"/>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five-thousand dollars per annum starting the 2020 calendar year for the term of the agreement. In consideration for the First Amendment the Company paid IU a ten-thousand dollar fee which is included in research and development expense and in the accompanying Statement of Operations for the year ended December 31,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On November 30, 2016, the Company entered into an operating lease for office and lab space in Philadelphia, Pennsylvania, effective as of December 1, 2016 and expiring on November 30, 2017, subject to thirty day extensions. The lease terminated in January 2019.</w:t>
      </w:r>
    </w:p>
    <w:p>
      <w:pPr>
        <w:spacing w:after="0" w:line="124"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in December 31, 2020 with an option to extend the lease for two additional years.</w:t>
      </w:r>
    </w:p>
    <w:p>
      <w:pPr>
        <w:spacing w:after="0" w:line="170"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did not commence until February 15, 2020.</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Expense arising from operating leases was $0.1 million and $0.1 million and for the year ended December 31, 2019 and 2018 respectively. The Company made $0.1 million of lease payments for the period ended December 31, 2019. The weighted-average remaining lease term and the weighted average discount rate for leases accounted for in accordance with ASU 2018-11 at December 31, 2019 was 1 year and 12.0%, respectively. The Company has not entered into any financing leases.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due under operating lease agreements as of December 31, 2018 were as follows: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9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980" w:type="dxa"/>
            <w:vAlign w:val="bottom"/>
            <w:vMerge w:val="restart"/>
          </w:tcPr>
          <w:p>
            <w:pPr>
              <w:jc w:val="right"/>
              <w:ind w:right="267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4" w:right="51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Maturities of lease liabilities due under these lease agreements as of December 31, 2019 are as follows: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On December 31, 2016, the Company entered into an employment agreement with its CEO for a term of four years, a salary of $0.4 million, an annual bonus of up to 40% of her base pay and severance equal to 12 months of base salary.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In November 2016, the Company entered into a consulting agreement with R. Mark Payne, M.D. to serve in the capacity of Chief Scientific Officer. Dr. Payne is a director of the Company, a full-time employee of IU and one of the inventors of the licensed IU intellectual property, and as such is entitled to a certain share of the revenues received by IU under the IURTC License. Pursuant to the terms of his consulting agreement the Company agreed to pay Dr. Payne ten-thousand dollars per month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 year term, subject to earlier termination. For each of the years ended December 31, 2019 and 2018, the Company recognized $0.1 million of expense related to this consulting agreement, recorded as research and development expense in the Statement of Operations.</w:t>
      </w:r>
    </w:p>
    <w:p>
      <w:pPr>
        <w:spacing w:after="0" w:line="178"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Bridge Units to the Deerfield Funds, and certain other purchasers, from inception through December 31, 2019 and the contribution of the proceeds received by Holdings on such sales to the Company in order to fund the Company’s operations.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and on December 20, 2019 Holdings sold an additional 700 Series B Bridge Units for aggregate gross proceeds of approximately $6.9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8" w:name="page79"/>
    <w:bookmarkEnd w:id="78"/>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During the years ended December 31, 2019 and 2018, Holdings provided the Company non-interest bearing, permanent funding from the above Series A and Series B preferred unit transactions, totaling $19.4 million and $12.1 million, respectively, which has been recorded as capital contributions with the balance of combined equity and additional paid in capital on the Consolidated Balance Sheets and Consolidated Statements of Changes in Stockholders’ equity for each respective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For its consolidated financial statements as of December 31, 2019 and for the year then ended, the Company evaluated subsequent events through March 6, 2020, the date on which those financial statements were issued.</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On January 15, 2020, Holdings sold the final 621 Series B Bridge Units available for sale under the Series B Bridge Unit Purchase Agreement for gross proceeds of approximately $3.1 million and contributed such amount to the Company.</w:t>
      </w:r>
    </w:p>
    <w:p>
      <w:pPr>
        <w:spacing w:after="0" w:line="170"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up to 3,000 Second Series B Bridge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CONDENSED CONSOLIDATED FINANCIAL</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STATEMENTS</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THREE MONTHS ENDED MARCH 31, 2020 AND 2019</w:t>
      </w:r>
    </w:p>
    <w:p>
      <w:pPr>
        <w:sectPr>
          <w:pgSz w:w="11900" w:h="16838" w:orient="portrait"/>
          <w:cols w:equalWidth="0" w:num="1">
            <w:col w:w="10020"/>
          </w:cols>
          <w:pgMar w:left="1440" w:top="121" w:right="4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tcPr>
          <w:p>
            <w:pPr>
              <w:ind w:left="360"/>
              <w:spacing w:after="0"/>
              <w:rPr>
                <w:sz w:val="20"/>
                <w:szCs w:val="20"/>
                <w:color w:val="auto"/>
              </w:rPr>
            </w:pPr>
            <w:r>
              <w:rPr>
                <w:rFonts w:ascii="Arial" w:cs="Arial" w:eastAsia="Arial" w:hAnsi="Arial"/>
                <w:sz w:val="18"/>
                <w:szCs w:val="18"/>
                <w:color w:val="auto"/>
              </w:rPr>
              <w:t>Balance Sheets as of March 31, 2020 and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680" w:type="dxa"/>
            <w:vAlign w:val="bottom"/>
          </w:tcPr>
          <w:p>
            <w:pPr>
              <w:ind w:left="360"/>
              <w:spacing w:after="0"/>
              <w:rPr>
                <w:sz w:val="20"/>
                <w:szCs w:val="20"/>
                <w:color w:val="auto"/>
              </w:rPr>
            </w:pPr>
            <w:r>
              <w:rPr>
                <w:rFonts w:ascii="Arial" w:cs="Arial" w:eastAsia="Arial" w:hAnsi="Arial"/>
                <w:sz w:val="18"/>
                <w:szCs w:val="18"/>
                <w:color w:val="auto"/>
              </w:rPr>
              <w:t>Statements of Operations and Comprehensive Loss for the three months ended March 31, 2020 and 2019</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680" w:type="dxa"/>
            <w:vAlign w:val="bottom"/>
          </w:tcPr>
          <w:p>
            <w:pPr>
              <w:ind w:left="360"/>
              <w:spacing w:after="0"/>
              <w:rPr>
                <w:sz w:val="20"/>
                <w:szCs w:val="20"/>
                <w:color w:val="auto"/>
              </w:rPr>
            </w:pPr>
            <w:r>
              <w:rPr>
                <w:rFonts w:ascii="Arial" w:cs="Arial" w:eastAsia="Arial" w:hAnsi="Arial"/>
                <w:sz w:val="18"/>
                <w:szCs w:val="18"/>
                <w:color w:val="auto"/>
              </w:rPr>
              <w:t>Statements of Changes in Stockholder’s Equity (Deficit) for the three months ended March 31, 2020 and 2019</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0680" w:type="dxa"/>
            <w:vAlign w:val="bottom"/>
          </w:tcPr>
          <w:p>
            <w:pPr>
              <w:ind w:left="360"/>
              <w:spacing w:after="0"/>
              <w:rPr>
                <w:sz w:val="20"/>
                <w:szCs w:val="20"/>
                <w:color w:val="auto"/>
              </w:rPr>
            </w:pPr>
            <w:r>
              <w:rPr>
                <w:rFonts w:ascii="Arial" w:cs="Arial" w:eastAsia="Arial" w:hAnsi="Arial"/>
                <w:sz w:val="18"/>
                <w:szCs w:val="18"/>
                <w:color w:val="auto"/>
              </w:rPr>
              <w:t>Statements of Cash Flows for the three months ended March 31, 2020 and 2019</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5"/>
        </w:trPr>
        <w:tc>
          <w:tcPr>
            <w:tcW w:w="10680" w:type="dxa"/>
            <w:vAlign w:val="bottom"/>
          </w:tcPr>
          <w:p>
            <w:pPr>
              <w:ind w:left="54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color w:val="auto"/>
                <w:w w:val="96"/>
              </w:rPr>
              <w:t>March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1,659</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Operating lease liability, current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color w:val="auto"/>
              </w:rPr>
              <w:t>Operating lease liability, noncurrent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Commitments (See Note 10)</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Common stock, 5,000 shares authorized;100 shares issued and outstanding, par value $0.01</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32,061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(29,806)</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OPERATIONS AND COMPREHENSIVE LOSS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gridSpan w:val="3"/>
          </w:tcPr>
          <w:p>
            <w:pPr>
              <w:jc w:val="right"/>
              <w:ind w:right="241"/>
              <w:spacing w:after="0"/>
              <w:rPr>
                <w:sz w:val="20"/>
                <w:szCs w:val="20"/>
                <w:color w:val="auto"/>
              </w:rPr>
            </w:pPr>
            <w:r>
              <w:rPr>
                <w:rFonts w:ascii="Arial" w:cs="Arial" w:eastAsia="Arial" w:hAnsi="Arial"/>
                <w:sz w:val="14"/>
                <w:szCs w:val="14"/>
                <w:color w:val="auto"/>
                <w:w w:val="89"/>
              </w:rPr>
              <w:t>March 31,</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67"/>
        </w:trPr>
        <w:tc>
          <w:tcPr>
            <w:tcW w:w="4040" w:type="dxa"/>
            <w:vAlign w:val="bottom"/>
            <w:tcBorders>
              <w:bottom w:val="single" w:sz="8" w:color="CCEEFF"/>
            </w:tcBorders>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1"/>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30"/>
        </w:trPr>
        <w:tc>
          <w:tcPr>
            <w:tcW w:w="404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5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(6,674)</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(4,724)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Loss</w:t>
            </w:r>
          </w:p>
        </w:tc>
        <w:tc>
          <w:tcPr>
            <w:tcW w:w="5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(6,674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1"/>
              </w:rPr>
              <w:t>(6,674)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(4,724)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360" w:type="dxa"/>
            <w:vAlign w:val="bottom"/>
            <w:vMerge w:val="restart"/>
          </w:tcPr>
          <w:p>
            <w:pPr>
              <w:jc w:val="right"/>
              <w:ind w:right="377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EQUITY (DEFICIT)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40" w:type="dxa"/>
            <w:vAlign w:val="bottom"/>
            <w:gridSpan w:val="4"/>
            <w:vMerge w:val="restart"/>
          </w:tcPr>
          <w:p>
            <w:pPr>
              <w:ind w:left="300"/>
              <w:spacing w:after="0"/>
              <w:rPr>
                <w:sz w:val="20"/>
                <w:szCs w:val="20"/>
                <w:color w:val="auto"/>
              </w:rPr>
            </w:pPr>
            <w:r>
              <w:rPr>
                <w:rFonts w:ascii="Arial" w:cs="Arial" w:eastAsia="Arial" w:hAnsi="Arial"/>
                <w:sz w:val="14"/>
                <w:szCs w:val="14"/>
                <w:color w:val="auto"/>
                <w:w w:val="91"/>
              </w:rPr>
              <w:t>Common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7000" w:type="dxa"/>
            <w:vAlign w:val="bottom"/>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color w:val="auto"/>
                <w:w w:val="92"/>
              </w:rPr>
              <w:t>paid 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7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capital</w:t>
            </w:r>
          </w:p>
        </w:tc>
        <w:tc>
          <w:tcPr>
            <w:tcW w:w="140" w:type="dxa"/>
            <w:vAlign w:val="bottom"/>
          </w:tcPr>
          <w:p>
            <w:pPr>
              <w:spacing w:after="0"/>
              <w:rPr>
                <w:sz w:val="14"/>
                <w:szCs w:val="14"/>
                <w:color w:val="auto"/>
              </w:rPr>
            </w:pPr>
          </w:p>
        </w:tc>
        <w:tc>
          <w:tcPr>
            <w:tcW w:w="940" w:type="dxa"/>
            <w:vAlign w:val="bottom"/>
            <w:gridSpan w:val="2"/>
          </w:tcPr>
          <w:p>
            <w:pPr>
              <w:jc w:val="right"/>
              <w:ind w:right="441"/>
              <w:spacing w:after="0"/>
              <w:rPr>
                <w:sz w:val="20"/>
                <w:szCs w:val="20"/>
                <w:color w:val="auto"/>
              </w:rPr>
            </w:pPr>
            <w:r>
              <w:rPr>
                <w:rFonts w:ascii="Arial" w:cs="Arial" w:eastAsia="Arial" w:hAnsi="Arial"/>
                <w:sz w:val="14"/>
                <w:szCs w:val="14"/>
                <w:color w:val="auto"/>
              </w:rPr>
              <w:t>deficit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4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from related party (See Note 11)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(4,724)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(4,724)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Capital contributions from related party (See Note 11)</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9,595</w:t>
            </w:r>
          </w:p>
        </w:tc>
        <w:tc>
          <w:tcPr>
            <w:tcW w:w="140" w:type="dxa"/>
            <w:vAlign w:val="bottom"/>
          </w:tcPr>
          <w:p>
            <w:pPr>
              <w:spacing w:after="0"/>
              <w:rPr>
                <w:sz w:val="18"/>
                <w:szCs w:val="18"/>
                <w:color w:val="auto"/>
              </w:rPr>
            </w:pPr>
          </w:p>
        </w:tc>
        <w:tc>
          <w:tcPr>
            <w:tcW w:w="94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(6,674)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32,061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(29,806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THERAPEUTICS INC. AND SUBSIDIARY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March 31,</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March 31,</w:t>
            </w:r>
          </w:p>
        </w:tc>
      </w:tr>
      <w:tr>
        <w:trPr>
          <w:trHeight w:val="167"/>
        </w:trPr>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(6,674)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(4,724)</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9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r>
      <w:tr>
        <w:trPr>
          <w:trHeight w:val="216"/>
        </w:trPr>
        <w:tc>
          <w:tcPr>
            <w:tcW w:w="94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(2,524)</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216"/>
        </w:trPr>
        <w:tc>
          <w:tcPr>
            <w:tcW w:w="9400" w:type="dxa"/>
            <w:vAlign w:val="bottom"/>
          </w:tcPr>
          <w:p>
            <w:pPr>
              <w:ind w:left="720"/>
              <w:spacing w:after="0"/>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9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940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7"/>
        </w:trPr>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(8,921)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(5,815)</w:t>
            </w: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Merger transaction costs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 related party—Series A Preferred Unit proceeds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Capital contributions, related party—Series B Bridge Unit proceeds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6,595</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 related party—Second Series B Bridge Unit proceeds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 equivalents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(2,830)</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4,396</w:t>
            </w: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Offering costs included in 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transaction costs included in accounts payable and accrued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leasehold improvements on right-of-use assets included in operating lease liability, current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85" w:name="page86"/>
    <w:bookmarkEnd w:id="85"/>
    <w:p>
      <w:pPr>
        <w:ind w:left="424" w:hanging="424"/>
        <w:spacing w:after="0"/>
        <w:tabs>
          <w:tab w:leader="none" w:pos="4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Nature of the Business and Basis of Presentation</w:t>
      </w:r>
    </w:p>
    <w:p>
      <w:pPr>
        <w:spacing w:after="0" w:line="121" w:lineRule="exact"/>
        <w:rPr>
          <w:sz w:val="20"/>
          <w:szCs w:val="20"/>
          <w:color w:val="auto"/>
        </w:rPr>
      </w:pPr>
    </w:p>
    <w:p>
      <w:pPr>
        <w:ind w:left="444" w:right="60" w:firstLine="423"/>
        <w:spacing w:after="0" w:line="311" w:lineRule="auto"/>
        <w:rPr>
          <w:sz w:val="20"/>
          <w:szCs w:val="20"/>
          <w:color w:val="auto"/>
        </w:rPr>
      </w:pPr>
      <w:r>
        <w:rPr>
          <w:rFonts w:ascii="Arial" w:cs="Arial" w:eastAsia="Arial" w:hAnsi="Arial"/>
          <w:sz w:val="16"/>
          <w:szCs w:val="16"/>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41" w:lineRule="exact"/>
        <w:rPr>
          <w:sz w:val="20"/>
          <w:szCs w:val="20"/>
          <w:color w:val="auto"/>
        </w:rPr>
      </w:pPr>
    </w:p>
    <w:p>
      <w:pPr>
        <w:ind w:left="444" w:right="40" w:firstLine="423"/>
        <w:spacing w:after="0" w:line="291" w:lineRule="auto"/>
        <w:rPr>
          <w:sz w:val="20"/>
          <w:szCs w:val="20"/>
          <w:color w:val="auto"/>
        </w:rPr>
      </w:pPr>
      <w:r>
        <w:rPr>
          <w:rFonts w:ascii="Arial" w:cs="Arial" w:eastAsia="Arial" w:hAnsi="Arial"/>
          <w:sz w:val="16"/>
          <w:szCs w:val="16"/>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10)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or “Chondrial”).</w:t>
      </w:r>
    </w:p>
    <w:p>
      <w:pPr>
        <w:spacing w:after="0" w:line="58" w:lineRule="exact"/>
        <w:rPr>
          <w:sz w:val="20"/>
          <w:szCs w:val="20"/>
          <w:color w:val="auto"/>
        </w:rPr>
      </w:pPr>
    </w:p>
    <w:p>
      <w:pPr>
        <w:ind w:left="444" w:right="20" w:firstLine="423"/>
        <w:spacing w:after="0" w:line="293" w:lineRule="auto"/>
        <w:rPr>
          <w:sz w:val="20"/>
          <w:szCs w:val="20"/>
          <w:color w:val="auto"/>
        </w:rPr>
      </w:pPr>
      <w:r>
        <w:rPr>
          <w:rFonts w:ascii="Arial" w:cs="Arial" w:eastAsia="Arial" w:hAnsi="Arial"/>
          <w:sz w:val="16"/>
          <w:szCs w:val="16"/>
          <w:color w:val="auto"/>
        </w:rPr>
        <w:t>The Company is a clinical stage biopharmaceutical company leveraging its proprietary knowledge to develop a therapeutic treatment for mitochondrial disorders which currently have no cure. The Company has focused on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w:t>
      </w:r>
    </w:p>
    <w:p>
      <w:pPr>
        <w:spacing w:after="0" w:line="56" w:lineRule="exact"/>
        <w:rPr>
          <w:sz w:val="20"/>
          <w:szCs w:val="20"/>
          <w:color w:val="auto"/>
        </w:rPr>
      </w:pPr>
    </w:p>
    <w:p>
      <w:pPr>
        <w:ind w:left="444" w:firstLine="423"/>
        <w:spacing w:after="0" w:line="255" w:lineRule="auto"/>
        <w:rPr>
          <w:sz w:val="20"/>
          <w:szCs w:val="20"/>
          <w:color w:val="auto"/>
        </w:rPr>
      </w:pPr>
      <w:r>
        <w:rPr>
          <w:rFonts w:ascii="Arial" w:cs="Arial" w:eastAsia="Arial" w:hAnsi="Arial"/>
          <w:sz w:val="18"/>
          <w:szCs w:val="18"/>
          <w:color w:val="auto"/>
        </w:rPr>
        <w:t>On October 25, 2019, the FDA informed the Company that it may proceed with its clinical investigation for the treatment of Friedreich’s Ataxia with CTI-1601 and on November 20, 2019, the Company was granted Fast Track Designation for CTI-1601. Fast Track Designation is designed to facilitate the development of, and expedite the review of, drugs to treat serious conditions and fill unmet medical needs, the purpose being to make important new drugs available to patients earlier. On December 5, 2019, the FDA granted the Company designation for CTI-1601 as a drug for a rare pediatric disease, and that same month, the Company dosed its first human patient in its Phase 1 clinical trial (see Note 2 Other Risks and Uncertainties) ..</w:t>
      </w:r>
    </w:p>
    <w:p>
      <w:pPr>
        <w:spacing w:after="0" w:line="84" w:lineRule="exact"/>
        <w:rPr>
          <w:sz w:val="20"/>
          <w:szCs w:val="20"/>
          <w:color w:val="auto"/>
        </w:rPr>
      </w:pPr>
    </w:p>
    <w:p>
      <w:pPr>
        <w:ind w:left="444" w:right="20" w:firstLine="423"/>
        <w:spacing w:after="0" w:line="271" w:lineRule="auto"/>
        <w:rPr>
          <w:sz w:val="20"/>
          <w:szCs w:val="20"/>
          <w:color w:val="auto"/>
        </w:rPr>
      </w:pPr>
      <w:r>
        <w:rPr>
          <w:rFonts w:ascii="Arial" w:cs="Arial" w:eastAsia="Arial" w:hAnsi="Arial"/>
          <w:sz w:val="17"/>
          <w:szCs w:val="17"/>
          <w:color w:val="auto"/>
        </w:rPr>
        <w:t>On December 17, 2019 the Company entered into an Agreement and Plan of Merger (“Merger Agreement”) with Zordich Merger Sub, Inc., (“Merger Sub”) a wholly owned subsidiary of Zafgen, Inc. (“Zafgen”), a publicly traded company on the NASDAQ exchange. Pursuant to the Merger Agreement, the Company will be merged with and into Merger Sub at the effective time of the merger, with the Company continuing after the merger as the surviving company (the “Merger”). Holdings, in its capacity as the sole stockholder of Chondrial Inc., has approved the Merger Agreement by written consent. The Zafgen board of directors unanimously approved the Merger Agreement and the related transactions and the requisite stockholder approval was obtained at the May 28, 2020 Zafgen shareholders meeting. Accordingly, the Merger closed on May 28, 2020 and the combined companies became Larimar Therapeutics, Inc. The Company’s shareholders owned approximately 66% of the outstanding common stock following the Merger (see Note 12).</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86" w:name="page87"/>
    <w:bookmarkEnd w:id="86"/>
    <w:p>
      <w:pPr>
        <w:ind w:left="44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Basis of Presentation</w:t>
      </w:r>
    </w:p>
    <w:p>
      <w:pPr>
        <w:spacing w:after="0" w:line="117" w:lineRule="exact"/>
        <w:rPr>
          <w:sz w:val="20"/>
          <w:szCs w:val="20"/>
          <w:color w:val="auto"/>
        </w:rPr>
      </w:pPr>
    </w:p>
    <w:p>
      <w:pPr>
        <w:ind w:left="444" w:right="520" w:firstLine="423"/>
        <w:spacing w:after="0" w:line="311" w:lineRule="auto"/>
        <w:rPr>
          <w:sz w:val="20"/>
          <w:szCs w:val="20"/>
          <w:color w:val="auto"/>
        </w:rPr>
      </w:pPr>
      <w:r>
        <w:rPr>
          <w:rFonts w:ascii="Arial" w:cs="Arial" w:eastAsia="Arial" w:hAnsi="Arial"/>
          <w:sz w:val="16"/>
          <w:szCs w:val="16"/>
          <w:color w:val="auto"/>
        </w:rPr>
        <w:t>The condensed consolidated financial statements include the accounts of Chondrial Inc. and its wholly owned subsidiary, IP LLC. All intercompany balances and transactions have been eliminated. The accompanying condensed consolidated financial statements have been prepared in conformity with accounting principles generally accepted in the United States of America (“GAAP”).</w:t>
      </w:r>
    </w:p>
    <w:p>
      <w:pPr>
        <w:spacing w:after="0" w:line="257"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444" w:firstLine="423"/>
        <w:spacing w:after="0" w:line="287" w:lineRule="auto"/>
        <w:rPr>
          <w:sz w:val="20"/>
          <w:szCs w:val="20"/>
          <w:color w:val="auto"/>
        </w:rPr>
      </w:pPr>
      <w:r>
        <w:rPr>
          <w:rFonts w:ascii="Arial" w:cs="Arial" w:eastAsia="Arial" w:hAnsi="Arial"/>
          <w:sz w:val="16"/>
          <w:szCs w:val="16"/>
          <w:color w:val="auto"/>
        </w:rPr>
        <w:t>The condensed consolidated balance sheet as of December 31, 2019 was derived from the Company’s audited financial statements, but does not include all disclosures required by GAAP. The accompanying unaudited condensed consolidated financial statements as of March 31, 2020 and for the three months ended March 31,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2019. In the opinion of management, all adjustments, consisting only of normal recurring adjustments necessary for a fair statement of the Company’s condensed consolidated financial position as of March 31, 2020 and condensed consolidated results of operations and cash flows for the three months ended March 31, 2020 and 2019 have been made. The results of operations for the three months ended March 31, 2020 are not necessarily indicative of the results of operations that may be expected for the year ending December 31, 2020.</w:t>
      </w:r>
    </w:p>
    <w:p>
      <w:pPr>
        <w:spacing w:after="0" w:line="316" w:lineRule="exact"/>
        <w:rPr>
          <w:sz w:val="20"/>
          <w:szCs w:val="20"/>
          <w:color w:val="auto"/>
        </w:rPr>
      </w:pPr>
    </w:p>
    <w:p>
      <w:pPr>
        <w:ind w:left="444" w:right="7140" w:hanging="444"/>
        <w:spacing w:after="0" w:line="378" w:lineRule="auto"/>
        <w:tabs>
          <w:tab w:leader="none" w:pos="4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and Other Risks and Uncertainties </w:t>
      </w:r>
      <w:r>
        <w:rPr>
          <w:rFonts w:ascii="Arial" w:cs="Arial" w:eastAsia="Arial" w:hAnsi="Arial"/>
          <w:sz w:val="18"/>
          <w:szCs w:val="18"/>
          <w:i w:val="1"/>
          <w:iCs w:val="1"/>
          <w:color w:val="auto"/>
        </w:rPr>
        <w:t>Liquidity</w:t>
      </w:r>
    </w:p>
    <w:p>
      <w:pPr>
        <w:ind w:left="444" w:right="240" w:firstLine="423"/>
        <w:spacing w:after="0" w:line="342"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within one year after the date that the condensed consolidated financial statements are issued.</w:t>
      </w:r>
    </w:p>
    <w:p>
      <w:pPr>
        <w:spacing w:after="0" w:line="16" w:lineRule="exact"/>
        <w:rPr>
          <w:sz w:val="20"/>
          <w:szCs w:val="20"/>
          <w:color w:val="auto"/>
        </w:rPr>
      </w:pPr>
    </w:p>
    <w:p>
      <w:pPr>
        <w:ind w:left="444" w:right="100" w:firstLine="423"/>
        <w:spacing w:after="0" w:line="275" w:lineRule="auto"/>
        <w:rPr>
          <w:sz w:val="20"/>
          <w:szCs w:val="20"/>
          <w:color w:val="auto"/>
        </w:rPr>
      </w:pPr>
      <w:r>
        <w:rPr>
          <w:rFonts w:ascii="Arial" w:cs="Arial" w:eastAsia="Arial" w:hAnsi="Arial"/>
          <w:sz w:val="17"/>
          <w:szCs w:val="17"/>
          <w:color w:val="auto"/>
        </w:rPr>
        <w:t>From its inception through March 31, 2020,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The Company has incurred recurring losses since its inception, including net losses of $6.7 million and $4.7 million during the three months ended March 31, 2020 and 2019, respectively. In addition, as of March 31, 2020, the Company had an accumulated deficit of $29.8 million.</w:t>
      </w:r>
    </w:p>
    <w:p>
      <w:pPr>
        <w:spacing w:after="0" w:line="68" w:lineRule="exact"/>
        <w:rPr>
          <w:sz w:val="20"/>
          <w:szCs w:val="20"/>
          <w:color w:val="auto"/>
        </w:rPr>
      </w:pPr>
    </w:p>
    <w:p>
      <w:pPr>
        <w:ind w:left="444" w:right="80" w:firstLine="423"/>
        <w:spacing w:after="0" w:line="255" w:lineRule="auto"/>
        <w:rPr>
          <w:sz w:val="20"/>
          <w:szCs w:val="20"/>
          <w:color w:val="auto"/>
        </w:rPr>
      </w:pPr>
      <w:r>
        <w:rPr>
          <w:rFonts w:ascii="Arial" w:cs="Arial" w:eastAsia="Arial" w:hAnsi="Arial"/>
          <w:sz w:val="18"/>
          <w:szCs w:val="18"/>
          <w:color w:val="auto"/>
        </w:rPr>
        <w:t>The Company expects to continue to generate operating losses for the foreseeable future. The additional funding through Holding’s Second Series B Bridge Unit Purchase Agreement entered into in January 2020 (see Note 11) funded operations until the completion of the Merger. The Merger was completed on May 28, 2020 which, upon closing, provided incremental net cash of approximately $40.0 million concurrent with a private placement which provided additional net proceeds of $75.5 million (see Notes 1 and 12). The Company believes that, based on its current operating plan, its cash, cash equivalents and marketable securities as of the filing date will enable it to fund operations for at least twelve months from the issuance of these interim financial statements.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7" w:name="page88"/>
    <w:bookmarkEnd w:id="87"/>
    <w:p>
      <w:pPr>
        <w:ind w:left="444" w:right="80" w:firstLine="42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Until such time, if ever, as the Company can generate substantial revenue, the Company expects to seek additional funding through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additional funding, the Company will be forced to delay, reduce or eliminate some or all of its research and development programs, product portfolio expansion or commercialization efforts, which would adversely affect its business, or the Company may be unable to continue operations.</w:t>
      </w:r>
    </w:p>
    <w:p>
      <w:pPr>
        <w:spacing w:after="0" w:line="28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Other Risks and Uncertainties</w:t>
      </w:r>
    </w:p>
    <w:p>
      <w:pPr>
        <w:spacing w:after="0" w:line="117" w:lineRule="exact"/>
        <w:rPr>
          <w:sz w:val="20"/>
          <w:szCs w:val="20"/>
          <w:color w:val="auto"/>
        </w:rPr>
      </w:pPr>
    </w:p>
    <w:p>
      <w:pPr>
        <w:ind w:left="444" w:firstLine="423"/>
        <w:spacing w:after="0" w:line="253" w:lineRule="auto"/>
        <w:rPr>
          <w:sz w:val="20"/>
          <w:szCs w:val="20"/>
          <w:color w:val="auto"/>
        </w:rPr>
      </w:pPr>
      <w:r>
        <w:rPr>
          <w:rFonts w:ascii="Arial" w:cs="Arial" w:eastAsia="Arial" w:hAnsi="Arial"/>
          <w:sz w:val="18"/>
          <w:szCs w:val="18"/>
          <w:color w:val="auto"/>
        </w:rPr>
        <w:t>The Company is currently evaluating CTI-1601 in a single ascending dose (referred to as “SAD”) Phase 1 clinical trial in patients with Friedreich’s Ataxia. The first two cohorts of patients have completed the SAD clinical trial; however, due to the continued impact of coronavirus (referred to as “COVID-19”), the Company has delayed initiation of the next cohort in the SAD clinical trial. The Company is conducting the clinical trial at one clinical trial site.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the Company’s clinical trial site for dosing. Due to the uncertainty surrounding COVID-19, the Company cannot estimate when the next cohort of patients will begin the clinical trial. While top line results from the SAD and the planned multiple ascending dose (referred to as “MAD”) clinical trials were originally expected by the end of 2020, the delay in the clinical trial timeline caused by the ongoing impact of COVID-19 resulted in top line results being expected in the first half of 2021.</w:t>
      </w:r>
    </w:p>
    <w:p>
      <w:pPr>
        <w:spacing w:after="0" w:line="339" w:lineRule="exact"/>
        <w:rPr>
          <w:sz w:val="20"/>
          <w:szCs w:val="20"/>
          <w:color w:val="auto"/>
        </w:rPr>
      </w:pPr>
    </w:p>
    <w:p>
      <w:pPr>
        <w:ind w:left="444" w:right="7200" w:hanging="444"/>
        <w:spacing w:after="0" w:line="377" w:lineRule="auto"/>
        <w:tabs>
          <w:tab w:leader="none" w:pos="43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2" w:lineRule="exact"/>
        <w:rPr>
          <w:sz w:val="20"/>
          <w:szCs w:val="20"/>
          <w:color w:val="auto"/>
        </w:rPr>
      </w:pPr>
    </w:p>
    <w:p>
      <w:pPr>
        <w:ind w:left="444" w:right="140" w:firstLine="42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valuation of stock-based awards. Actual results could differ from those estimates.</w:t>
      </w:r>
    </w:p>
    <w:p>
      <w:pPr>
        <w:spacing w:after="0" w:line="296"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left="444" w:right="60" w:firstLine="423"/>
        <w:spacing w:after="0" w:line="273"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Measurement of Credit Losses on Financial Instruments</w:t>
      </w:r>
      <w:r>
        <w:rPr>
          <w:rFonts w:ascii="Arial" w:cs="Arial" w:eastAsia="Arial" w:hAnsi="Arial"/>
          <w:sz w:val="17"/>
          <w:szCs w:val="17"/>
          <w:color w:val="auto"/>
        </w:rPr>
        <w:t>. The FASB subsequently issued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ASU 2016-13. This standard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8" w:name="page89"/>
    <w:bookmarkEnd w:id="88"/>
    <w:p>
      <w:pPr>
        <w:ind w:left="44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79" w:lineRule="exact"/>
        <w:rPr>
          <w:sz w:val="20"/>
          <w:szCs w:val="20"/>
          <w:color w:val="auto"/>
        </w:rPr>
      </w:pPr>
    </w:p>
    <w:p>
      <w:pPr>
        <w:ind w:left="444" w:right="200" w:firstLine="423"/>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This standard modifies certain disclosure requirements on fair value measurements.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became effective for the Company on January 1, 2020. The adoption of this standard did not have a material impact on the Company’s disclosures.</w:t>
      </w:r>
    </w:p>
    <w:p>
      <w:pPr>
        <w:spacing w:after="0" w:line="88"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44" w:firstLine="423"/>
        <w:spacing w:after="0" w:line="301" w:lineRule="auto"/>
        <w:rPr>
          <w:sz w:val="20"/>
          <w:szCs w:val="20"/>
          <w:color w:val="auto"/>
        </w:rPr>
      </w:pPr>
      <w:r>
        <w:rPr>
          <w:rFonts w:ascii="Arial" w:cs="Arial" w:eastAsia="Arial" w:hAnsi="Arial"/>
          <w:sz w:val="16"/>
          <w:szCs w:val="16"/>
          <w:color w:val="auto"/>
        </w:rPr>
        <w:t xml:space="preserve">The Company’s assets and liabilities that are measured at fair value on a recurring basis as of March 31, 2020 and December 31, 2019 are measured in accordance with the standards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184" w:lineRule="exact"/>
        <w:rPr>
          <w:sz w:val="20"/>
          <w:szCs w:val="20"/>
          <w:color w:val="auto"/>
        </w:rPr>
      </w:pPr>
    </w:p>
    <w:p>
      <w:pPr>
        <w:ind w:left="444"/>
        <w:spacing w:after="0"/>
        <w:tabs>
          <w:tab w:leader="none" w:pos="1284" w:val="left"/>
        </w:tabs>
        <w:rPr>
          <w:sz w:val="20"/>
          <w:szCs w:val="20"/>
          <w:color w:val="auto"/>
        </w:rPr>
      </w:pPr>
      <w:r>
        <w:rPr>
          <w:rFonts w:ascii="Arial" w:cs="Arial" w:eastAsia="Arial" w:hAnsi="Arial"/>
          <w:sz w:val="18"/>
          <w:szCs w:val="18"/>
          <w:color w:val="auto"/>
        </w:rPr>
        <w:t>Level – 1</w:t>
      </w:r>
      <w:r>
        <w:rPr>
          <w:sz w:val="20"/>
          <w:szCs w:val="20"/>
          <w:color w:val="auto"/>
        </w:rPr>
        <w:tab/>
      </w:r>
      <w:r>
        <w:rPr>
          <w:rFonts w:ascii="Arial" w:cs="Arial" w:eastAsia="Arial" w:hAnsi="Arial"/>
          <w:sz w:val="16"/>
          <w:szCs w:val="16"/>
          <w:color w:val="auto"/>
        </w:rPr>
        <w:t>Inputs to the valuation methodology are quoted prices (unadjusted) for identical assets or liabilities in active markets.</w:t>
      </w:r>
    </w:p>
    <w:p>
      <w:pPr>
        <w:spacing w:after="0" w:line="117" w:lineRule="exact"/>
        <w:rPr>
          <w:sz w:val="20"/>
          <w:szCs w:val="20"/>
          <w:color w:val="auto"/>
        </w:rPr>
      </w:pPr>
    </w:p>
    <w:p>
      <w:pPr>
        <w:ind w:left="1304" w:right="520" w:hanging="850"/>
        <w:spacing w:after="0" w:line="342" w:lineRule="auto"/>
        <w:tabs>
          <w:tab w:leader="none" w:pos="1284" w:val="left"/>
        </w:tabs>
        <w:rPr>
          <w:sz w:val="20"/>
          <w:szCs w:val="20"/>
          <w:color w:val="auto"/>
        </w:rPr>
      </w:pPr>
      <w:r>
        <w:rPr>
          <w:rFonts w:ascii="Arial" w:cs="Arial" w:eastAsia="Arial" w:hAnsi="Arial"/>
          <w:sz w:val="18"/>
          <w:szCs w:val="18"/>
          <w:color w:val="auto"/>
        </w:rPr>
        <w:t>Level – 2</w:t>
      </w:r>
      <w:r>
        <w:rPr>
          <w:sz w:val="20"/>
          <w:szCs w:val="20"/>
          <w:color w:val="auto"/>
        </w:rPr>
        <w:tab/>
      </w: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6" w:lineRule="exact"/>
        <w:rPr>
          <w:sz w:val="20"/>
          <w:szCs w:val="20"/>
          <w:color w:val="auto"/>
        </w:rPr>
      </w:pPr>
    </w:p>
    <w:p>
      <w:pPr>
        <w:ind w:left="444"/>
        <w:spacing w:after="0"/>
        <w:tabs>
          <w:tab w:leader="none" w:pos="1284"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117" w:lineRule="exact"/>
        <w:rPr>
          <w:sz w:val="20"/>
          <w:szCs w:val="20"/>
          <w:color w:val="auto"/>
        </w:rPr>
      </w:pPr>
    </w:p>
    <w:p>
      <w:pPr>
        <w:ind w:left="444" w:right="180" w:firstLine="423"/>
        <w:spacing w:after="0" w:line="308" w:lineRule="auto"/>
        <w:rPr>
          <w:sz w:val="20"/>
          <w:szCs w:val="20"/>
          <w:color w:val="auto"/>
        </w:rPr>
      </w:pPr>
      <w:r>
        <w:rPr>
          <w:rFonts w:ascii="Arial" w:cs="Arial" w:eastAsia="Arial" w:hAnsi="Arial"/>
          <w:sz w:val="17"/>
          <w:szCs w:val="17"/>
          <w:color w:val="auto"/>
        </w:rPr>
        <w:t>The Company’s cash is carried at fair value and is comprised of a checking account and money market account which totaled $0.9 million and $1.0 million at March 31, 2020 and December 31, 2019, respectively, and are classified as Level 1 investments.</w:t>
      </w:r>
    </w:p>
    <w:p>
      <w:pPr>
        <w:spacing w:after="0" w:line="38" w:lineRule="exact"/>
        <w:rPr>
          <w:sz w:val="20"/>
          <w:szCs w:val="20"/>
          <w:color w:val="auto"/>
        </w:rPr>
      </w:pPr>
    </w:p>
    <w:p>
      <w:pPr>
        <w:jc w:val="both"/>
        <w:ind w:left="444" w:right="20" w:firstLine="423"/>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March 31, 2020 and December 31, 2019 were considered representative of their fair values due to their short term to maturity.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89" w:name="page90"/>
    <w:bookmarkEnd w:id="89"/>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Prepaid Expenses and Other Current Assets</w:t>
      </w:r>
    </w:p>
    <w:p>
      <w:pPr>
        <w:spacing w:after="0" w:line="121" w:lineRule="exact"/>
        <w:rPr>
          <w:sz w:val="20"/>
          <w:szCs w:val="20"/>
          <w:color w:val="auto"/>
        </w:rPr>
      </w:pPr>
    </w:p>
    <w:p>
      <w:pPr>
        <w:ind w:left="864"/>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ind w:left="480"/>
              <w:spacing w:after="0" w:line="142" w:lineRule="exact"/>
              <w:rPr>
                <w:sz w:val="20"/>
                <w:szCs w:val="20"/>
                <w:color w:val="auto"/>
              </w:rPr>
            </w:pPr>
            <w:r>
              <w:rPr>
                <w:rFonts w:ascii="Arial" w:cs="Arial" w:eastAsia="Arial" w:hAnsi="Arial"/>
                <w:sz w:val="14"/>
                <w:szCs w:val="14"/>
                <w:color w:val="auto"/>
                <w:w w:val="91"/>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1,364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current assets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14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23"/>
        </w:trPr>
        <w:tc>
          <w:tcPr>
            <w:tcW w:w="6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firstLine="423"/>
        <w:spacing w:after="0" w:line="286" w:lineRule="auto"/>
        <w:rPr>
          <w:sz w:val="20"/>
          <w:szCs w:val="20"/>
          <w:color w:val="auto"/>
        </w:rPr>
      </w:pPr>
      <w:r>
        <w:rPr>
          <w:rFonts w:ascii="Arial" w:cs="Arial" w:eastAsia="Arial" w:hAnsi="Arial"/>
          <w:sz w:val="17"/>
          <w:szCs w:val="17"/>
          <w:color w:val="auto"/>
        </w:rPr>
        <w:t>Capitalized transaction costs as of March 31, 2020 and December 31, 2019, consists of capitalized legal and proxy fees incurred by the Company, related to the Merger. These costs will be included in the purchase price allocation when accounting for the Merger. In the event the Merger Agreement is terminated, such costs will be expensed in the period in which such termination occurs.</w:t>
      </w:r>
    </w:p>
    <w:p>
      <w:pPr>
        <w:spacing w:after="0" w:line="310"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net</w:t>
      </w:r>
    </w:p>
    <w:p>
      <w:pPr>
        <w:spacing w:after="0" w:line="121"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Fixed assets, net consisted of the following:</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March 31,</w:t>
            </w:r>
          </w:p>
        </w:tc>
        <w:tc>
          <w:tcPr>
            <w:tcW w:w="116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67"/>
        </w:trPr>
        <w:tc>
          <w:tcPr>
            <w:tcW w:w="4180" w:type="dxa"/>
            <w:vAlign w:val="bottom"/>
          </w:tcPr>
          <w:p>
            <w:pPr>
              <w:spacing w:after="0"/>
              <w:rPr>
                <w:sz w:val="14"/>
                <w:szCs w:val="14"/>
                <w:color w:val="auto"/>
              </w:rPr>
            </w:pPr>
          </w:p>
        </w:tc>
        <w:tc>
          <w:tcPr>
            <w:tcW w:w="3040" w:type="dxa"/>
            <w:vAlign w:val="bottom"/>
            <w:gridSpan w:val="3"/>
          </w:tcPr>
          <w:p>
            <w:pPr>
              <w:jc w:val="right"/>
              <w:ind w:right="540"/>
              <w:spacing w:after="0"/>
              <w:rPr>
                <w:sz w:val="20"/>
                <w:szCs w:val="20"/>
                <w:color w:val="auto"/>
              </w:rPr>
            </w:pPr>
            <w:r>
              <w:rPr>
                <w:rFonts w:ascii="Arial" w:cs="Arial" w:eastAsia="Arial" w:hAnsi="Arial"/>
                <w:sz w:val="14"/>
                <w:szCs w:val="14"/>
                <w:color w:val="auto"/>
              </w:rPr>
              <w:t>Useful Life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color w:val="auto"/>
                <w:w w:val="96"/>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53"/>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 years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Lab equipment</w:t>
            </w:r>
          </w:p>
        </w:tc>
        <w:tc>
          <w:tcPr>
            <w:tcW w:w="18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223"/>
        </w:trPr>
        <w:tc>
          <w:tcPr>
            <w:tcW w:w="4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Depreciation expense during the three months ended March 31, 2020 and 2019 were less than $0.1 million.</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04"/>
          </w:cols>
          <w:pgMar w:left="436" w:top="270" w:right="759" w:bottom="1440" w:gutter="0" w:footer="0" w:header="0"/>
        </w:sectPr>
      </w:pPr>
    </w:p>
    <w:bookmarkStart w:id="90" w:name="page91"/>
    <w:bookmarkEnd w:id="90"/>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Accrued Expenses</w:t>
      </w:r>
    </w:p>
    <w:p>
      <w:pPr>
        <w:spacing w:after="0" w:line="121"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480"/>
              <w:spacing w:after="0" w:line="142" w:lineRule="exact"/>
              <w:rPr>
                <w:sz w:val="20"/>
                <w:szCs w:val="20"/>
                <w:color w:val="auto"/>
              </w:rPr>
            </w:pPr>
            <w:r>
              <w:rPr>
                <w:rFonts w:ascii="Arial" w:cs="Arial" w:eastAsia="Arial" w:hAnsi="Arial"/>
                <w:sz w:val="14"/>
                <w:szCs w:val="14"/>
                <w:color w:val="auto"/>
                <w:w w:val="91"/>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 research and development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expenses – professional services</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444" w:right="460" w:firstLine="423"/>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See Note 11 for related party transactions and capital contributions associated with Holdings funding of the Company.</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left="444" w:firstLine="423"/>
        <w:spacing w:after="0" w:line="291" w:lineRule="auto"/>
        <w:rPr>
          <w:sz w:val="20"/>
          <w:szCs w:val="20"/>
          <w:color w:val="auto"/>
        </w:rPr>
      </w:pPr>
      <w:r>
        <w:rPr>
          <w:rFonts w:ascii="Arial" w:cs="Arial" w:eastAsia="Arial" w:hAnsi="Arial"/>
          <w:sz w:val="16"/>
          <w:szCs w:val="16"/>
          <w:color w:val="auto"/>
        </w:rPr>
        <w:t xml:space="preserve">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 compensation expense of less than $0.1 million on a graded vesting basis in research and development expense during each of the three months ended March 31, 2020 and March 31, 2019. As of March 31, 2020, the Company expects to recognize less than $0.1 million over the remaining eight month vesting period. In accordance with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Company has recorded costs incurred as stock-based compensation with a corresponding capital contribution from Holdings as such employees are working on behalf of the Company.</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left="444" w:right="80" w:firstLine="423"/>
        <w:spacing w:after="0" w:line="275" w:lineRule="auto"/>
        <w:rPr>
          <w:sz w:val="20"/>
          <w:szCs w:val="20"/>
          <w:color w:val="auto"/>
        </w:rPr>
      </w:pPr>
      <w:r>
        <w:rPr>
          <w:rFonts w:ascii="Arial" w:cs="Arial" w:eastAsia="Arial" w:hAnsi="Arial"/>
          <w:sz w:val="17"/>
          <w:szCs w:val="17"/>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68" w:lineRule="exact"/>
        <w:rPr>
          <w:sz w:val="20"/>
          <w:szCs w:val="20"/>
          <w:color w:val="auto"/>
        </w:rPr>
      </w:pPr>
    </w:p>
    <w:p>
      <w:pPr>
        <w:ind w:left="444" w:right="260" w:firstLine="423"/>
        <w:spacing w:after="0" w:line="277" w:lineRule="auto"/>
        <w:rPr>
          <w:sz w:val="20"/>
          <w:szCs w:val="20"/>
          <w:color w:val="auto"/>
        </w:rPr>
      </w:pPr>
      <w:r>
        <w:rPr>
          <w:rFonts w:ascii="Arial" w:cs="Arial" w:eastAsia="Arial" w:hAnsi="Arial"/>
          <w:sz w:val="18"/>
          <w:szCs w:val="18"/>
          <w:color w:val="auto"/>
        </w:rPr>
        <w:t>During the three months ended March 31, 2020 and 2019, Holdings did not issue options to purchase Common Units to employees of the Company.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91" w:name="page92"/>
    <w:bookmarkEnd w:id="91"/>
    <w:p>
      <w:pPr>
        <w:ind w:left="444" w:right="3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recorded costs incurred as stock-based compensation with a corresponding capital contribution from Holdings. Total stock-based expense associated with Common Unit options and restricted Common Units was reflected in the Statement of Operations and consisted of the follow:</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6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right"/>
              <w:ind w:right="8"/>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380" w:firstLine="423"/>
        <w:spacing w:after="0" w:line="277" w:lineRule="auto"/>
        <w:rPr>
          <w:sz w:val="20"/>
          <w:szCs w:val="20"/>
          <w:color w:val="auto"/>
        </w:rPr>
      </w:pPr>
      <w:r>
        <w:rPr>
          <w:rFonts w:ascii="Arial" w:cs="Arial" w:eastAsia="Arial" w:hAnsi="Arial"/>
          <w:sz w:val="18"/>
          <w:szCs w:val="18"/>
          <w:color w:val="auto"/>
        </w:rPr>
        <w:t>Unrecognized compensation expense related to non-vested employee Common Unit options was less than $0.1 million as of March 31, 2020. Such compensation expense is expected to be recognized over a weighted-average period of 1.5 years.</w:t>
      </w:r>
    </w:p>
    <w:p>
      <w:pPr>
        <w:spacing w:after="0" w:line="315"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left="444" w:firstLine="423"/>
        <w:spacing w:after="0" w:line="263" w:lineRule="auto"/>
        <w:rPr>
          <w:sz w:val="20"/>
          <w:szCs w:val="20"/>
          <w:color w:val="auto"/>
        </w:rPr>
      </w:pPr>
      <w:r>
        <w:rPr>
          <w:rFonts w:ascii="Arial" w:cs="Arial" w:eastAsia="Arial" w:hAnsi="Arial"/>
          <w:sz w:val="18"/>
          <w:szCs w:val="18"/>
          <w:color w:val="auto"/>
        </w:rPr>
        <w:t>Effective January 1, 2019, the Company adopted the Chondrial Therapeutics, Inc. 401(k) Plan (the “Chondrial 401(k)”).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76" w:lineRule="exact"/>
        <w:rPr>
          <w:sz w:val="20"/>
          <w:szCs w:val="20"/>
          <w:color w:val="auto"/>
        </w:rPr>
      </w:pPr>
    </w:p>
    <w:p>
      <w:pPr>
        <w:ind w:left="444" w:right="740" w:firstLine="423"/>
        <w:spacing w:after="0" w:line="277" w:lineRule="auto"/>
        <w:rPr>
          <w:sz w:val="20"/>
          <w:szCs w:val="20"/>
          <w:color w:val="auto"/>
        </w:rPr>
      </w:pPr>
      <w:r>
        <w:rPr>
          <w:rFonts w:ascii="Arial" w:cs="Arial" w:eastAsia="Arial" w:hAnsi="Arial"/>
          <w:sz w:val="18"/>
          <w:szCs w:val="18"/>
          <w:color w:val="auto"/>
        </w:rPr>
        <w:t>During the three months ended March 31, 2020 and 2019, the Company recognized less than $0.1 million of expense related to its contributions.</w:t>
      </w:r>
    </w:p>
    <w:p>
      <w:pPr>
        <w:spacing w:after="0" w:line="315"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left="444" w:right="120" w:firstLine="423"/>
        <w:spacing w:after="0" w:line="296" w:lineRule="auto"/>
        <w:rPr>
          <w:sz w:val="20"/>
          <w:szCs w:val="20"/>
          <w:color w:val="auto"/>
        </w:rPr>
      </w:pPr>
      <w:r>
        <w:rPr>
          <w:rFonts w:ascii="Arial" w:cs="Arial" w:eastAsia="Arial" w:hAnsi="Arial"/>
          <w:sz w:val="16"/>
          <w:szCs w:val="16"/>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53" w:lineRule="exact"/>
        <w:rPr>
          <w:sz w:val="20"/>
          <w:szCs w:val="20"/>
          <w:color w:val="auto"/>
        </w:rPr>
      </w:pPr>
    </w:p>
    <w:p>
      <w:pPr>
        <w:ind w:left="444" w:firstLine="423"/>
        <w:spacing w:after="0" w:line="254" w:lineRule="auto"/>
        <w:rPr>
          <w:sz w:val="20"/>
          <w:szCs w:val="20"/>
          <w:color w:val="auto"/>
        </w:rPr>
      </w:pPr>
      <w:r>
        <w:rPr>
          <w:rFonts w:ascii="Arial" w:cs="Arial" w:eastAsia="Arial" w:hAnsi="Arial"/>
          <w:sz w:val="18"/>
          <w:szCs w:val="18"/>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 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w:t>
      </w:r>
    </w:p>
    <w:p>
      <w:pPr>
        <w:spacing w:after="0" w:line="87" w:lineRule="exact"/>
        <w:rPr>
          <w:sz w:val="20"/>
          <w:szCs w:val="20"/>
          <w:color w:val="auto"/>
        </w:rPr>
      </w:pPr>
    </w:p>
    <w:p>
      <w:pPr>
        <w:jc w:val="both"/>
        <w:ind w:left="444" w:right="300" w:firstLine="423"/>
        <w:spacing w:after="0" w:line="263" w:lineRule="auto"/>
        <w:rPr>
          <w:sz w:val="20"/>
          <w:szCs w:val="20"/>
          <w:color w:val="auto"/>
        </w:rPr>
      </w:pPr>
      <w:r>
        <w:rPr>
          <w:rFonts w:ascii="Arial" w:cs="Arial" w:eastAsia="Arial" w:hAnsi="Arial"/>
          <w:sz w:val="18"/>
          <w:szCs w:val="18"/>
          <w:color w:val="auto"/>
        </w:rPr>
        <w:t>Pursuant to the terms of the Option Agreement, upon exercise of the Option and the entering into formal License Agreements, Holdings issued 14,622 Common Units to WFUHS and 3,647 Common Units to IURTC. In partial consideration for the right and license granted under these agreements, the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92" w:name="page93"/>
    <w:bookmarkEnd w:id="92"/>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 commencing on the enrollment of the first patient in a Phase 1 clinical trial. The Company will also pay each of WFUHS and IURTC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IURTC for patent-related expenses. In the event that the Company disputes the validity of any of the licensed patents, the royalty rate would be tripled during such dispute.</w:t>
      </w:r>
    </w:p>
    <w:p>
      <w:pPr>
        <w:spacing w:after="0" w:line="70" w:lineRule="exact"/>
        <w:rPr>
          <w:sz w:val="20"/>
          <w:szCs w:val="20"/>
          <w:color w:val="auto"/>
        </w:rPr>
      </w:pPr>
    </w:p>
    <w:p>
      <w:pPr>
        <w:ind w:right="40" w:firstLine="423"/>
        <w:spacing w:after="0" w:line="259"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 In the event that the Company is required to pay WFUHS consideration, then the Company may deduct 60% of such WFUHS consideration on a dollar-for-dollar basis from the consideration due to IURTC, as amended on August 16, 2019, as described below.</w:t>
      </w:r>
    </w:p>
    <w:p>
      <w:pPr>
        <w:spacing w:after="0" w:line="79" w:lineRule="exact"/>
        <w:rPr>
          <w:sz w:val="20"/>
          <w:szCs w:val="20"/>
          <w:color w:val="auto"/>
        </w:rPr>
      </w:pPr>
    </w:p>
    <w:p>
      <w:pPr>
        <w:ind w:firstLine="423"/>
        <w:spacing w:after="0" w:line="290" w:lineRule="auto"/>
        <w:rPr>
          <w:sz w:val="20"/>
          <w:szCs w:val="20"/>
          <w:color w:val="auto"/>
        </w:rPr>
      </w:pPr>
      <w:r>
        <w:rPr>
          <w:rFonts w:ascii="Arial" w:cs="Arial" w:eastAsia="Arial" w:hAnsi="Arial"/>
          <w:sz w:val="16"/>
          <w:szCs w:val="16"/>
          <w:color w:val="auto"/>
        </w:rPr>
        <w:t>In December 2019, the Company recognized milestone expenses of less than $0.1 million, after taking into account the potential deductions indicated above. During the three months ended March 31, 2020 and 2019, no milestones were achieved and no expense was recognized. 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w:t>
      </w:r>
    </w:p>
    <w:p>
      <w:pPr>
        <w:spacing w:after="0" w:line="57" w:lineRule="exact"/>
        <w:rPr>
          <w:sz w:val="20"/>
          <w:szCs w:val="20"/>
          <w:color w:val="auto"/>
        </w:rPr>
      </w:pPr>
    </w:p>
    <w:p>
      <w:pPr>
        <w:ind w:right="380" w:firstLine="423"/>
        <w:spacing w:after="0" w:line="279" w:lineRule="auto"/>
        <w:rPr>
          <w:sz w:val="20"/>
          <w:szCs w:val="20"/>
          <w:color w:val="auto"/>
        </w:rPr>
      </w:pPr>
      <w:r>
        <w:rPr>
          <w:rFonts w:ascii="Arial" w:cs="Arial" w:eastAsia="Arial" w:hAnsi="Arial"/>
          <w:sz w:val="17"/>
          <w:szCs w:val="17"/>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63" w:lineRule="exact"/>
        <w:rPr>
          <w:sz w:val="20"/>
          <w:szCs w:val="20"/>
          <w:color w:val="auto"/>
        </w:rPr>
      </w:pPr>
    </w:p>
    <w:p>
      <w:pPr>
        <w:ind w:right="20" w:firstLine="423"/>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93" w:name="page94"/>
    <w:bookmarkEnd w:id="93"/>
    <w:p>
      <w:pPr>
        <w:ind w:right="16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79"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less than $0.1 million per annum starting the 2020 calendar year for the term of the agreement. During the three months ended March 31, 2020 and 2019, no expense was recognized in relation to the first amendment of its license agreement. Pursuant to amendments to extend these dates, the Company is in compliance with each of the above noted requirements as of March 31,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8, 2019, the Company entered into an operating lease for office space in Bala Cynwyd, Pennsylvania, effective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2019 for a period of three years and six months with an option to extend the lease for three additional years. Due to required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to be completed by the landlord, the Company did not take possession of the leased property and the lease term commenced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2020. In the quarter ended March 31, 2020, the Company recorded operating lease right-of-use asset and operating lease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$0.4 million.</w:t>
      </w:r>
    </w:p>
    <w:p>
      <w:pPr>
        <w:spacing w:after="0" w:line="103"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w:t>
      </w:r>
    </w:p>
    <w:p>
      <w:pPr>
        <w:spacing w:after="0" w:line="62" w:lineRule="exact"/>
        <w:rPr>
          <w:sz w:val="20"/>
          <w:szCs w:val="20"/>
          <w:color w:val="auto"/>
        </w:rPr>
      </w:pPr>
    </w:p>
    <w:p>
      <w:pPr>
        <w:ind w:right="40" w:firstLine="423"/>
        <w:spacing w:after="0" w:line="259" w:lineRule="auto"/>
        <w:rPr>
          <w:sz w:val="20"/>
          <w:szCs w:val="20"/>
          <w:color w:val="auto"/>
        </w:rPr>
      </w:pPr>
      <w:r>
        <w:rPr>
          <w:rFonts w:ascii="Arial" w:cs="Arial" w:eastAsia="Arial" w:hAnsi="Arial"/>
          <w:sz w:val="18"/>
          <w:szCs w:val="18"/>
          <w:color w:val="auto"/>
        </w:rPr>
        <w:t>Expense arising from operating leases were less than $0.1 million during the three-month periods ended March 31, 2020 and March 31, 2019. For operating leases, the weighted-average remaining lease term for leases at March 31, 2020 and December 31, 2019 was 3.05 and 3.30 years, respectively. For operating leases, the weighted average discount rate for leases at March 31, 2020 and December 31, 2019 was 12.0%. The Company has not entered into any financing leases.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94" w:name="page95"/>
    <w:bookmarkEnd w:id="94"/>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Maturities of lease liabilities due under these lease agreements as of March 31, 2020 are as follows: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2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 thousands)</w:t>
            </w: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2020 (April – December)</w:t>
            </w:r>
          </w:p>
        </w:tc>
        <w:tc>
          <w:tcPr>
            <w:tcW w:w="1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2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7"/>
        </w:trPr>
        <w:tc>
          <w:tcPr>
            <w:tcW w:w="1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Present value of lease liabilities</w:t>
            </w:r>
          </w:p>
        </w:tc>
        <w:tc>
          <w:tcPr>
            <w:tcW w:w="22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0"/>
        </w:trPr>
        <w:tc>
          <w:tcPr>
            <w:tcW w:w="1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ind w:left="440" w:firstLine="423"/>
        <w:spacing w:after="0" w:line="290" w:lineRule="auto"/>
        <w:rPr>
          <w:sz w:val="20"/>
          <w:szCs w:val="20"/>
          <w:color w:val="auto"/>
        </w:rPr>
      </w:pPr>
      <w:r>
        <w:rPr>
          <w:rFonts w:ascii="Arial" w:cs="Arial" w:eastAsia="Arial" w:hAnsi="Arial"/>
          <w:sz w:val="16"/>
          <w:szCs w:val="16"/>
          <w:color w:val="auto"/>
        </w:rPr>
        <w:t>In November 2016, the Company entered into a consulting agreement with R. Mark Payne, M.D. to serve in the capacity of Chief Scientific Officer. Dr. Payne was a director of the Company at that time, a full-time employee of IU and one of the inventors of the licensed IU intellectual property, and as such is entitled to a certain share of the revenues received by IU under the IURTC License. Pursuant to the terms of his consulting agreement the Company agreed to pay Dr. Payne $0.1 million per year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four-year term, subject to earlier termination. During the three months ended March 31, 2020 and March 31, 2019, the Company recognized less than $0.1 million, related to this consulting agreement, recorded as research and development expense in the Statement of Operations.</w:t>
      </w:r>
    </w:p>
    <w:p>
      <w:pPr>
        <w:spacing w:after="0" w:line="57" w:lineRule="exact"/>
        <w:rPr>
          <w:sz w:val="20"/>
          <w:szCs w:val="20"/>
          <w:color w:val="auto"/>
        </w:rPr>
      </w:pPr>
    </w:p>
    <w:p>
      <w:pPr>
        <w:ind w:left="440" w:right="100" w:firstLine="423"/>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to the Deerfield Funds, and certain other purchasers, from inception through March 31, 2020 and the contribution of the proceeds received by Holdings on such sales to the Company in order to fund the Company’s operations.</w:t>
      </w:r>
    </w:p>
    <w:p>
      <w:pPr>
        <w:spacing w:after="0" w:line="76" w:lineRule="exact"/>
        <w:rPr>
          <w:sz w:val="20"/>
          <w:szCs w:val="20"/>
          <w:color w:val="auto"/>
        </w:rPr>
      </w:pPr>
    </w:p>
    <w:p>
      <w:pPr>
        <w:ind w:left="440" w:right="160" w:firstLine="423"/>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80" w:lineRule="exact"/>
        <w:rPr>
          <w:sz w:val="20"/>
          <w:szCs w:val="20"/>
          <w:color w:val="auto"/>
        </w:rPr>
      </w:pPr>
    </w:p>
    <w:p>
      <w:pPr>
        <w:ind w:left="440" w:right="80" w:firstLine="423"/>
        <w:spacing w:after="0" w:line="271" w:lineRule="auto"/>
        <w:rPr>
          <w:sz w:val="20"/>
          <w:szCs w:val="20"/>
          <w:color w:val="auto"/>
        </w:rPr>
      </w:pPr>
      <w:r>
        <w:rPr>
          <w:rFonts w:ascii="Arial" w:cs="Arial" w:eastAsia="Arial" w:hAnsi="Arial"/>
          <w:sz w:val="17"/>
          <w:szCs w:val="17"/>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for aggregate gross proceeds of approximately $3.4 million which were immediately contributed to the Company. On December 20, 2019 Holdings sold 666 Series B Bridge Units from the second closing for aggregate gross proceeds of approximately $3.3 million which was later contributed to the Company during the three months ended March 31, 2020. On January 15, 2020, Holdings sold the final 657 Series B Bridge Units available for sale under the Series B Bridge Unit Purchase Agreement for gross proceeds of approximately $3.3 million and contributed such amount to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95" w:name="page96"/>
    <w:bookmarkEnd w:id="95"/>
    <w:p>
      <w:pPr>
        <w:ind w:left="440" w:firstLine="42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January 16, 2020, Holdings entered into a Third Amended and Restated LLC Agreement and entered into a Second Series B Bridge Unit Purchase Agreement with the Deerfield Funds and certain other purchasers to sell up to 3,000 Second Series B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53" w:lineRule="exact"/>
        <w:rPr>
          <w:sz w:val="20"/>
          <w:szCs w:val="20"/>
          <w:color w:val="auto"/>
        </w:rPr>
      </w:pPr>
    </w:p>
    <w:p>
      <w:pPr>
        <w:ind w:left="440" w:right="160" w:firstLine="423"/>
        <w:spacing w:after="0" w:line="301" w:lineRule="auto"/>
        <w:rPr>
          <w:sz w:val="20"/>
          <w:szCs w:val="20"/>
          <w:color w:val="auto"/>
        </w:rPr>
      </w:pPr>
      <w:r>
        <w:rPr>
          <w:rFonts w:ascii="Arial" w:cs="Arial" w:eastAsia="Arial" w:hAnsi="Arial"/>
          <w:sz w:val="16"/>
          <w:szCs w:val="16"/>
          <w:color w:val="auto"/>
        </w:rPr>
        <w:t>During the three months ended March 31, 2020 and the year December 31, 2019, Holdings provided the Company non-interest bearing, permanent funding from the above Series A and Series B preferred unit transactions, totaling $9.6 million and $19.4 million, respectively, which has been recorded as capital contributions with the balance of combined equity and additional paid in capital on the condensed consolidated balance sheets and condensed consolidated statements of changes in stockholders’ equity (deficit) for each respective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440" w:right="20" w:firstLine="423"/>
        <w:spacing w:after="0" w:line="308" w:lineRule="auto"/>
        <w:rPr>
          <w:sz w:val="20"/>
          <w:szCs w:val="20"/>
          <w:color w:val="auto"/>
        </w:rPr>
      </w:pPr>
      <w:r>
        <w:rPr>
          <w:rFonts w:ascii="Arial" w:cs="Arial" w:eastAsia="Arial" w:hAnsi="Arial"/>
          <w:sz w:val="17"/>
          <w:szCs w:val="17"/>
          <w:color w:val="auto"/>
        </w:rPr>
        <w:t>For its condensed consolidated financial statements as of March 31, 2020 and for the quarter then ended, the Company evaluated subsequent events through June 26, 2020, the date on which those Condensed Consolidated financial statements were issued.</w:t>
      </w:r>
    </w:p>
    <w:p>
      <w:pPr>
        <w:spacing w:after="0" w:line="38" w:lineRule="exact"/>
        <w:rPr>
          <w:sz w:val="20"/>
          <w:szCs w:val="20"/>
          <w:color w:val="auto"/>
        </w:rPr>
      </w:pPr>
    </w:p>
    <w:p>
      <w:pPr>
        <w:ind w:left="440" w:right="100" w:firstLine="423"/>
        <w:spacing w:after="0" w:line="277" w:lineRule="auto"/>
        <w:rPr>
          <w:sz w:val="20"/>
          <w:szCs w:val="20"/>
          <w:color w:val="auto"/>
        </w:rPr>
      </w:pPr>
      <w:r>
        <w:rPr>
          <w:rFonts w:ascii="Arial" w:cs="Arial" w:eastAsia="Arial" w:hAnsi="Arial"/>
          <w:sz w:val="18"/>
          <w:szCs w:val="18"/>
          <w:color w:val="auto"/>
        </w:rPr>
        <w:t>On April 10, 2020, Holdings sold 400 Second Series B Bridge Units for gross proceeds of approximately $2.0 million and contributed such amount to the Company.</w:t>
      </w:r>
    </w:p>
    <w:p>
      <w:pPr>
        <w:spacing w:after="0" w:line="62" w:lineRule="exact"/>
        <w:rPr>
          <w:sz w:val="20"/>
          <w:szCs w:val="20"/>
          <w:color w:val="auto"/>
        </w:rPr>
      </w:pPr>
    </w:p>
    <w:p>
      <w:pPr>
        <w:ind w:left="440" w:right="240" w:firstLine="423"/>
        <w:spacing w:after="0" w:line="277" w:lineRule="auto"/>
        <w:rPr>
          <w:sz w:val="20"/>
          <w:szCs w:val="20"/>
          <w:color w:val="auto"/>
        </w:rPr>
      </w:pPr>
      <w:r>
        <w:rPr>
          <w:rFonts w:ascii="Arial" w:cs="Arial" w:eastAsia="Arial" w:hAnsi="Arial"/>
          <w:sz w:val="18"/>
          <w:szCs w:val="18"/>
          <w:color w:val="auto"/>
        </w:rPr>
        <w:t>On May 7, 2020, Holdings sold 800 Second Series B Bridge Units for gross proceeds of approximately $4.0 million and contributed such amount to the Company.</w:t>
      </w:r>
    </w:p>
    <w:p>
      <w:pPr>
        <w:spacing w:after="0" w:line="62"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8"/>
          <w:szCs w:val="18"/>
          <w:color w:val="auto"/>
        </w:rPr>
        <w:t>On May 28, 2020, the Company, Zafgen, and Merger Sub completed their merger transaction pursuant to the Merger Agreement with the Company becoming a wholly-owned subsidiary and the surviving corporation. As a result, Zafgen issued 6,091,250 million shares of common stock, after giving effect to the Reverse Stock Split described below, to the sole stockholder of the Company, Holdings, in exchange for common shares of the Company.</w:t>
      </w:r>
    </w:p>
    <w:p>
      <w:pPr>
        <w:spacing w:after="0" w:line="79"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For accounting purposes, the Company is considered to be acquiring Zafgen which was determined based upon the terms of the Merger Agreement and other factors including: (i) Chondrial security holders own approximately 66% of the voting interests of the combined company immediately following the closing of the merger; (ii) directors appointed by Chondrial hold a majority of board seats in the combined company; and (iii) Chondrial management holds a majority of the key positions in the management of the combined company. Immediately following the closing of the Merger, Zafgen effected a 1-for-12 reverse stock split of the Zafgen Common Stock (the “Reverse Stock Split”) and changed its name to Larimar Therapeutics, Inc. (“Larimar”). Immediately following the close of the Merger and after giving effect for the merger there were approximately 9.2 million shares of the Company’s Common stock outstanding. In addition, pursuant to the terms of the Merger Agreement, Zafgen assumed all outstanding stock options to purchase shares of Holdings Common Units at the closing of the Merger. At the closing of the Merger, such stock options became options to purchase an aggregate of 330,818 shares of Zafgen Common Stock, after giving effect to the Reverse Stock Split.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96" w:name="page97"/>
    <w:bookmarkEnd w:id="96"/>
    <w:p>
      <w:pPr>
        <w:ind w:right="4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Merger will be accounted for as a reverse acquisition under the provisions of Financial Accounting Standards Board Accounting Standards Codification Topic 805, Business Combinations (“ASC 805”). As a result, upon consummation, the assets and liabilities of the Company will be recorded at their pre-combination carrying amounts and the Company’s historical financial statements will become the financial statements of the combined company with the assets acquired of Zafgen being recorded at their fair values on the acquisition date.</w:t>
      </w:r>
    </w:p>
    <w:p>
      <w:pPr>
        <w:spacing w:after="0" w:line="49" w:lineRule="exact"/>
        <w:rPr>
          <w:sz w:val="20"/>
          <w:szCs w:val="20"/>
          <w:color w:val="auto"/>
        </w:rPr>
      </w:pPr>
    </w:p>
    <w:p>
      <w:pPr>
        <w:ind w:firstLine="423"/>
        <w:spacing w:after="0" w:line="291" w:lineRule="auto"/>
        <w:rPr>
          <w:sz w:val="20"/>
          <w:szCs w:val="20"/>
          <w:color w:val="auto"/>
        </w:rPr>
      </w:pPr>
      <w:r>
        <w:rPr>
          <w:rFonts w:ascii="Arial" w:cs="Arial" w:eastAsia="Arial" w:hAnsi="Arial"/>
          <w:sz w:val="16"/>
          <w:szCs w:val="16"/>
          <w:color w:val="auto"/>
        </w:rPr>
        <w:t>On May 29, 2020, Larimar Therapeutics, Inc. entered into a Securities Purchase Agreement with certain accredited investors (the “Purchasers”) for the sale by the Company in a private placement (the “Private Placement”) of 6,105,359 shares of the Company’s common stock, par value $0.001 per share ( “Common Stock”) and pre-funded warrants to purchase an aggregate of 628,403 shares of the Company’s Common Stock ( “Pre-Funded Warrants”), for a price of $11.88 per share of Common Stock and $11.87 per Pre-Funded Warrant. The Pre-Funded Warrants will be immediately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(the “Warrant Shares”) on the date in which the Company is required to deliver the shares.</w:t>
      </w:r>
    </w:p>
    <w:p>
      <w:pPr>
        <w:spacing w:after="0" w:line="58" w:lineRule="exact"/>
        <w:rPr>
          <w:sz w:val="20"/>
          <w:szCs w:val="20"/>
          <w:color w:val="auto"/>
        </w:rPr>
      </w:pPr>
    </w:p>
    <w:p>
      <w:pPr>
        <w:ind w:right="280" w:firstLine="423"/>
        <w:spacing w:after="0" w:line="279" w:lineRule="auto"/>
        <w:rPr>
          <w:sz w:val="20"/>
          <w:szCs w:val="20"/>
          <w:color w:val="auto"/>
        </w:rPr>
      </w:pPr>
      <w:r>
        <w:rPr>
          <w:rFonts w:ascii="Arial" w:cs="Arial" w:eastAsia="Arial" w:hAnsi="Arial"/>
          <w:sz w:val="17"/>
          <w:szCs w:val="17"/>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$75.5 million. The Company intends to use the net proceeds from the Private Placement for research and development of the Company’s product candidates, working capital and general corporate purposes.</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20"/>
          </w:cols>
          <w:pgMar w:left="880" w:top="274" w:right="4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99.5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13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On December 17, 2019, Zafgen, Inc. (“Zafgen”), Chondrial Therapeutics Inc. (“Chondrial”) and Zordich Merger Sub, Inc. (“Merger Sub”), entered into an Agreement and Plan of Merger, as amended on March 9, 2020 (the “Merger Agreement”), pursuant to which Merger Sub merged with and into Chondrial, with Chondrial surviving as a wholly owned subsidiary of Zafgen and the surviving corporation of the merger (the “Merger”). The Merger was completed on May 28, 2020 pursuant to the terms of the Merger Agreement. At the effective time of the Merger (the “Effective Time”), each share of Chondrial’s common stock, par value $0.001 per share (“Chondrial Common Stock”) outstanding immediately prior to the effective time was converted into the right to receive shares of Zafgen’s common stock, par value $0.001 per share (“Zafgen Common Stock”), based on an exchange ratio set forth in the Merger Agreement (“Exchange Ratio”). At the effective time, the Exchange Ratio was determined to be 730,950.0000 shares of Zafgen Common Stock for each share of Chondrial Common Stock. At the closing of the Merger on May 28, 2020, Zafgen issued an aggregate of 73,095,000 shares of its common stock to Chondrial’s sole stockholder, based on the Common Stock Exchange Ratio of 730,950.0000 shares of Zafgen Common Stock for each share of Chondrial Common Stock, before giving effect to the Reverse Stock Split described below. Immediately following the closing of the Merger, Zafgen effected a 1-for-12 reverse stock split of the Zafgen Common Stock (the “Reverse Stock Split”) and changed its name to Larimar Therapeutics, Inc.</w:t>
      </w:r>
    </w:p>
    <w:p>
      <w:pPr>
        <w:spacing w:after="0" w:line="17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following unaudited pro forma combined financial information gives effect to the Merger. Except as otherwise noted, the unaudited pro forma combined financial information also gives effect to the Reverse Stock Split. Amounts in the historical Zafgen and historical Chondrial columns of the unaudited pro forma combined financial statements do not give effect to the Reverse Stock Split.</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In the unaudited pro forma combined financial statements, the Merger has been accounted for as a business combination using the acquisition method of accounting under the provisions of Financial Accounting Standards Board Accounting Standards Codification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The merger will be accounted for as a reverse acquisition with Chondrial being deemed the acquiring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Under ASC 805, Chondrial, as the accounting acquirer, will record the assets acquired and liabilities assumed of Zafgen in the merger at their fair values as of the acquisition date. As the merger has been accounted for as an asset acquisition, goodwill has not been recorded within the pro forma combined balance sheet as of March 31, 2020.</w:t>
      </w:r>
    </w:p>
    <w:p>
      <w:pPr>
        <w:spacing w:after="0" w:line="192" w:lineRule="exact"/>
        <w:rPr>
          <w:sz w:val="20"/>
          <w:szCs w:val="20"/>
          <w:color w:val="auto"/>
        </w:rPr>
      </w:pPr>
    </w:p>
    <w:p>
      <w:pPr>
        <w:ind w:right="160" w:firstLine="440"/>
        <w:spacing w:after="0" w:line="287" w:lineRule="auto"/>
        <w:rPr>
          <w:sz w:val="20"/>
          <w:szCs w:val="20"/>
          <w:color w:val="auto"/>
        </w:rPr>
      </w:pPr>
      <w:r>
        <w:rPr>
          <w:rFonts w:ascii="Arial" w:cs="Arial" w:eastAsia="Arial" w:hAnsi="Arial"/>
          <w:sz w:val="16"/>
          <w:szCs w:val="16"/>
          <w:color w:val="auto"/>
        </w:rPr>
        <w:t>Chondrial was determined to be the accounting acquirer based on an analysis of the criteria outlined in ASC 805 and the facts and circumstances specific to the merger, including: (1) shareholders of Chondrial own a substantial majority of the voting rights of the combined company; (2) the majority of the board of directors of the combined company is composed of directors designated by Chondrial under the terms of the merger;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existing members of Chondrial management will be the management of the combined company.</w:t>
      </w:r>
    </w:p>
    <w:p>
      <w:pPr>
        <w:spacing w:after="0" w:line="21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will become the historical financial statements of the combined company.</w:t>
      </w:r>
    </w:p>
    <w:p>
      <w:pPr>
        <w:spacing w:after="0" w:line="184"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The unaudited pro forma combined balance sheet as of March 31, 2020 gives effect to the merger as if it took place on March 31, 2020 and combines the historical balance sheets of Zafgen and Chondrial as of March 31, 2020. The unaudited pro forma combined statement of operations for the quarter ended March 31, 2020 and the year ended December 31, 2019 gives effect to the merger as if it took place on January 1, 2019 and combines the historical results of Zafgen and Chondrial for the quarter ended March 31, 2020 and the year ended December 31, 2019. The historical financial statements of Zafgen and Chondrial have been adjusted to give pro forma effect to events that are (1) directly attributable to the merger, (2) factually supportable, and (3) with respect to the unaudited pro forma combined statements of operations, expected to have a continuing impact on the combined results of operations of the combined company.</w:t>
      </w:r>
    </w:p>
    <w:p>
      <w:pPr>
        <w:spacing w:after="0" w:line="17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unaudited pro forma combined financial information is based on assumptions and adjustments that are described in the accompanying notes. The application of the acquisition method of accounting is dependent upon certain valuations, such as leases, that have yet to be completed. Accordingly, the pro forma adjustments reflected in the unaudited pro forma combined financial statements are preliminary and based on estimates, subject to further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98" w:name="page99"/>
    <w:bookmarkEnd w:id="9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revision as additional information becomes available and additional analyses are performed, and have been made solely for the purpose of providing the unaudited pro forma combined financial information. Differences between the preliminary adjustments reflected in the unaudited pro forma combined financial information and the final application of the acquisition method of accounting, which is expected to be completed as soon as practicable after the closing of the Merger, may arise, and those differences could have a material impact on the accompanying unaudited pro forma combined financial information and the combined company’s future results of operations and financial position. In addition, differences between the preliminary and final adjustments will likely occur as a result of the amount of cash used for Zafgen’s operations and other changes in Zafgen’s assets and liabilities between March 31, 2020 and the closing date of the Merger.</w:t>
      </w:r>
    </w:p>
    <w:p>
      <w:pPr>
        <w:spacing w:after="0" w:line="17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unaudited pro forma combined financial information does not give effect to the potential impact of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7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Concurrently with the closing of the Merger, the Company entered into a Securities Purchase Agreement (“Purchase Agreement”) with certain accredited investors (“Purchasers”) for the sale by the Company in a private placement (the “Private Placement”) of 6,105,359 shares (“Shares”) of the Company’s common stock, par value $0.001 per share (“Common Stock”) and pre-funded warrants to purchase an aggregate of 628,403 shares of the Company’s Common Stock ( “Pre-Funded Warrants”), for a price of $11.88 per share of Common Stock and $11.87 per Pre-Funded Warrant. The following unaudited pro forma combined financial information also gives effect to the Private Placement.</w:t>
      </w:r>
    </w:p>
    <w:p>
      <w:pPr>
        <w:spacing w:after="0" w:line="176"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 Pre-Funded Warrants will be immediately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(“Warrant Shares”) on the date in which the Company is required to deliver the shares.</w:t>
      </w:r>
    </w:p>
    <w:p>
      <w:pPr>
        <w:spacing w:after="0" w:line="149"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$75.5 million.</w:t>
      </w:r>
    </w:p>
    <w:p>
      <w:pPr>
        <w:spacing w:after="0" w:line="18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unaudited pro forma combined financial statements, including the notes thereto, should be read in conjunction with the separate historical consolidated financial statements of Zafgen and Chondrial. Zafgen’s historical audited consolidated financial statements for the years ended December 31, 2019, 2018 and 2017 are included in Zafgen’s Annual Report on Form 10-K for the fiscal year ended December 31, 2019, as filed with the Securities and Exchange Commission (the “SEC”) on March 5, 2020. In addition, the historical unaudited condensed consolidated financial statements for the quarter ended March 31, 2020 are included in Zafgen’s Quarterly Report on Form 10-Q, as filed with the SEC on May 7, 2020. Chondrial’s historical audited consolidated financial statements for the years ended December 31, 2019 and 2018 are included as Exhibit 99.3 in this Current Report on Form 8-K and Chondrial’s historical unaudited condensed consolidated financial statements for the quarter ended March 31, 2020 are included as Exhibit 99.4 in this Current Report on Form 8-K.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Balance Sheet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vMerge w:val="restart"/>
          </w:tcPr>
          <w:p>
            <w:pPr>
              <w:jc w:val="right"/>
              <w:ind w:right="7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Merger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Private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w w:val="99"/>
              </w:rPr>
              <w:t>Pro Forma</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Forma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Chondrial</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Zafgen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21"/>
              <w:spacing w:after="0" w:line="142" w:lineRule="exact"/>
              <w:rPr>
                <w:sz w:val="20"/>
                <w:szCs w:val="20"/>
                <w:color w:val="auto"/>
              </w:rPr>
            </w:pPr>
            <w:r>
              <w:rPr>
                <w:rFonts w:ascii="Arial" w:cs="Arial" w:eastAsia="Arial" w:hAnsi="Arial"/>
                <w:sz w:val="14"/>
                <w:szCs w:val="14"/>
                <w:b w:val="1"/>
                <w:bCs w:val="1"/>
                <w:color w:val="auto"/>
                <w:w w:val="89"/>
              </w:rPr>
              <w:t>Adjustments</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Note 6</w:t>
            </w:r>
          </w:p>
        </w:tc>
        <w:tc>
          <w:tcPr>
            <w:tcW w:w="180" w:type="dxa"/>
            <w:vAlign w:val="bottom"/>
          </w:tcPr>
          <w:p>
            <w:pPr>
              <w:spacing w:after="0"/>
              <w:rPr>
                <w:sz w:val="12"/>
                <w:szCs w:val="12"/>
                <w:color w:val="auto"/>
              </w:rPr>
            </w:pPr>
          </w:p>
        </w:tc>
        <w:tc>
          <w:tcPr>
            <w:tcW w:w="8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Placement</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Note 9</w:t>
            </w: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(21,760)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75,502</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93,609</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24,905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(1,364)</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0"/>
              </w:rPr>
              <w:t>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(23,124)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47,559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75,502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123,061</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(4,418)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41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(27,542</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53,152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75,502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restructuring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Arial" w:cs="Arial" w:eastAsia="Arial" w:hAnsi="Arial"/>
                <w:sz w:val="18"/>
                <w:szCs w:val="18"/>
                <w:color w:val="auto"/>
              </w:rPr>
              <w:t>58</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0"/>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(7,273)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(6,747)</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Arial" w:cs="Arial" w:eastAsia="Arial" w:hAnsi="Arial"/>
                <w:sz w:val="18"/>
                <w:szCs w:val="18"/>
                <w:color w:val="auto"/>
              </w:rPr>
              <w:t>66</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0"/>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(13,896)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stock—Chondrial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Common stock—Zafgen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(28)</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0"/>
              </w:rPr>
              <w:t>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79"/>
              </w:rPr>
              <w:t>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32,061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450,623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0"/>
              </w:rPr>
              <w:t>(413,564)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e &amp; 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69,149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75,496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144,645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Arial" w:cs="Arial" w:eastAsia="Arial" w:hAnsi="Arial"/>
                <w:sz w:val="18"/>
                <w:szCs w:val="18"/>
                <w:color w:val="auto"/>
              </w:rPr>
              <w:t>29</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0"/>
              </w:rPr>
              <w:t>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(29,806)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(399,949)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8"/>
              </w:rPr>
              <w:t>399,949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(29,806)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(29,806)</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(31)</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(13,646)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39,352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75,502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114,854</w:t>
            </w:r>
          </w:p>
        </w:tc>
        <w:tc>
          <w:tcPr>
            <w:tcW w:w="0" w:type="dxa"/>
            <w:vAlign w:val="bottom"/>
          </w:tcPr>
          <w:p>
            <w:pPr>
              <w:spacing w:after="0"/>
              <w:rPr>
                <w:sz w:val="1"/>
                <w:szCs w:val="1"/>
                <w:color w:val="auto"/>
              </w:rPr>
            </w:pPr>
          </w:p>
        </w:tc>
      </w:tr>
      <w:tr>
        <w:trPr>
          <w:trHeight w:val="223"/>
        </w:trPr>
        <w:tc>
          <w:tcPr>
            <w:tcW w:w="41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(27,542</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53,152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75,502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0" w:right="4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tbl>
      <w:tblPr>
        <w:tblLayout w:type="fixed"/>
        <w:tblInd w:w="0" w:type="dxa"/>
        <w:tblCellMar>
          <w:top w:w="0" w:type="dxa"/>
          <w:left w:w="0" w:type="dxa"/>
          <w:bottom w:w="0" w:type="dxa"/>
          <w:right w:w="0" w:type="dxa"/>
        </w:tblCellMar>
      </w:tblPr>
      <w:tr>
        <w:trPr>
          <w:trHeight w:val="135"/>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Merger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Pro</w:t>
            </w:r>
          </w:p>
        </w:tc>
        <w:tc>
          <w:tcPr>
            <w:tcW w:w="1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Private</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Forma</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21"/>
              <w:spacing w:after="0" w:line="142" w:lineRule="exact"/>
              <w:rPr>
                <w:sz w:val="20"/>
                <w:szCs w:val="20"/>
                <w:color w:val="auto"/>
              </w:rPr>
            </w:pPr>
            <w:r>
              <w:rPr>
                <w:rFonts w:ascii="Arial" w:cs="Arial" w:eastAsia="Arial" w:hAnsi="Arial"/>
                <w:sz w:val="14"/>
                <w:szCs w:val="14"/>
                <w:b w:val="1"/>
                <w:bCs w:val="1"/>
                <w:color w:val="auto"/>
                <w:w w:val="97"/>
              </w:rPr>
              <w:t>Chondrial</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Note 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Placement</w:t>
            </w:r>
          </w:p>
        </w:tc>
        <w:tc>
          <w:tcPr>
            <w:tcW w:w="660" w:type="dxa"/>
            <w:vAlign w:val="bottom"/>
            <w:gridSpan w:val="3"/>
          </w:tcPr>
          <w:p>
            <w:pPr>
              <w:jc w:val="right"/>
              <w:ind w:right="187"/>
              <w:spacing w:after="0" w:line="142" w:lineRule="exact"/>
              <w:rPr>
                <w:sz w:val="20"/>
                <w:szCs w:val="20"/>
                <w:color w:val="auto"/>
              </w:rPr>
            </w:pPr>
            <w:r>
              <w:rPr>
                <w:rFonts w:ascii="Arial" w:cs="Arial" w:eastAsia="Arial" w:hAnsi="Arial"/>
                <w:sz w:val="14"/>
                <w:szCs w:val="14"/>
                <w:b w:val="1"/>
                <w:bCs w:val="1"/>
                <w:color w:val="auto"/>
                <w:w w:val="88"/>
              </w:rPr>
              <w:t>Note 9</w:t>
            </w: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5,007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6"/>
              </w:rPr>
              <w:t>536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b</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Foreign currency transaction losses,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500" w:type="dxa"/>
            <w:vAlign w:val="bottom"/>
          </w:tcPr>
          <w:p>
            <w:pPr>
              <w:ind w:left="720"/>
              <w:spacing w:after="0"/>
              <w:rPr>
                <w:sz w:val="20"/>
                <w:szCs w:val="20"/>
                <w:color w:val="auto"/>
              </w:rPr>
            </w:pPr>
            <w:r>
              <w:rPr>
                <w:rFonts w:ascii="Arial" w:cs="Arial" w:eastAsia="Arial" w:hAnsi="Arial"/>
                <w:sz w:val="18"/>
                <w:szCs w:val="18"/>
                <w:color w:val="auto"/>
              </w:rPr>
              <w:t>Total other (expense) income, net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6"/>
              </w:rPr>
              <w:t>294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830</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(66,740.00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 average common shares outstanding,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c</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vMerge w:val="restart"/>
            <w:shd w:val="clear" w:color="auto" w:fill="CCEEFF"/>
          </w:tcPr>
          <w:p>
            <w:pPr>
              <w:jc w:val="right"/>
              <w:ind w:right="267"/>
              <w:spacing w:after="0"/>
              <w:rPr>
                <w:sz w:val="20"/>
                <w:szCs w:val="20"/>
                <w:color w:val="auto"/>
              </w:rPr>
            </w:pPr>
            <w:r>
              <w:rPr>
                <w:rFonts w:ascii="Arial" w:cs="Arial" w:eastAsia="Arial" w:hAnsi="Arial"/>
                <w:sz w:val="18"/>
                <w:szCs w:val="18"/>
                <w:b w:val="1"/>
                <w:bCs w:val="1"/>
                <w:color w:val="auto"/>
              </w:rPr>
              <w:t>b</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37,467,411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(28,253,795)</w:t>
            </w:r>
          </w:p>
        </w:tc>
        <w:tc>
          <w:tcPr>
            <w:tcW w:w="4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9,213,716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6,733,762</w:t>
            </w:r>
          </w:p>
        </w:tc>
        <w:tc>
          <w:tcPr>
            <w:tcW w:w="66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15,947,478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0" w:right="4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Merger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w:t>
            </w:r>
          </w:p>
        </w:tc>
        <w:tc>
          <w:tcPr>
            <w:tcW w:w="10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Private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Pro Forma</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Forma</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rPr>
              <w:t>Chondrial</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Note 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Placement</w:t>
            </w:r>
          </w:p>
        </w:tc>
        <w:tc>
          <w:tcPr>
            <w:tcW w:w="660" w:type="dxa"/>
            <w:vAlign w:val="bottom"/>
            <w:gridSpan w:val="3"/>
          </w:tcPr>
          <w:p>
            <w:pPr>
              <w:jc w:val="right"/>
              <w:ind w:right="187"/>
              <w:spacing w:after="0" w:line="142" w:lineRule="exact"/>
              <w:rPr>
                <w:sz w:val="20"/>
                <w:szCs w:val="20"/>
                <w:color w:val="auto"/>
              </w:rPr>
            </w:pPr>
            <w:r>
              <w:rPr>
                <w:rFonts w:ascii="Arial" w:cs="Arial" w:eastAsia="Arial" w:hAnsi="Arial"/>
                <w:sz w:val="14"/>
                <w:szCs w:val="14"/>
                <w:b w:val="1"/>
                <w:bCs w:val="1"/>
                <w:color w:val="auto"/>
                <w:w w:val="88"/>
              </w:rPr>
              <w:t>Note 9</w:t>
            </w: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20,790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23,886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44,676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b</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Foreign currency transaction gains,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46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3,150</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(231,320.00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c</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vMerge w:val="restart"/>
            <w:shd w:val="clear" w:color="auto" w:fill="CCEEFF"/>
          </w:tcPr>
          <w:p>
            <w:pPr>
              <w:jc w:val="right"/>
              <w:ind w:right="267"/>
              <w:spacing w:after="0"/>
              <w:rPr>
                <w:sz w:val="20"/>
                <w:szCs w:val="20"/>
                <w:color w:val="auto"/>
              </w:rPr>
            </w:pPr>
            <w:r>
              <w:rPr>
                <w:rFonts w:ascii="Arial" w:cs="Arial" w:eastAsia="Arial" w:hAnsi="Arial"/>
                <w:sz w:val="18"/>
                <w:szCs w:val="18"/>
                <w:b w:val="1"/>
                <w:bCs w:val="1"/>
                <w:color w:val="auto"/>
              </w:rPr>
              <w:t>b</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basic and diluted</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37,347,199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(28,133,583)</w:t>
            </w:r>
          </w:p>
        </w:tc>
        <w:tc>
          <w:tcPr>
            <w:tcW w:w="4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9,213,716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6,733,762</w:t>
            </w:r>
          </w:p>
        </w:tc>
        <w:tc>
          <w:tcPr>
            <w:tcW w:w="66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15,947,478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0" w:right="439" w:bottom="1440" w:gutter="0" w:footer="0" w:header="0"/>
        </w:sectPr>
      </w:pPr>
    </w:p>
    <w:bookmarkStart w:id="102" w:name="page103"/>
    <w:bookmarkEnd w:id="10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Unaudited Pro Forma Combined Financial Statements</w:t>
      </w:r>
    </w:p>
    <w:p>
      <w:pPr>
        <w:spacing w:after="0" w:line="252"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Merger of Chondrial and Zafgen</w:t>
      </w:r>
    </w:p>
    <w:p>
      <w:pPr>
        <w:spacing w:after="0" w:line="117"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On December 17, 2019, Zafgen, Chondrial and Merger Sub entered into the Merger Agreement pursuant to which Merger Sub merged with and into Chondrial, with Chondrial surviving as a wholly owned subsidiary of Zafgen and the surviving corporation of the Merger. The Merger was completed on May 28, 2020 pursuant to the terms of the Merger Agreement. At the Effective Time of the Merger, each share of Chondrial Common Stock outstanding immediately prior to the Effective Time was converted into the right to receive shares of Zafgen Common Stock based on the Common Stock Exchange Ratio. At the Effective Time, the Common Stock Exchange Ratio was determined to be 730,950 shares of Zafgen Common Stock for each share of Chondrial Common Stock. At the closing of the Merger on May 28, 2020, Zafgen issued an aggregate of 70,395,000 shares of its common stock to Chondrial’s sole stockholder, based on the Common Stock Exchange Ratio of 730,950.0000 shares of Zafgen Common Stock for each share of Chondrial Common Stock before giving effect to the Reverse Stock Split described below. Immediately following the closing of the Merger, Zafgen effected a 1-for-12 reverse stock split of the Zafgen Common Stock and changed its name to Larimar Therapeutics, Inc.</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Private Placement Offering</w:t>
      </w:r>
    </w:p>
    <w:p>
      <w:pPr>
        <w:spacing w:after="0" w:line="117"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Concurrently with the closing of the Merger, the Company entered into a Purchase Agreement with certain Purchasers for the sale by the Company in a private placement of 6,105,359 shares of the Company’s common stock, par value $0.001 per share, and Pre-Funded Warrants to purchase an aggregate of 628,403 shares of the Company’s Common Stock, for a price of $11.88 per share of Common Stock and $11.87 per Pre-Funded Warrant.</w:t>
      </w:r>
    </w:p>
    <w:p>
      <w:pPr>
        <w:spacing w:after="0" w:line="149"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The Pre-Funded Warrants will be immediately exercisable at an exercise price of $0.01 and will be exercisable indefinitely. The Purchasers may exercise the Pre-Funded Warrants on a cashless basis in the event that there is no effective registration statement covering the resale of the shares of Common Stock underlying the Warrant Shares on the date in which the Company is required to deliver the shares.</w:t>
      </w:r>
    </w:p>
    <w:p>
      <w:pPr>
        <w:spacing w:after="0" w:line="165"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$75.5 million.</w:t>
      </w:r>
    </w:p>
    <w:p>
      <w:pPr>
        <w:spacing w:after="0" w:line="328"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The accompanying unaudited pro forma combined financial information was prepared in accordance with Article 11 of SEC Regulation S-X. The unaudited pro forma combined balance sheet as of March 31, 2020 was prepared using the historical balance sheets of Chondrial and Zafgen as of March 31, 2020 and gives effect to the Merger and Private Placement as if each occurred on March 31, 2020. The unaudited pro forma combined statements of operations for the quarter ended March 31, 2020 and the year ended December 31, 2019 give effect to the Merger and Private Placement as if each occurred on January 1, 2019 and were prepared using:</w:t>
      </w:r>
    </w:p>
    <w:p>
      <w:pPr>
        <w:spacing w:after="0" w:line="93" w:lineRule="exact"/>
        <w:rPr>
          <w:sz w:val="20"/>
          <w:szCs w:val="20"/>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Chondrial for the year ended December 31, 2019;</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Zafgen for the year ended December 31, 2019;</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Chondrial for the quarter ended March 31, 2020;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Zafgen for the quarter ended March 31, 2020.</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Except as otherwise noted, the unaudited pro forma combined financial information also gives effect to the Reverse Stock Split. Amounts in the historical Chondrial and historical Zafgen columns of the unaudited pro forma combined financial statements do not give effect to the Reverse Stock Split.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0" w:right="459" w:bottom="1440" w:gutter="0" w:footer="0" w:header="0"/>
        </w:sectPr>
      </w:pPr>
    </w:p>
    <w:bookmarkStart w:id="103" w:name="page104"/>
    <w:bookmarkEnd w:id="103"/>
    <w:p>
      <w:pPr>
        <w:ind w:left="4"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unaudited pro forma combined financial information does not include the impacts of any revenue, cost or other operating synergies that may result from the Merger or any related restructuring costs that may be contemplated.</w:t>
      </w:r>
    </w:p>
    <w:p>
      <w:pPr>
        <w:spacing w:after="0" w:line="315"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121"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During the preparation of the accompanying unaudited pro forma combined financial information, Chondrial was not aware of any material differences between Chondrial’s accounting policies and the accounting policies of Zafgen. In the period prior to its reporting of the business combination in connection with the Merger, Chondrial will continue to conduct a more detailed review of Zafgen’s accounting policies. As a result, Chondrial may identify differences between the accounting policies of the two companies that, when conformed, could have had a material impact on the accompanying unaudited pro forma combined financial information.</w:t>
      </w:r>
    </w:p>
    <w:p>
      <w:pPr>
        <w:spacing w:after="0" w:line="332"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the Merger</w:t>
      </w:r>
    </w:p>
    <w:p>
      <w:pPr>
        <w:spacing w:after="0" w:line="12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Based on the Common Stock Exchange Ratio of 730,950 set forth above,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the former Chondrial stockholder, Chondrial Therapeutics Holdings, LLC (“Holdings”),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178"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In addition, pursuant to the terms of the Merger Agreement, Zafgen assumed all outstanding options to purchase shares of Holdings Common Units at the closing of the Merger. At the closing of the Merger, such options became options to purchase an aggregate of 330,818 shares of Zafgen Common Stock, after giving effect to the Reverse Stock Split.</w:t>
      </w:r>
    </w:p>
    <w:p>
      <w:pPr>
        <w:spacing w:after="0" w:line="184"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The estimated preliminary purchase price is calculated based on the fair value of the Zafgen common stock of the combined company that Zafgen stockholders will own as of the closing date of the transaction because, with no active trading market for shares of Chondrial, the fair value of the Zafgen common stock represents a more reliable measure of the fair value of consideration transferred in the merger. The following summarizes the preliminary estimate of the purchase price paid in the Merger (in thousands, except share and per share amounts):</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the combined company to be owned by Zafgen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3,122,466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fair value of Zafgen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Estimated Chondrial transaction costs</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1,649</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38,745</w:t>
            </w:r>
          </w:p>
        </w:tc>
      </w:tr>
    </w:tbl>
    <w:p>
      <w:pPr>
        <w:spacing w:after="0" w:line="229"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purposes of this unaudited pro forma combined financial information, the number of shares of 3,122,466 represents the historical</w:t>
      </w:r>
    </w:p>
    <w:p>
      <w:pPr>
        <w:spacing w:after="0" w:line="34" w:lineRule="exact"/>
        <w:rPr>
          <w:rFonts w:ascii="Arial" w:cs="Arial" w:eastAsia="Arial" w:hAnsi="Arial"/>
          <w:sz w:val="17"/>
          <w:szCs w:val="17"/>
          <w:color w:val="auto"/>
        </w:rPr>
      </w:pPr>
    </w:p>
    <w:p>
      <w:pPr>
        <w:ind w:left="424"/>
        <w:spacing w:after="0" w:line="250" w:lineRule="auto"/>
        <w:rPr>
          <w:rFonts w:ascii="Arial" w:cs="Arial" w:eastAsia="Arial" w:hAnsi="Arial"/>
          <w:sz w:val="17"/>
          <w:szCs w:val="17"/>
          <w:color w:val="auto"/>
        </w:rPr>
      </w:pPr>
      <w:r>
        <w:rPr>
          <w:rFonts w:ascii="Arial" w:cs="Arial" w:eastAsia="Arial" w:hAnsi="Arial"/>
          <w:sz w:val="18"/>
          <w:szCs w:val="18"/>
          <w:color w:val="auto"/>
        </w:rPr>
        <w:t>37,469,596 shares of Zafgen Common Stock outstanding immediately prior to the closing of the Merger, adjusted for the Reverse Stock Split. In addition, for purposes of this unaudited pro forma combined financial information, the estimated purchase price does not include the impact of the portion of the fair value of certain options to acquire shares of Zafgen Common Stock attributable to precombination employee services because the amount is not material.</w:t>
      </w:r>
    </w:p>
    <w:p>
      <w:pPr>
        <w:spacing w:after="0" w:line="1" w:lineRule="exact"/>
        <w:rPr>
          <w:rFonts w:ascii="Arial" w:cs="Arial" w:eastAsia="Arial" w:hAnsi="Arial"/>
          <w:sz w:val="17"/>
          <w:szCs w:val="17"/>
          <w:color w:val="auto"/>
        </w:rPr>
      </w:pPr>
    </w:p>
    <w:p>
      <w:pPr>
        <w:ind w:left="424" w:right="80" w:hanging="424"/>
        <w:spacing w:after="0" w:line="250"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estimated purchase price was based on the last reported sale price of Zafgen Common Stock on the Nasdaq Global Market on May 28, 2020, the closing date of the Merger, of $0.99 per share and gives effect to the Reverse Stock Split.</w:t>
      </w:r>
    </w:p>
    <w:p>
      <w:pPr>
        <w:ind w:left="424" w:right="40" w:hanging="424"/>
        <w:spacing w:after="0" w:line="260"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estimated Chondrial transaction costs consist primarily of legal and proxy related expenses incurred by Chondrial. The transaction costs have been reflected as an increase in the estimated purchase price.</w:t>
      </w:r>
    </w:p>
    <w:p>
      <w:pPr>
        <w:spacing w:after="0" w:line="117" w:lineRule="exact"/>
        <w:rPr>
          <w:rFonts w:ascii="Arial" w:cs="Arial" w:eastAsia="Arial" w:hAnsi="Arial"/>
          <w:sz w:val="18"/>
          <w:szCs w:val="18"/>
          <w:color w:val="auto"/>
        </w:rPr>
      </w:pPr>
    </w:p>
    <w:p>
      <w:pPr>
        <w:ind w:left="5464" w:hanging="106"/>
        <w:spacing w:after="0"/>
        <w:tabs>
          <w:tab w:leader="none" w:pos="54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4"/>
          </w:cols>
          <w:pgMar w:left="436" w:top="274" w:right="499" w:bottom="1440" w:gutter="0" w:footer="0" w:header="0"/>
        </w:sectPr>
      </w:pPr>
    </w:p>
    <w:bookmarkStart w:id="104" w:name="page105"/>
    <w:bookmarkEnd w:id="104"/>
    <w:p>
      <w:pPr>
        <w:ind w:left="4"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estimated fair value of the net assets of Zafgen adjusted for the excess of fair value over consideration transferred on a pro forma basis as of March 31, 2020, after giving effect of accruals of costs expected to be incurred in connection with the merger was $38.8 million. The preliminary purchase price assigned a value to the assets and liabilities acquired based on the accumulated cost of the acquisition and allocated based on the acquired assets and liabilities relative fair value adjusted for the excess of fair value over consideration transferred; refer to Note 6.</w:t>
      </w:r>
    </w:p>
    <w:p>
      <w:pPr>
        <w:spacing w:after="0" w:line="17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following summarizes the preliminary allocation of the estimated purchase price paid in the Merger as if it had been completed on March 31, 2020 (in thousands):</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Purchase</w:t>
            </w:r>
          </w:p>
        </w:tc>
      </w:tr>
      <w:tr>
        <w:trPr>
          <w:trHeight w:val="149"/>
        </w:trPr>
        <w:tc>
          <w:tcPr>
            <w:tcW w:w="674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r>
      <w:tr>
        <w:trPr>
          <w:trHeight w:val="148"/>
        </w:trPr>
        <w:tc>
          <w:tcPr>
            <w:tcW w:w="674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Allocation</w:t>
            </w:r>
          </w:p>
        </w:tc>
      </w:tr>
      <w:tr>
        <w:trPr>
          <w:trHeight w:val="148"/>
        </w:trPr>
        <w:tc>
          <w:tcPr>
            <w:tcW w:w="674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—Pro</w:t>
            </w:r>
          </w:p>
        </w:tc>
      </w:tr>
      <w:tr>
        <w:trPr>
          <w:trHeight w:val="171"/>
        </w:trPr>
        <w:tc>
          <w:tcPr>
            <w:tcW w:w="674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Forma</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$ 17,505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24,905</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receivable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(2,184)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(6,412)</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Net tangible assets acquired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$ 38,745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The application of the acquisition method of accounting is dependent upon certain valuations and other studies that have yet to be completed. The purchase price allocation will remain preliminary until Chondrial management determines the fair values of assets acquired and liabilities assumed upon the closing of the Merger. The final determination of the purchase price allocation is anticipated to be completed as soon as practicable after completion of the Merger and will be based on the fair values of the assets acquired and liabilities assumed as of the closing date of the Merger. Chondrial does not expect to acquire or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of the purchase price over the fair value of the assets and liabilities was allocated to the operating right-of-use assets. The final amounts allocated to assets acquired and liabilities assumed could differ materially from the amounts presented in the unaudited pro forma combined financial statements.</w:t>
      </w:r>
    </w:p>
    <w:p>
      <w:pPr>
        <w:spacing w:after="0" w:line="311"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Zafgen Common Stock Issued to Chondrial Stockholder upon Closing of the Merger</w:t>
      </w:r>
    </w:p>
    <w:p>
      <w:pPr>
        <w:spacing w:after="0" w:line="121" w:lineRule="exact"/>
        <w:rPr>
          <w:sz w:val="20"/>
          <w:szCs w:val="20"/>
          <w:color w:val="auto"/>
        </w:rPr>
      </w:pPr>
    </w:p>
    <w:p>
      <w:pPr>
        <w:jc w:val="both"/>
        <w:ind w:left="4" w:right="260" w:firstLine="440"/>
        <w:spacing w:after="0" w:line="259" w:lineRule="auto"/>
        <w:rPr>
          <w:sz w:val="20"/>
          <w:szCs w:val="20"/>
          <w:color w:val="auto"/>
        </w:rPr>
      </w:pPr>
      <w:r>
        <w:rPr>
          <w:rFonts w:ascii="Arial" w:cs="Arial" w:eastAsia="Arial" w:hAnsi="Arial"/>
          <w:sz w:val="18"/>
          <w:szCs w:val="18"/>
          <w:color w:val="auto"/>
        </w:rPr>
        <w:t>As part of the Merger, all outstanding shares of Chondrial Common Stock were exchanged for shares of Zafgen Common Stock. Based on the historical 100 shares of Chondrial Common Stock, before giving effect to the Reverse Stock Split, and based on the Common Stock Exchange Ratio determined in accordance with the terms of the Merger Agreement of 730,950.0000, Zafgen issued 6,091,250 shares of Zafgen Common Stock in the Merger, after giving effect to the Reverse Stock Split, determined as follows:</w:t>
      </w:r>
    </w:p>
    <w:p>
      <w:pPr>
        <w:spacing w:after="0" w:line="223"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Chondrial Common Stock outstanding immediately prior to the closing of the</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730,950.</w:t>
            </w:r>
            <w:r>
              <w:rPr>
                <w:rFonts w:ascii="Arial" w:cs="Arial" w:eastAsia="Arial" w:hAnsi="Arial"/>
                <w:sz w:val="18"/>
                <w:szCs w:val="18"/>
                <w:u w:val="single" w:color="auto"/>
                <w:color w:val="auto"/>
                <w:w w:val="92"/>
              </w:rPr>
              <w:t>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Zafgen Common Stock issued to Chondrial’s sole stockholder upon closing</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73,095,000</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Reverse Stock Split Ratio</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Zafgen Common Stock issued to Chondrial’s sole stockholder upon closing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Merger (after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6,091,250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2390"/>
              <w:spacing w:after="0"/>
              <w:rPr>
                <w:sz w:val="20"/>
                <w:szCs w:val="20"/>
                <w:color w:val="auto"/>
              </w:rPr>
            </w:pPr>
            <w:r>
              <w:rPr>
                <w:rFonts w:ascii="Arial" w:cs="Arial" w:eastAsia="Arial" w:hAnsi="Arial"/>
                <w:sz w:val="18"/>
                <w:szCs w:val="18"/>
                <w:color w:val="auto"/>
              </w:rPr>
              <w:t>- 8 -</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4" w:right="459" w:bottom="1440" w:gutter="0" w:footer="0" w:header="0"/>
        </w:sectPr>
      </w:pPr>
    </w:p>
    <w:bookmarkStart w:id="105" w:name="page106"/>
    <w:bookmarkEnd w:id="105"/>
    <w:p>
      <w:pPr>
        <w:ind w:left="4"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in connection with the Merger, Zafgen assumed all of the outstanding options to acquire Holdings stock and such options became exercisable for shares of Zafgen Common Stock following the Merger; refer to Note 4.</w:t>
      </w:r>
    </w:p>
    <w:p>
      <w:pPr>
        <w:spacing w:after="0" w:line="315"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Combined Balance Sheet as of March 31, 2020</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unaudited pro forma combined balance sheet includes pro forma adjustments that are (1) directly attributable to the Merger and (2) factually supportable. The pro forma adjustments associated with the asset acquisition, based on preliminary estimates that may change significantly as additional information is obtained, are as follows:</w:t>
      </w:r>
    </w:p>
    <w:p>
      <w:pPr>
        <w:spacing w:after="0" w:line="89" w:lineRule="exact"/>
        <w:rPr>
          <w:sz w:val="20"/>
          <w:szCs w:val="20"/>
          <w:color w:val="auto"/>
        </w:rPr>
      </w:pPr>
    </w:p>
    <w:p>
      <w:pPr>
        <w:ind w:left="964" w:hanging="532"/>
        <w:spacing w:after="0"/>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adjustment to cash and cash equivalents represents (in thousands):</w:t>
      </w:r>
    </w:p>
    <w:p>
      <w:pPr>
        <w:spacing w:after="0" w:line="265"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Repayment of Zafgen’s outstanding term loan</w:t>
            </w:r>
            <w:r>
              <w:rPr>
                <w:rFonts w:ascii="Arial" w:cs="Arial" w:eastAsia="Arial" w:hAnsi="Arial"/>
                <w:sz w:val="15"/>
                <w:szCs w:val="15"/>
                <w:color w:val="auto"/>
              </w:rPr>
              <w:t>(1)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$14,385</w:t>
            </w: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5"/>
              </w:rPr>
              <w:t>Cash paid for transaction costs expected to be incurred through consummation of the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Merger</w:t>
            </w:r>
            <w:r>
              <w:rPr>
                <w:rFonts w:ascii="Arial" w:cs="Arial" w:eastAsia="Arial" w:hAnsi="Arial"/>
                <w:sz w:val="15"/>
                <w:szCs w:val="15"/>
                <w:color w:val="auto"/>
              </w:rPr>
              <w:t>(2)</w:t>
            </w:r>
          </w:p>
        </w:tc>
        <w:tc>
          <w:tcPr>
            <w:tcW w:w="3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7,375</w:t>
            </w: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 and cash equivalents</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21,760</w:t>
            </w:r>
          </w:p>
        </w:tc>
      </w:tr>
      <w:tr>
        <w:trPr>
          <w:trHeight w:val="20"/>
        </w:trPr>
        <w:tc>
          <w:tcPr>
            <w:tcW w:w="6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24" w:right="40" w:hanging="439"/>
        <w:spacing w:after="0" w:line="291" w:lineRule="auto"/>
        <w:tabs>
          <w:tab w:leader="none" w:pos="14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repayment of Zafgen’s term loan with Silicon Valley Bank (“Term Loan”), which was repaid as part of the Merger, and consists of the principle repayment of $12.7 million, a final payment equal to $1.6 million and a prepayment fee of $0.1 million; and</w:t>
      </w:r>
    </w:p>
    <w:p>
      <w:pPr>
        <w:ind w:left="1424" w:right="60" w:hanging="439"/>
        <w:spacing w:after="0" w:line="285" w:lineRule="auto"/>
        <w:tabs>
          <w:tab w:leader="none" w:pos="14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cash paid for transaction costs expected to be incurred through the consummation of the merger that are not already included in accrued liabilities as of March 31, 2020. Of the $7.4 million of incremental transaction costs, approximately $0.3 million relate to Chondrial and have been reflected as an increase to the purchase price and allocated based on the acquired assets and liabilities relative fair value in the unaudited combined pro forma balance sheet. The remaining approximately $7.1 million of incremental transaction costs relate to Zafgen. The transaction costs of Zafgen include approximately $3.4 million in employee retention bonuses, severance and change-in-control obligations for Zafgen employees that will be reflected as pre-combination compensation expense of Zafgen. The retention bonuses were communicated by Zafgen in September 2019, prior to Zafgen entering into negotiations with Chondrial regarding the merger; as such, the retention bonuses were determined to be for the benefit of Zafgen. The remaining $3.7 million of estimated transaction costs consist primarily of banker fees, legal expenses, insurance, auditor and printer fees to be incurred by Zafgen. These pro forma adjustments are not reflected in the unaudited pro forma combined statement of operations as these amounts are not expected to have a continuing impact on the operating results of the combined company.</w:t>
      </w:r>
    </w:p>
    <w:p>
      <w:pPr>
        <w:spacing w:after="0" w:line="79" w:lineRule="exact"/>
        <w:rPr>
          <w:rFonts w:ascii="Arial" w:cs="Arial" w:eastAsia="Arial" w:hAnsi="Arial"/>
          <w:sz w:val="16"/>
          <w:szCs w:val="16"/>
          <w:color w:val="auto"/>
        </w:rPr>
      </w:pPr>
    </w:p>
    <w:p>
      <w:pPr>
        <w:ind w:left="964" w:right="32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adjustment of $1.4 million to prepaid expenses and other current assets represents the prepaid transaction costs by Chondrial as of March 31, 2020 that are added to the consideration paid and included in the purchase price allocation..</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adjustment to right-of-use assets represents an adjustment of $4.4 million to measure the fair value in accordance with ASC 805 and for the step-down associated with the excess fair value over the transaction price; refer to Note 4.</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adjustment to operating lease liabilities, current, and operating lease liabilities, noncurrent, represents an adjustment of $0.1 million to measure the fair value in accordance with ASC 805.</w:t>
      </w:r>
    </w:p>
    <w:p>
      <w:pPr>
        <w:spacing w:after="0" w:line="75" w:lineRule="exact"/>
        <w:rPr>
          <w:rFonts w:ascii="Arial" w:cs="Arial" w:eastAsia="Arial" w:hAnsi="Arial"/>
          <w:sz w:val="18"/>
          <w:szCs w:val="18"/>
          <w:color w:val="auto"/>
        </w:rPr>
      </w:pPr>
    </w:p>
    <w:p>
      <w:pPr>
        <w:ind w:left="964" w:right="96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an adjustment of $37.1 million to additional paid-in capital for the estimated fair value of the equity portion of the consideration transferred; refer to Note 4.</w:t>
      </w:r>
    </w:p>
    <w:p>
      <w:pPr>
        <w:spacing w:after="0" w:line="75" w:lineRule="exact"/>
        <w:rPr>
          <w:rFonts w:ascii="Arial" w:cs="Arial" w:eastAsia="Arial" w:hAnsi="Arial"/>
          <w:sz w:val="18"/>
          <w:szCs w:val="18"/>
          <w:color w:val="auto"/>
        </w:rPr>
      </w:pPr>
    </w:p>
    <w:p>
      <w:pPr>
        <w:ind w:left="964" w:right="84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elimination of Zafgen’s accumulated deficit, historical additional paid-in capital and historical accumulate other comprehensive income.</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6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4"/>
          </w:cols>
          <w:pgMar w:left="436" w:top="274" w:right="499" w:bottom="1440" w:gutter="0" w:footer="0" w:header="0"/>
        </w:sectPr>
      </w:pPr>
    </w:p>
    <w:bookmarkStart w:id="106" w:name="page107"/>
    <w:bookmarkEnd w:id="106"/>
    <w:p>
      <w:pPr>
        <w:ind w:left="964" w:right="2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Represents the impact on the common stock par value from the exchange of all outstanding shares of Chondrial Common Stock into 6,091,250 shares of Zafgen Common Stock pursuant to the Merger Agreement, as if the Merger had occurred on March 31, 2020 and after giving effect to the Reverse Stock Split; refer to Note 5.</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Combined Statement of Operations for the Quarter Ended March 31, 2020</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unaudited pro forma combined statements of operations include pro forma adjustments that are (1) directly attributable to the Merger,</w:t>
      </w:r>
    </w:p>
    <w:p>
      <w:pPr>
        <w:spacing w:after="0" w:line="35" w:lineRule="exact"/>
        <w:rPr>
          <w:sz w:val="20"/>
          <w:szCs w:val="20"/>
          <w:color w:val="auto"/>
        </w:rPr>
      </w:pPr>
    </w:p>
    <w:p>
      <w:pPr>
        <w:ind w:left="4" w:right="140" w:hanging="4"/>
        <w:spacing w:after="0" w:line="273"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factually supportable and (3) expected to have a continuing impact on the results of operations of the combined company. Based on Chondrial’s management’s review of Zafgen’s summary of significant accounting policies, the nature and amount of any adjustments to the historical consolidated financial statements of Zafgen to conform to the accounting policies of Chondrial are not expected to be significant. The pro forma adjustments, based on preliminary estimates that could change materially as additional information is obtained, are as follows:</w:t>
      </w:r>
    </w:p>
    <w:p>
      <w:pPr>
        <w:spacing w:after="0" w:line="81" w:lineRule="exact"/>
        <w:rPr>
          <w:rFonts w:ascii="Arial" w:cs="Arial" w:eastAsia="Arial" w:hAnsi="Arial"/>
          <w:sz w:val="17"/>
          <w:szCs w:val="17"/>
          <w:color w:val="auto"/>
        </w:rPr>
      </w:pPr>
    </w:p>
    <w:p>
      <w:pPr>
        <w:ind w:left="964" w:right="240" w:hanging="532"/>
        <w:spacing w:after="0" w:line="286" w:lineRule="auto"/>
        <w:tabs>
          <w:tab w:leader="none" w:pos="964"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$0.5 million incurred by Zafgen in connection with the merger and recorded as expense in Zafgen’s historical consolidated statement of operations for the quarter ended March 31, 2020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Represents an elimination of interest expense due to the repayment of Zafgen’s Term Loan, which was repaid as part of the Merger.</w:t>
      </w:r>
    </w:p>
    <w:p>
      <w:pPr>
        <w:spacing w:after="0" w:line="142" w:lineRule="exact"/>
        <w:rPr>
          <w:rFonts w:ascii="Arial" w:cs="Arial" w:eastAsia="Arial" w:hAnsi="Arial"/>
          <w:sz w:val="17"/>
          <w:szCs w:val="17"/>
          <w:color w:val="auto"/>
        </w:rPr>
      </w:pPr>
    </w:p>
    <w:p>
      <w:pPr>
        <w:ind w:left="964" w:hanging="532"/>
        <w:spacing w:after="0" w:line="279" w:lineRule="auto"/>
        <w:tabs>
          <w:tab w:leader="none" w:pos="964" w:val="left"/>
        </w:tabs>
        <w:numPr>
          <w:ilvl w:val="1"/>
          <w:numId w:val="64"/>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944" w:right="260" w:hanging="179"/>
        <w:spacing w:after="0" w:line="291" w:lineRule="auto"/>
        <w:rPr>
          <w:sz w:val="20"/>
          <w:szCs w:val="20"/>
          <w:color w:val="auto"/>
        </w:rPr>
      </w:pPr>
      <w:r>
        <w:rPr>
          <w:rFonts w:ascii="Arial" w:cs="Arial" w:eastAsia="Arial" w:hAnsi="Arial"/>
          <w:sz w:val="16"/>
          <w:szCs w:val="16"/>
          <w:color w:val="auto"/>
        </w:rPr>
        <w:t>Weighted average shares of Chondrial Common Stock outstanding (before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-273685</wp:posOffset>
            </wp:positionV>
            <wp:extent cx="474916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764"/>
        <w:spacing w:after="0"/>
        <w:rPr>
          <w:sz w:val="20"/>
          <w:szCs w:val="20"/>
          <w:color w:val="auto"/>
        </w:rPr>
      </w:pPr>
      <w:r>
        <w:rPr>
          <w:rFonts w:ascii="Arial" w:cs="Arial" w:eastAsia="Arial" w:hAnsi="Arial"/>
          <w:sz w:val="18"/>
          <w:szCs w:val="18"/>
          <w:color w:val="auto"/>
        </w:rPr>
        <w:t>Common Stock Exchange Ratio</w:t>
      </w:r>
    </w:p>
    <w:p>
      <w:pPr>
        <w:spacing w:after="0" w:line="22"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-121920</wp:posOffset>
            </wp:positionV>
            <wp:extent cx="474916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Reverse Stock Split Ratio</w:t>
      </w:r>
    </w:p>
    <w:p>
      <w:pPr>
        <w:spacing w:after="0" w:line="36" w:lineRule="exact"/>
        <w:rPr>
          <w:sz w:val="20"/>
          <w:szCs w:val="20"/>
          <w:color w:val="auto"/>
        </w:rPr>
      </w:pPr>
    </w:p>
    <w:p>
      <w:pPr>
        <w:ind w:left="1944" w:hanging="179"/>
        <w:spacing w:after="0" w:line="255" w:lineRule="auto"/>
        <w:rPr>
          <w:sz w:val="20"/>
          <w:szCs w:val="20"/>
          <w:color w:val="auto"/>
        </w:rPr>
      </w:pPr>
      <w:r>
        <w:rPr>
          <w:rFonts w:ascii="Arial" w:cs="Arial" w:eastAsia="Arial" w:hAnsi="Arial"/>
          <w:sz w:val="18"/>
          <w:szCs w:val="18"/>
          <w:color w:val="auto"/>
        </w:rPr>
        <w:t>Weighted average shares of Chondrial Common Stock outstanding immediately prior to the closing of the Merger (after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-408940</wp:posOffset>
            </wp:positionV>
            <wp:extent cx="4749165"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ind w:left="1944" w:right="40" w:hanging="179"/>
        <w:spacing w:after="0" w:line="257" w:lineRule="auto"/>
        <w:rPr>
          <w:sz w:val="20"/>
          <w:szCs w:val="20"/>
          <w:color w:val="auto"/>
        </w:rPr>
      </w:pPr>
      <w:r>
        <w:rPr>
          <w:rFonts w:ascii="Arial" w:cs="Arial" w:eastAsia="Arial" w:hAnsi="Arial"/>
          <w:sz w:val="18"/>
          <w:szCs w:val="18"/>
          <w:color w:val="auto"/>
        </w:rPr>
        <w:t>Shares of Zafgen Common Stock outstanding immediately prior to the closing of the Merger (after giving effect to the Reverse Stock Split)</w:t>
      </w:r>
    </w:p>
    <w:p>
      <w:pPr>
        <w:spacing w:after="0" w:line="1" w:lineRule="exact"/>
        <w:rPr>
          <w:sz w:val="20"/>
          <w:szCs w:val="20"/>
          <w:color w:val="auto"/>
        </w:rPr>
      </w:pPr>
    </w:p>
    <w:p>
      <w:pPr>
        <w:ind w:left="1944" w:right="320" w:hanging="179"/>
        <w:spacing w:after="0" w:line="277" w:lineRule="auto"/>
        <w:rPr>
          <w:sz w:val="20"/>
          <w:szCs w:val="20"/>
          <w:color w:val="auto"/>
        </w:rPr>
      </w:pPr>
      <w:r>
        <w:rPr>
          <w:rFonts w:ascii="Arial" w:cs="Arial" w:eastAsia="Arial" w:hAnsi="Arial"/>
          <w:sz w:val="18"/>
          <w:szCs w:val="18"/>
          <w:color w:val="auto"/>
        </w:rPr>
        <w:t>Pro forma combined weighted average number of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-293370</wp:posOffset>
            </wp:positionV>
            <wp:extent cx="4749165"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March 31, 2020</w:t>
      </w:r>
    </w:p>
    <w:p>
      <w:pPr>
        <w:spacing w:after="0" w:line="19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6"/>
          <w:szCs w:val="16"/>
          <w:u w:val="single" w:color="auto"/>
          <w:color w:val="auto"/>
        </w:rPr>
        <w:t>730,950.0000</w:t>
      </w:r>
    </w:p>
    <w:p>
      <w:pPr>
        <w:spacing w:after="0" w:line="4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73,095,000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14605</wp:posOffset>
            </wp:positionV>
            <wp:extent cx="6686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14605</wp:posOffset>
            </wp:positionV>
            <wp:extent cx="6686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6,091,250</w:t>
      </w:r>
    </w:p>
    <w:p>
      <w:pPr>
        <w:spacing w:after="0" w:line="22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3,122,466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14605</wp:posOffset>
            </wp:positionV>
            <wp:extent cx="6686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32"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9,213,716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14605</wp:posOffset>
            </wp:positionV>
            <wp:extent cx="668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31750</wp:posOffset>
            </wp:positionV>
            <wp:extent cx="6686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7904" w:space="280"/>
            <w:col w:w="2780"/>
          </w:cols>
          <w:pgMar w:left="436" w:top="274" w:right="499" w:bottom="1440" w:gutter="0" w:footer="0" w:header="0"/>
          <w:type w:val="continuous"/>
        </w:sectPr>
      </w:pPr>
    </w:p>
    <w:p>
      <w:pPr>
        <w:spacing w:after="0" w:line="169"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Combined Statement of Operations for the Year Ended December 31, 2019</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unaudited pro forma combined statements of operations include pro forma adjustments that are (1) directly attributable to the Merger,</w:t>
      </w:r>
    </w:p>
    <w:p>
      <w:pPr>
        <w:spacing w:after="0" w:line="35" w:lineRule="exact"/>
        <w:rPr>
          <w:sz w:val="20"/>
          <w:szCs w:val="20"/>
          <w:color w:val="auto"/>
        </w:rPr>
      </w:pPr>
    </w:p>
    <w:p>
      <w:pPr>
        <w:ind w:left="4" w:right="140" w:hanging="4"/>
        <w:spacing w:after="0" w:line="273" w:lineRule="auto"/>
        <w:tabs>
          <w:tab w:leader="none" w:pos="259"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factually supportable and (3) expected to have a continuing impact on the results of operations of the combined company. Based on Chondrial’s management’s review of Zafgen’s summary of significant accounting policies, the nature and amount of any adjustments to the historical consolidated financial statements of Zafgen to conform to the accounting policies of Chondrial are not expected to be significant. The pro forma adjustments, based on preliminary estimates that could change materially as additional information is obtained, are as follows:</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1"/>
          <w:numId w:val="6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64"/>
          </w:cols>
          <w:pgMar w:left="436" w:top="274" w:right="499" w:bottom="1440" w:gutter="0" w:footer="0" w:header="0"/>
          <w:type w:val="continuous"/>
        </w:sectPr>
      </w:pPr>
    </w:p>
    <w:bookmarkStart w:id="107" w:name="page108"/>
    <w:bookmarkEnd w:id="107"/>
    <w:p>
      <w:pPr>
        <w:ind w:left="964" w:right="260" w:hanging="532"/>
        <w:spacing w:after="0" w:line="286" w:lineRule="auto"/>
        <w:tabs>
          <w:tab w:leader="none" w:pos="964"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Represents an elimination of interest expense due to the repayment of Zafgen’s Term Loan, which was repaid as part of the Merger.</w:t>
      </w:r>
    </w:p>
    <w:p>
      <w:pPr>
        <w:spacing w:after="0" w:line="142" w:lineRule="exact"/>
        <w:rPr>
          <w:rFonts w:ascii="Arial" w:cs="Arial" w:eastAsia="Arial" w:hAnsi="Arial"/>
          <w:sz w:val="17"/>
          <w:szCs w:val="17"/>
          <w:color w:val="auto"/>
        </w:rPr>
      </w:pPr>
    </w:p>
    <w:p>
      <w:pPr>
        <w:ind w:left="964" w:right="20" w:hanging="532"/>
        <w:spacing w:after="0" w:line="279" w:lineRule="auto"/>
        <w:tabs>
          <w:tab w:leader="none" w:pos="96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ectPr>
          <w:pgSz w:w="11900" w:h="16838" w:orient="portrait"/>
          <w:cols w:equalWidth="0" w:num="1">
            <w:col w:w="10984"/>
          </w:cols>
          <w:pgMar w:left="436" w:top="27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44" w:right="260" w:hanging="179"/>
        <w:spacing w:after="0" w:line="291" w:lineRule="auto"/>
        <w:rPr>
          <w:sz w:val="20"/>
          <w:szCs w:val="20"/>
          <w:color w:val="auto"/>
        </w:rPr>
      </w:pPr>
      <w:r>
        <w:rPr>
          <w:rFonts w:ascii="Arial" w:cs="Arial" w:eastAsia="Arial" w:hAnsi="Arial"/>
          <w:sz w:val="16"/>
          <w:szCs w:val="16"/>
          <w:color w:val="auto"/>
        </w:rPr>
        <w:t>Weighted average shares of Chondrial Common Stock outstanding (before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-273685</wp:posOffset>
            </wp:positionV>
            <wp:extent cx="474916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764"/>
        <w:spacing w:after="0"/>
        <w:rPr>
          <w:sz w:val="20"/>
          <w:szCs w:val="20"/>
          <w:color w:val="auto"/>
        </w:rPr>
      </w:pPr>
      <w:r>
        <w:rPr>
          <w:rFonts w:ascii="Arial" w:cs="Arial" w:eastAsia="Arial" w:hAnsi="Arial"/>
          <w:sz w:val="18"/>
          <w:szCs w:val="18"/>
          <w:color w:val="auto"/>
        </w:rPr>
        <w:t>Common Stock Exchange Ratio</w:t>
      </w:r>
    </w:p>
    <w:p>
      <w:pPr>
        <w:spacing w:after="0" w:line="22"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-121920</wp:posOffset>
            </wp:positionV>
            <wp:extent cx="474916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Reverse Stock Split Ratio</w:t>
      </w:r>
    </w:p>
    <w:p>
      <w:pPr>
        <w:spacing w:after="0" w:line="36" w:lineRule="exact"/>
        <w:rPr>
          <w:sz w:val="20"/>
          <w:szCs w:val="20"/>
          <w:color w:val="auto"/>
        </w:rPr>
      </w:pPr>
    </w:p>
    <w:p>
      <w:pPr>
        <w:ind w:left="1944" w:hanging="179"/>
        <w:spacing w:after="0" w:line="255" w:lineRule="auto"/>
        <w:rPr>
          <w:sz w:val="20"/>
          <w:szCs w:val="20"/>
          <w:color w:val="auto"/>
        </w:rPr>
      </w:pPr>
      <w:r>
        <w:rPr>
          <w:rFonts w:ascii="Arial" w:cs="Arial" w:eastAsia="Arial" w:hAnsi="Arial"/>
          <w:sz w:val="18"/>
          <w:szCs w:val="18"/>
          <w:color w:val="auto"/>
        </w:rPr>
        <w:t>Weighted average shares of Chondrial Common Stock outstanding immediately prior to the closing of the Merger (after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-408940</wp:posOffset>
            </wp:positionV>
            <wp:extent cx="4749165"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ind w:left="1944" w:right="40" w:hanging="179"/>
        <w:spacing w:after="0" w:line="257" w:lineRule="auto"/>
        <w:rPr>
          <w:sz w:val="20"/>
          <w:szCs w:val="20"/>
          <w:color w:val="auto"/>
        </w:rPr>
      </w:pPr>
      <w:r>
        <w:rPr>
          <w:rFonts w:ascii="Arial" w:cs="Arial" w:eastAsia="Arial" w:hAnsi="Arial"/>
          <w:sz w:val="18"/>
          <w:szCs w:val="18"/>
          <w:color w:val="auto"/>
        </w:rPr>
        <w:t>Shares of Zafgen Common Stock outstanding immediately prior to the closing of the Merger (after giving effect to the Reverse Stock Split)</w:t>
      </w:r>
    </w:p>
    <w:p>
      <w:pPr>
        <w:spacing w:after="0" w:line="1" w:lineRule="exact"/>
        <w:rPr>
          <w:sz w:val="20"/>
          <w:szCs w:val="20"/>
          <w:color w:val="auto"/>
        </w:rPr>
      </w:pPr>
    </w:p>
    <w:p>
      <w:pPr>
        <w:ind w:left="1944" w:right="320" w:hanging="179"/>
        <w:spacing w:after="0" w:line="277" w:lineRule="auto"/>
        <w:rPr>
          <w:sz w:val="20"/>
          <w:szCs w:val="20"/>
          <w:color w:val="auto"/>
        </w:rPr>
      </w:pPr>
      <w:r>
        <w:rPr>
          <w:rFonts w:ascii="Arial" w:cs="Arial" w:eastAsia="Arial" w:hAnsi="Arial"/>
          <w:sz w:val="18"/>
          <w:szCs w:val="18"/>
          <w:color w:val="auto"/>
        </w:rPr>
        <w:t>Pro forma combined weighted average number of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-293370</wp:posOffset>
            </wp:positionV>
            <wp:extent cx="4749165"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349"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Year Ended</w:t>
      </w:r>
    </w:p>
    <w:p>
      <w:pPr>
        <w:jc w:val="center"/>
        <w:ind w:right="1860"/>
        <w:spacing w:after="0" w:line="226" w:lineRule="auto"/>
        <w:rPr>
          <w:sz w:val="20"/>
          <w:szCs w:val="20"/>
          <w:color w:val="auto"/>
        </w:rPr>
      </w:pPr>
      <w:r>
        <w:rPr>
          <w:rFonts w:ascii="Arial" w:cs="Arial" w:eastAsia="Arial" w:hAnsi="Arial"/>
          <w:sz w:val="14"/>
          <w:szCs w:val="14"/>
          <w:b w:val="1"/>
          <w:bCs w:val="1"/>
          <w:color w:val="auto"/>
        </w:rPr>
        <w:t>December 31,</w:t>
      </w:r>
    </w:p>
    <w:p>
      <w:pPr>
        <w:jc w:val="center"/>
        <w:ind w:right="1860"/>
        <w:spacing w:after="0"/>
        <w:rPr>
          <w:sz w:val="20"/>
          <w:szCs w:val="20"/>
          <w:color w:val="auto"/>
        </w:rPr>
      </w:pPr>
      <w:r>
        <w:rPr>
          <w:rFonts w:ascii="Arial" w:cs="Arial" w:eastAsia="Arial" w:hAnsi="Arial"/>
          <w:sz w:val="14"/>
          <w:szCs w:val="14"/>
          <w:b w:val="1"/>
          <w:bCs w:val="1"/>
          <w:color w:val="auto"/>
        </w:rPr>
        <w:t>2019</w:t>
      </w:r>
    </w:p>
    <w:p>
      <w:pPr>
        <w:spacing w:after="0" w:line="19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6"/>
          <w:szCs w:val="16"/>
          <w:u w:val="single" w:color="auto"/>
          <w:color w:val="auto"/>
        </w:rPr>
        <w:t>730,950.0000</w:t>
      </w:r>
    </w:p>
    <w:p>
      <w:pPr>
        <w:spacing w:after="0" w:line="4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73,095,000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6686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6686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6,091,250</w:t>
      </w:r>
    </w:p>
    <w:p>
      <w:pPr>
        <w:spacing w:after="0" w:line="22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3,122,466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6686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3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9,213,716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668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31750</wp:posOffset>
            </wp:positionV>
            <wp:extent cx="6686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751" w:lineRule="exact"/>
        <w:rPr>
          <w:sz w:val="20"/>
          <w:szCs w:val="20"/>
          <w:color w:val="auto"/>
        </w:rPr>
      </w:pPr>
    </w:p>
    <w:p>
      <w:pPr>
        <w:sectPr>
          <w:pgSz w:w="11900" w:h="16838" w:orient="portrait"/>
          <w:cols w:equalWidth="0" w:num="2">
            <w:col w:w="7904" w:space="300"/>
            <w:col w:w="2780"/>
          </w:cols>
          <w:pgMar w:left="436" w:top="274" w:right="479" w:bottom="1440" w:gutter="0" w:footer="0" w:header="0"/>
          <w:type w:val="continuous"/>
        </w:sectPr>
      </w:pPr>
    </w:p>
    <w:p>
      <w:pPr>
        <w:ind w:left="4" w:right="780" w:firstLine="440"/>
        <w:spacing w:after="0" w:line="277" w:lineRule="auto"/>
        <w:rPr>
          <w:sz w:val="20"/>
          <w:szCs w:val="20"/>
          <w:color w:val="auto"/>
        </w:rPr>
      </w:pPr>
      <w:r>
        <w:rPr>
          <w:rFonts w:ascii="Arial" w:cs="Arial" w:eastAsia="Arial" w:hAnsi="Arial"/>
          <w:sz w:val="18"/>
          <w:szCs w:val="18"/>
          <w:color w:val="auto"/>
        </w:rPr>
        <w:t>The unaudited pro forma combined statements include pro forma adjustments associated with the Private placement that are (1) directly attributable to the private placement and (2) factually supportable. The pro forma adjustments are as follows:</w:t>
      </w:r>
    </w:p>
    <w:p>
      <w:pPr>
        <w:spacing w:after="0" w:line="76" w:lineRule="exact"/>
        <w:rPr>
          <w:sz w:val="20"/>
          <w:szCs w:val="20"/>
          <w:color w:val="auto"/>
        </w:rPr>
      </w:pPr>
    </w:p>
    <w:p>
      <w:pPr>
        <w:ind w:left="964" w:right="120" w:hanging="532"/>
        <w:spacing w:after="0" w:line="263"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record the sale of 6,105,359 shares of the Company’s common stock and Pre-Funded Warrants to purchase an aggregate of 628,403 shares of the Company’s Common Stock, for a price of $11.88 per share of Common Stock and $11.87 per Pre-Funded Warrant, resulting in net proceeds of $75.5 million.</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reflect an increase in the weighted average shares outstanding for the period after giving effect to the issuance of 6,105,359 Shares of the Company’s Common Stock and Pre-Funded warrants to purchase an aggregate of 628,403 shares of the Company’s Common Stock for a price of $0.01 per share.</w:t>
      </w:r>
    </w:p>
    <w:p>
      <w:pPr>
        <w:spacing w:after="0" w:line="116" w:lineRule="exact"/>
        <w:rPr>
          <w:rFonts w:ascii="Arial" w:cs="Arial" w:eastAsia="Arial" w:hAnsi="Arial"/>
          <w:sz w:val="18"/>
          <w:szCs w:val="18"/>
          <w:color w:val="auto"/>
        </w:rPr>
      </w:pPr>
    </w:p>
    <w:p>
      <w:pPr>
        <w:ind w:left="5424" w:hanging="108"/>
        <w:spacing w:after="0"/>
        <w:tabs>
          <w:tab w:leader="none" w:pos="54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4"/>
          </w:cols>
          <w:pgMar w:left="436" w:top="274" w:right="47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  Chondrial Loss Per Share</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After the close of the Merger Chondrial’s financials will be the historical financials of Larimar and the following table presents on a pro forma basis what the historical loss per share, basic and diluted, would be giving effect for the Common Stock Exchange Ratio and reverse stock split:</w:t>
      </w:r>
    </w:p>
    <w:p>
      <w:pPr>
        <w:spacing w:after="0" w:line="13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Quarter Ended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expect share and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 as originally reported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0"/>
              </w:rPr>
              <w:t>Weighted average shares of Chondrial Common Stock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Exchange Ratio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730,950.0000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730,950.0000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730,950.0000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730,950.0000</w:t>
            </w: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73,095,000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73,095,000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73,095,000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 ratio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w w:val="90"/>
              </w:rPr>
              <w:t>Weighted average shares of Chondrial Common Stock outstanding</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immediately prior to the closing of the Merger</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6,091,250</w:t>
            </w: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6,091,250</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6,091,250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6,091,250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4"/>
                <w:szCs w:val="24"/>
                <w:color w:val="auto"/>
              </w:rPr>
            </w:pPr>
          </w:p>
        </w:tc>
        <w:tc>
          <w:tcPr>
            <w:tcW w:w="1300" w:type="dxa"/>
            <w:vAlign w:val="bottom"/>
            <w:gridSpan w:val="3"/>
          </w:tcPr>
          <w:p>
            <w:pPr>
              <w:jc w:val="center"/>
              <w:ind w:right="775"/>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lowerLetter"/>
      <w:start w:val="1"/>
    </w:lvl>
  </w:abstractNum>
  <w:abstractNum w:abstractNumId="2">
    <w:nsid w:val="5072367"/>
    <w:multiLevelType w:val="hybridMultilevel"/>
    <w:lvl w:ilvl="0">
      <w:lvlJc w:val="left"/>
      <w:lvlText w:val="(%1)"/>
      <w:numFmt w:val="lowerLetter"/>
      <w:start w:val="2"/>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3"/>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2"/>
    </w:lvl>
  </w:abstractNum>
  <w:abstractNum w:abstractNumId="42">
    <w:nsid w:val="275AC794"/>
    <w:multiLevelType w:val="hybridMultilevel"/>
    <w:lvl w:ilvl="0">
      <w:lvlJc w:val="left"/>
      <w:lvlText w:val="(%1)"/>
      <w:numFmt w:val="decimal"/>
      <w:start w:val="3"/>
    </w:lvl>
  </w:abstractNum>
  <w:abstractNum w:abstractNumId="43">
    <w:nsid w:val="39386575"/>
    <w:multiLevelType w:val="hybridMultilevel"/>
    <w:lvl w:ilvl="0">
      <w:lvlJc w:val="left"/>
      <w:lvlText w:val="(%1)"/>
      <w:numFmt w:val="decimal"/>
      <w:start w:val="4"/>
    </w:lvl>
  </w:abstractNum>
  <w:abstractNum w:abstractNumId="44">
    <w:nsid w:val="1CF10FD8"/>
    <w:multiLevelType w:val="hybridMultilevel"/>
    <w:lvl w:ilvl="0">
      <w:lvlJc w:val="left"/>
      <w:lvlText w:val="(%1)"/>
      <w:numFmt w:val="decimal"/>
      <w:start w:val="5"/>
    </w:lvl>
  </w:abstractNum>
  <w:abstractNum w:abstractNumId="45">
    <w:nsid w:val="180115BE"/>
    <w:multiLevelType w:val="hybridMultilevel"/>
    <w:lvl w:ilvl="0">
      <w:lvlJc w:val="left"/>
      <w:lvlText w:val="(%1)"/>
      <w:numFmt w:val="decimal"/>
      <w:start w:val="6"/>
    </w:lvl>
  </w:abstractNum>
  <w:abstractNum w:abstractNumId="46">
    <w:nsid w:val="235BA861"/>
    <w:multiLevelType w:val="hybridMultilevel"/>
    <w:lvl w:ilvl="0">
      <w:lvlJc w:val="left"/>
      <w:lvlText w:val="(%1)"/>
      <w:numFmt w:val="decimal"/>
      <w:start w:val="7"/>
    </w:lvl>
  </w:abstractNum>
  <w:abstractNum w:abstractNumId="47">
    <w:nsid w:val="47398C89"/>
    <w:multiLevelType w:val="hybridMultilevel"/>
    <w:lvl w:ilvl="0">
      <w:lvlJc w:val="left"/>
      <w:lvlText w:val="(%1)"/>
      <w:numFmt w:val="decimal"/>
      <w:start w:val="8"/>
    </w:lvl>
  </w:abstractNum>
  <w:abstractNum w:abstractNumId="48">
    <w:nsid w:val="354FE9F9"/>
    <w:multiLevelType w:val="hybridMultilevel"/>
    <w:lvl w:ilvl="0">
      <w:lvlJc w:val="left"/>
      <w:lvlText w:val="(%1)"/>
      <w:numFmt w:val="decimal"/>
      <w:start w:val="9"/>
    </w:lvl>
  </w:abstractNum>
  <w:abstractNum w:abstractNumId="49">
    <w:nsid w:val="15B5AF5C"/>
    <w:multiLevelType w:val="hybridMultilevel"/>
    <w:lvl w:ilvl="0">
      <w:lvlJc w:val="left"/>
      <w:lvlText w:val="(%1)"/>
      <w:numFmt w:val="decimal"/>
      <w:start w:val="10"/>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3"/>
    </w:lvl>
  </w:abstractNum>
  <w:abstractNum w:abstractNumId="54">
    <w:nsid w:val="61574095"/>
    <w:multiLevelType w:val="hybridMultilevel"/>
    <w:lvl w:ilvl="0">
      <w:lvlJc w:val="left"/>
      <w:lvlText w:val="(%1)"/>
      <w:numFmt w:val="decimal"/>
      <w:start w:val="4"/>
    </w:lvl>
  </w:abstractNum>
  <w:abstractNum w:abstractNumId="55">
    <w:nsid w:val="7E0C57B1"/>
    <w:multiLevelType w:val="hybridMultilevel"/>
    <w:lvl w:ilvl="0">
      <w:lvlJc w:val="left"/>
      <w:lvlText w:val="(%1)"/>
      <w:numFmt w:val="decimal"/>
      <w:start w:val="1"/>
    </w:lvl>
    <w:lvl w:ilvl="1">
      <w:lvlJc w:val="left"/>
      <w:lvlText w:val="-"/>
      <w:numFmt w:val="bullet"/>
      <w:start w:val="1"/>
    </w:lvl>
  </w:abstractNum>
  <w:abstractNum w:abstractNumId="56">
    <w:nsid w:val="77AE35EB"/>
    <w:multiLevelType w:val="hybridMultilevel"/>
    <w:lvl w:ilvl="0">
      <w:lvlJc w:val="left"/>
      <w:lvlText w:val="(%1)"/>
      <w:numFmt w:val="decimal"/>
      <w:start w:val="5"/>
    </w:lvl>
  </w:abstractNum>
  <w:abstractNum w:abstractNumId="57">
    <w:nsid w:val="579BE4F1"/>
    <w:multiLevelType w:val="hybridMultilevel"/>
    <w:lvl w:ilvl="0">
      <w:lvlJc w:val="left"/>
      <w:lvlText w:val="(%1)"/>
      <w:numFmt w:val="decimal"/>
      <w:start w:val="6"/>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0">
    <w:nsid w:val="2F305DEF"/>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1">
    <w:nsid w:val="25A70BF7"/>
    <w:multiLevelType w:val="hybridMultilevel"/>
    <w:lvl w:ilvl="0">
      <w:lvlJc w:val="left"/>
      <w:lvlText w:val="%1"/>
      <w:numFmt w:val="decimal"/>
      <w:start w:val="1"/>
    </w:lvl>
    <w:lvl w:ilvl="1">
      <w:lvlJc w:val="left"/>
      <w:lvlText w:val="(%2)"/>
      <w:numFmt w:val="lowerLetter"/>
      <w:start w:val="7"/>
    </w:lvl>
  </w:abstractNum>
  <w:abstractNum w:abstractNumId="62">
    <w:nsid w:val="1DBABF00"/>
    <w:multiLevelType w:val="hybridMultilevel"/>
    <w:lvl w:ilvl="0">
      <w:lvlJc w:val="left"/>
      <w:lvlText w:val="(%1)"/>
      <w:numFmt w:val="decimal"/>
      <w:start w:val="7"/>
    </w:lvl>
    <w:lvl w:ilvl="1">
      <w:lvlJc w:val="left"/>
      <w:lvlText w:val="%2"/>
      <w:numFmt w:val="lowerLetter"/>
      <w:start w:val="1"/>
    </w:lvl>
  </w:abstractNum>
  <w:abstractNum w:abstractNumId="63">
    <w:nsid w:val="4AD084E9"/>
    <w:multiLevelType w:val="hybridMultilevel"/>
    <w:lvl w:ilvl="0">
      <w:lvlJc w:val="left"/>
      <w:lvlText w:val="(%1)"/>
      <w:numFmt w:val="decimal"/>
      <w:start w:val="2"/>
    </w:lvl>
    <w:lvl w:ilvl="1">
      <w:lvlJc w:val="left"/>
      <w:lvlText w:val="(%2)"/>
      <w:numFmt w:val="lowerLetter"/>
      <w:start w:val="1"/>
    </w:lvl>
  </w:abstractNum>
  <w:abstractNum w:abstractNumId="64">
    <w:nsid w:val="1F48EAA1"/>
    <w:multiLevelType w:val="hybridMultilevel"/>
    <w:lvl w:ilvl="0">
      <w:lvlJc w:val="left"/>
      <w:lvlText w:val="(%1)"/>
      <w:numFmt w:val="decimal"/>
      <w:start w:val="8"/>
    </w:lvl>
  </w:abstractNum>
  <w:abstractNum w:abstractNumId="65">
    <w:nsid w:val="1381823A"/>
    <w:multiLevelType w:val="hybridMultilevel"/>
    <w:lvl w:ilvl="0">
      <w:lvlJc w:val="left"/>
      <w:lvlText w:val="(%1)"/>
      <w:numFmt w:val="decimal"/>
      <w:start w:val="2"/>
    </w:lvl>
    <w:lvl w:ilvl="1">
      <w:lvlJc w:val="left"/>
      <w:lvlText w:val="-"/>
      <w:numFmt w:val="bullet"/>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9"/>
    </w:lvl>
  </w:abstractNum>
  <w:abstractNum w:abstractNumId="68">
    <w:nsid w:val="6590700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2020-06-26T16:10:01Z</dcterms:created>
  <dcterms:modified xsi:type="dcterms:W3CDTF">2020-06-26T16:10:01Z</dcterms:modified>
</cp:coreProperties>
</file>