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As filed with the Securities and Exchange Commission on March 5, 2020</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108585</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19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227330</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S-8</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REGISTRATION STATEMENT</w:t>
      </w:r>
    </w:p>
    <w:p>
      <w:pPr>
        <w:jc w:val="center"/>
        <w:spacing w:after="0" w:line="230" w:lineRule="auto"/>
        <w:rPr>
          <w:sz w:val="20"/>
          <w:szCs w:val="20"/>
          <w:color w:val="auto"/>
        </w:rPr>
      </w:pPr>
      <w:r>
        <w:rPr>
          <w:rFonts w:ascii="Arial" w:cs="Arial" w:eastAsia="Arial" w:hAnsi="Arial"/>
          <w:sz w:val="22"/>
          <w:szCs w:val="22"/>
          <w:b w:val="1"/>
          <w:bCs w:val="1"/>
          <w:i w:val="1"/>
          <w:iCs w:val="1"/>
          <w:color w:val="auto"/>
        </w:rPr>
        <w:t>UNDER</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219075</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11"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ZAFGEN,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227965</wp:posOffset>
            </wp:positionV>
            <wp:extent cx="1466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ectPr>
          <w:pgSz w:w="11900" w:h="16838" w:orient="portrait"/>
          <w:cols w:equalWidth="0" w:num="1">
            <w:col w:w="11020"/>
          </w:cols>
          <w:pgMar w:left="440" w:top="229" w:right="439" w:bottom="293"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242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20-3857670</w:t>
      </w:r>
    </w:p>
    <w:p>
      <w:pPr>
        <w:spacing w:after="0" w:line="31" w:lineRule="exact"/>
        <w:rPr>
          <w:sz w:val="24"/>
          <w:szCs w:val="24"/>
          <w:color w:val="auto"/>
        </w:rPr>
      </w:pPr>
    </w:p>
    <w:p>
      <w:pPr>
        <w:sectPr>
          <w:pgSz w:w="11900" w:h="16838" w:orient="portrait"/>
          <w:cols w:equalWidth="0" w:num="2">
            <w:col w:w="7200" w:space="720"/>
            <w:col w:w="3100"/>
          </w:cols>
          <w:pgMar w:left="440" w:top="229" w:right="439" w:bottom="293" w:gutter="0" w:footer="0" w:header="0"/>
          <w:type w:val="continuous"/>
        </w:sectPr>
      </w:pPr>
    </w:p>
    <w:p>
      <w:pPr>
        <w:spacing w:after="0" w:line="12" w:lineRule="exact"/>
        <w:rPr>
          <w:sz w:val="24"/>
          <w:szCs w:val="24"/>
          <w:color w:val="auto"/>
        </w:rPr>
      </w:pPr>
    </w:p>
    <w:p>
      <w:pPr>
        <w:ind w:left="1860"/>
        <w:spacing w:after="0"/>
        <w:rPr>
          <w:sz w:val="20"/>
          <w:szCs w:val="20"/>
          <w:color w:val="auto"/>
        </w:rPr>
      </w:pPr>
      <w:r>
        <w:rPr>
          <w:rFonts w:ascii="Arial" w:cs="Arial" w:eastAsia="Arial" w:hAnsi="Arial"/>
          <w:sz w:val="13"/>
          <w:szCs w:val="13"/>
          <w:b w:val="1"/>
          <w:bCs w:val="1"/>
          <w:color w:val="auto"/>
        </w:rPr>
        <w:t>(State or Other Jurisdiction of</w:t>
      </w:r>
    </w:p>
    <w:p>
      <w:pPr>
        <w:ind w:left="1820"/>
        <w:spacing w:after="0"/>
        <w:rPr>
          <w:sz w:val="20"/>
          <w:szCs w:val="20"/>
          <w:color w:val="auto"/>
        </w:rPr>
      </w:pPr>
      <w:r>
        <w:rPr>
          <w:rFonts w:ascii="Arial" w:cs="Arial" w:eastAsia="Arial" w:hAnsi="Arial"/>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Arial" w:cs="Arial" w:eastAsia="Arial" w:hAnsi="Arial"/>
          <w:sz w:val="14"/>
          <w:szCs w:val="14"/>
          <w:b w:val="1"/>
          <w:bCs w:val="1"/>
          <w:color w:val="auto"/>
        </w:rPr>
        <w:t>(I.R.S. Employer</w:t>
      </w:r>
    </w:p>
    <w:p>
      <w:pPr>
        <w:spacing w:after="0"/>
        <w:rPr>
          <w:sz w:val="20"/>
          <w:szCs w:val="20"/>
          <w:color w:val="auto"/>
        </w:rPr>
      </w:pPr>
      <w:r>
        <w:rPr>
          <w:rFonts w:ascii="Arial" w:cs="Arial" w:eastAsia="Arial" w:hAnsi="Arial"/>
          <w:sz w:val="13"/>
          <w:szCs w:val="13"/>
          <w:b w:val="1"/>
          <w:bCs w:val="1"/>
          <w:color w:val="auto"/>
        </w:rPr>
        <w:t>Identification No.)</w:t>
      </w:r>
    </w:p>
    <w:p>
      <w:pPr>
        <w:spacing w:after="0" w:line="200" w:lineRule="exact"/>
        <w:rPr>
          <w:sz w:val="24"/>
          <w:szCs w:val="24"/>
          <w:color w:val="auto"/>
        </w:rPr>
      </w:pPr>
    </w:p>
    <w:p>
      <w:pPr>
        <w:sectPr>
          <w:pgSz w:w="11900" w:h="16838" w:orient="portrait"/>
          <w:cols w:equalWidth="0" w:num="2">
            <w:col w:w="7060" w:space="720"/>
            <w:col w:w="3240"/>
          </w:cols>
          <w:pgMar w:left="440" w:top="229" w:right="439" w:bottom="293" w:gutter="0" w:footer="0" w:header="0"/>
          <w:type w:val="continuous"/>
        </w:sectPr>
      </w:pPr>
    </w:p>
    <w:p>
      <w:pPr>
        <w:spacing w:after="0" w:line="1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Zafgen, Inc.</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Boston, Massachusetts 02108</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(617) 622-4003</w:t>
      </w:r>
    </w:p>
    <w:p>
      <w:pPr>
        <w:spacing w:after="0" w:line="2" w:lineRule="exact"/>
        <w:rPr>
          <w:sz w:val="24"/>
          <w:szCs w:val="24"/>
          <w:color w:val="auto"/>
        </w:rPr>
      </w:pPr>
    </w:p>
    <w:p>
      <w:pPr>
        <w:jc w:val="center"/>
        <w:ind w:right="-19"/>
        <w:spacing w:after="0"/>
        <w:rPr>
          <w:sz w:val="20"/>
          <w:szCs w:val="20"/>
          <w:color w:val="auto"/>
        </w:rPr>
      </w:pPr>
      <w:r>
        <w:rPr>
          <w:rFonts w:ascii="Arial" w:cs="Arial" w:eastAsia="Arial" w:hAnsi="Arial"/>
          <w:sz w:val="13"/>
          <w:szCs w:val="13"/>
          <w:b w:val="1"/>
          <w:bCs w:val="1"/>
          <w:color w:val="auto"/>
        </w:rPr>
        <w:t>(Address of Principal Executive Offices) (Zip Code)</w:t>
      </w:r>
    </w:p>
    <w:p>
      <w:pPr>
        <w:sectPr>
          <w:pgSz w:w="11900" w:h="16838" w:orient="portrait"/>
          <w:cols w:equalWidth="0" w:num="1">
            <w:col w:w="11020"/>
          </w:cols>
          <w:pgMar w:left="440" w:top="229" w:right="439" w:bottom="293" w:gutter="0" w:footer="0" w:header="0"/>
          <w:type w:val="continuous"/>
        </w:sectPr>
      </w:pPr>
    </w:p>
    <w:p>
      <w:pPr>
        <w:spacing w:after="0" w:line="20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Zafgen, Inc. 2014 Stock Option and Incentive Plan</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(Full Title of the Plans)</w:t>
      </w:r>
    </w:p>
    <w:p>
      <w:pPr>
        <w:spacing w:after="0" w:line="19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Jeffrey Hatfield</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Chief Executive Officer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Zafgen, Inc.</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3 Center Plaza, Suite 610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Boston, Massachusetts 02108</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(Name and Address of Agent For Service)</w:t>
      </w:r>
    </w:p>
    <w:p>
      <w:pPr>
        <w:spacing w:after="0" w:line="19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(617) 622-4003</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219075</wp:posOffset>
            </wp:positionV>
            <wp:extent cx="1466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41"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Copy to:</w:t>
      </w:r>
    </w:p>
    <w:p>
      <w:pPr>
        <w:spacing w:after="0" w:line="11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Mitchell S. Bloom, Esq.</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Danielle Lauzon, Esq.</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Goodwin Procter LLP</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100 Northern Avenue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Boston, Massachusetts 02210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(617) 570-1000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237490</wp:posOffset>
            </wp:positionV>
            <wp:extent cx="1466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69" w:lineRule="exact"/>
        <w:rPr>
          <w:sz w:val="24"/>
          <w:szCs w:val="24"/>
          <w:color w:val="auto"/>
        </w:rPr>
      </w:pPr>
    </w:p>
    <w:p>
      <w:pPr>
        <w:ind w:right="100"/>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76"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222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340" w:type="dxa"/>
            <w:vAlign w:val="bottom"/>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5080" w:type="dxa"/>
            <w:vAlign w:val="bottom"/>
          </w:tcPr>
          <w:p>
            <w:pPr>
              <w:ind w:left="2940"/>
              <w:spacing w:after="0"/>
              <w:rPr>
                <w:sz w:val="20"/>
                <w:szCs w:val="20"/>
                <w:color w:val="auto"/>
              </w:rPr>
            </w:pPr>
            <w:r>
              <w:rPr>
                <w:rFonts w:ascii="Arial" w:cs="Arial" w:eastAsia="Arial" w:hAnsi="Arial"/>
                <w:sz w:val="18"/>
                <w:szCs w:val="18"/>
                <w:color w:val="auto"/>
              </w:rPr>
              <w:t>Accelerated filer</w:t>
            </w:r>
          </w:p>
        </w:tc>
        <w:tc>
          <w:tcPr>
            <w:tcW w:w="320" w:type="dxa"/>
            <w:vAlign w:val="bottom"/>
          </w:tcPr>
          <w:p>
            <w:pPr>
              <w:ind w:left="1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2220" w:type="dxa"/>
            <w:vAlign w:val="bottom"/>
          </w:tcPr>
          <w:p>
            <w:pPr>
              <w:spacing w:after="0"/>
              <w:rPr>
                <w:sz w:val="20"/>
                <w:szCs w:val="20"/>
                <w:color w:val="auto"/>
              </w:rPr>
            </w:pPr>
            <w:r>
              <w:rPr>
                <w:rFonts w:ascii="Arial" w:cs="Arial" w:eastAsia="Arial" w:hAnsi="Arial"/>
                <w:sz w:val="18"/>
                <w:szCs w:val="18"/>
                <w:color w:val="auto"/>
              </w:rPr>
              <w:t>Non-accelerated filer</w:t>
            </w:r>
          </w:p>
        </w:tc>
        <w:tc>
          <w:tcPr>
            <w:tcW w:w="3340" w:type="dxa"/>
            <w:vAlign w:val="bottom"/>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5080" w:type="dxa"/>
            <w:vAlign w:val="bottom"/>
          </w:tcPr>
          <w:p>
            <w:pPr>
              <w:ind w:left="2940"/>
              <w:spacing w:after="0"/>
              <w:rPr>
                <w:sz w:val="20"/>
                <w:szCs w:val="20"/>
                <w:color w:val="auto"/>
              </w:rPr>
            </w:pPr>
            <w:r>
              <w:rPr>
                <w:rFonts w:ascii="Arial" w:cs="Arial" w:eastAsia="Arial" w:hAnsi="Arial"/>
                <w:sz w:val="18"/>
                <w:szCs w:val="18"/>
                <w:color w:val="auto"/>
                <w:w w:val="98"/>
              </w:rPr>
              <w:t>Smaller reporting company</w:t>
            </w:r>
          </w:p>
        </w:tc>
        <w:tc>
          <w:tcPr>
            <w:tcW w:w="320" w:type="dxa"/>
            <w:vAlign w:val="bottom"/>
          </w:tcPr>
          <w:p>
            <w:pPr>
              <w:ind w:left="1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222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3340" w:type="dxa"/>
            <w:vAlign w:val="bottom"/>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5080" w:type="dxa"/>
            <w:vAlign w:val="bottom"/>
          </w:tcPr>
          <w:p>
            <w:pPr>
              <w:spacing w:after="0"/>
              <w:rPr>
                <w:sz w:val="24"/>
                <w:szCs w:val="24"/>
                <w:color w:val="auto"/>
              </w:rPr>
            </w:pPr>
          </w:p>
        </w:tc>
        <w:tc>
          <w:tcPr>
            <w:tcW w:w="320" w:type="dxa"/>
            <w:vAlign w:val="bottom"/>
          </w:tcPr>
          <w:p>
            <w:pPr>
              <w:spacing w:after="0"/>
              <w:rPr>
                <w:sz w:val="24"/>
                <w:szCs w:val="24"/>
                <w:color w:val="auto"/>
              </w:rPr>
            </w:pPr>
          </w:p>
        </w:tc>
      </w:tr>
    </w:tbl>
    <w:p>
      <w:pPr>
        <w:spacing w:after="0" w:line="182" w:lineRule="exact"/>
        <w:rPr>
          <w:sz w:val="24"/>
          <w:szCs w:val="24"/>
          <w:color w:val="auto"/>
        </w:rPr>
      </w:pPr>
    </w:p>
    <w:p>
      <w:pPr>
        <w:ind w:right="28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210820</wp:posOffset>
            </wp:positionV>
            <wp:extent cx="146621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2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CALCULATION OF REGISTRATION FEE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6997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85725</wp:posOffset>
            </wp:positionV>
            <wp:extent cx="6997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020"/>
          </w:cols>
          <w:pgMar w:left="440" w:top="229" w:right="439" w:bottom="293"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39"/>
        </w:trPr>
        <w:tc>
          <w:tcPr>
            <w:tcW w:w="20" w:type="dxa"/>
            <w:vAlign w:val="bottom"/>
          </w:tcPr>
          <w:p>
            <w:pPr>
              <w:spacing w:after="0"/>
              <w:rPr>
                <w:sz w:val="12"/>
                <w:szCs w:val="12"/>
                <w:color w:val="auto"/>
              </w:rPr>
            </w:pPr>
          </w:p>
        </w:tc>
        <w:tc>
          <w:tcPr>
            <w:tcW w:w="4840" w:type="dxa"/>
            <w:vAlign w:val="bottom"/>
            <w:tcBorders>
              <w:top w:val="single" w:sz="8" w:color="auto"/>
              <w:right w:val="single" w:sz="8" w:color="auto"/>
            </w:tcBorders>
          </w:tcPr>
          <w:p>
            <w:pPr>
              <w:spacing w:after="0"/>
              <w:rPr>
                <w:sz w:val="12"/>
                <w:szCs w:val="12"/>
                <w:color w:val="auto"/>
              </w:rPr>
            </w:pPr>
          </w:p>
        </w:tc>
        <w:tc>
          <w:tcPr>
            <w:tcW w:w="158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4"/>
              </w:rPr>
              <w:t>Amount</w:t>
            </w:r>
          </w:p>
        </w:tc>
        <w:tc>
          <w:tcPr>
            <w:tcW w:w="1540" w:type="dxa"/>
            <w:vAlign w:val="bottom"/>
            <w:tcBorders>
              <w:top w:val="single" w:sz="8" w:color="auto"/>
              <w:right w:val="single" w:sz="8" w:color="auto"/>
            </w:tcBorders>
          </w:tcPr>
          <w:p>
            <w:pPr>
              <w:jc w:val="center"/>
              <w:spacing w:after="0" w:line="139" w:lineRule="exact"/>
              <w:rPr>
                <w:sz w:val="20"/>
                <w:szCs w:val="20"/>
                <w:color w:val="auto"/>
              </w:rPr>
            </w:pPr>
            <w:r>
              <w:rPr>
                <w:rFonts w:ascii="Arial" w:cs="Arial" w:eastAsia="Arial" w:hAnsi="Arial"/>
                <w:sz w:val="14"/>
                <w:szCs w:val="14"/>
                <w:b w:val="1"/>
                <w:bCs w:val="1"/>
                <w:color w:val="auto"/>
                <w:w w:val="89"/>
              </w:rPr>
              <w:t>Proposed</w:t>
            </w:r>
          </w:p>
        </w:tc>
        <w:tc>
          <w:tcPr>
            <w:tcW w:w="1540" w:type="dxa"/>
            <w:vAlign w:val="bottom"/>
            <w:tcBorders>
              <w:top w:val="single" w:sz="8" w:color="auto"/>
              <w:right w:val="single" w:sz="8" w:color="auto"/>
            </w:tcBorders>
          </w:tcPr>
          <w:p>
            <w:pPr>
              <w:jc w:val="center"/>
              <w:spacing w:after="0" w:line="139" w:lineRule="exact"/>
              <w:rPr>
                <w:sz w:val="20"/>
                <w:szCs w:val="20"/>
                <w:color w:val="auto"/>
              </w:rPr>
            </w:pPr>
            <w:r>
              <w:rPr>
                <w:rFonts w:ascii="Arial" w:cs="Arial" w:eastAsia="Arial" w:hAnsi="Arial"/>
                <w:sz w:val="14"/>
                <w:szCs w:val="14"/>
                <w:b w:val="1"/>
                <w:bCs w:val="1"/>
                <w:color w:val="auto"/>
                <w:w w:val="89"/>
              </w:rPr>
              <w:t>Proposed</w:t>
            </w:r>
          </w:p>
        </w:tc>
        <w:tc>
          <w:tcPr>
            <w:tcW w:w="152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2"/>
              </w:rPr>
              <w:t>Title of Securities</w:t>
            </w:r>
          </w:p>
        </w:tc>
        <w:tc>
          <w:tcPr>
            <w:tcW w:w="1580" w:type="dxa"/>
            <w:vAlign w:val="bottom"/>
            <w:tcBorders>
              <w:right w:val="single" w:sz="8" w:color="auto"/>
            </w:tcBorders>
            <w:vMerge w:val="continue"/>
          </w:tcPr>
          <w:p>
            <w:pPr>
              <w:spacing w:after="0"/>
              <w:rPr>
                <w:sz w:val="12"/>
                <w:szCs w:val="12"/>
                <w:color w:val="auto"/>
              </w:rPr>
            </w:pPr>
          </w:p>
        </w:tc>
        <w:tc>
          <w:tcPr>
            <w:tcW w:w="15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9"/>
              </w:rPr>
              <w:t>Maximum</w:t>
            </w:r>
          </w:p>
        </w:tc>
        <w:tc>
          <w:tcPr>
            <w:tcW w:w="15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9"/>
              </w:rPr>
              <w:t>Maximum</w:t>
            </w:r>
          </w:p>
        </w:tc>
        <w:tc>
          <w:tcPr>
            <w:tcW w:w="15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Amount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40" w:type="dxa"/>
            <w:vAlign w:val="bottom"/>
            <w:tcBorders>
              <w:right w:val="single" w:sz="8" w:color="auto"/>
            </w:tcBorders>
            <w:vMerge w:val="continue"/>
          </w:tcPr>
          <w:p>
            <w:pPr>
              <w:spacing w:after="0"/>
              <w:rPr>
                <w:sz w:val="12"/>
                <w:szCs w:val="12"/>
                <w:color w:val="auto"/>
              </w:rPr>
            </w:pPr>
          </w:p>
        </w:tc>
        <w:tc>
          <w:tcPr>
            <w:tcW w:w="15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9"/>
              </w:rPr>
              <w:t>to be</w:t>
            </w:r>
          </w:p>
        </w:tc>
        <w:tc>
          <w:tcPr>
            <w:tcW w:w="15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7"/>
              </w:rPr>
              <w:t>Offering Price</w:t>
            </w:r>
          </w:p>
        </w:tc>
        <w:tc>
          <w:tcPr>
            <w:tcW w:w="15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9"/>
              </w:rPr>
              <w:t>Aggregate</w:t>
            </w:r>
          </w:p>
        </w:tc>
        <w:tc>
          <w:tcPr>
            <w:tcW w:w="15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4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to be Registered</w:t>
            </w:r>
          </w:p>
        </w:tc>
        <w:tc>
          <w:tcPr>
            <w:tcW w:w="1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Registered (1)</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per Share</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Offering Price</w:t>
            </w: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Registration Fee</w:t>
            </w: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48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Common Stock, $0.001 par value per share</w:t>
            </w:r>
          </w:p>
        </w:tc>
        <w:tc>
          <w:tcPr>
            <w:tcW w:w="1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1,497,859 shares (2)</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$1.22 (3)</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$1,827,387.98</w:t>
            </w: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$237.20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440" w:right="160" w:hanging="436"/>
        <w:spacing w:after="0" w:line="253" w:lineRule="auto"/>
        <w:tabs>
          <w:tab w:leader="none" w:pos="4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Pursuant to Rule 416 under the Securities Act of 1933, as amended (the “Securities Act”), this registration statement on Form S-8 (this “Registration Statement”) shall also cover any additional shares of common stock, par value $0.001 per share (the “Common Stock”), of Zafgen, Inc. (the “Registrant”), which become issuable under the Registrant’s 2014 Stock Option and Incentive Plan (the “Plan”) by reason of any stock dividend, stock split, recapitalization or any other similar transaction effected without the receipt of consideration which results in an increase in the number of the Registrant’s outstanding shares of Common Stock.</w:t>
      </w:r>
    </w:p>
    <w:p>
      <w:pPr>
        <w:spacing w:after="0" w:line="2" w:lineRule="exact"/>
        <w:rPr>
          <w:rFonts w:ascii="Arial" w:cs="Arial" w:eastAsia="Arial" w:hAnsi="Arial"/>
          <w:sz w:val="18"/>
          <w:szCs w:val="18"/>
          <w:color w:val="auto"/>
        </w:rPr>
      </w:pPr>
    </w:p>
    <w:p>
      <w:pPr>
        <w:ind w:left="440" w:right="100" w:hanging="436"/>
        <w:spacing w:after="0" w:line="281" w:lineRule="auto"/>
        <w:tabs>
          <w:tab w:leader="none" w:pos="440" w:val="left"/>
        </w:tabs>
        <w:numPr>
          <w:ilvl w:val="0"/>
          <w:numId w:val="1"/>
        </w:numPr>
        <w:rPr>
          <w:rFonts w:ascii="Arial" w:cs="Arial" w:eastAsia="Arial" w:hAnsi="Arial"/>
          <w:sz w:val="16"/>
          <w:szCs w:val="16"/>
          <w:color w:val="auto"/>
        </w:rPr>
      </w:pPr>
      <w:r>
        <w:rPr>
          <w:rFonts w:ascii="Arial" w:cs="Arial" w:eastAsia="Arial" w:hAnsi="Arial"/>
          <w:sz w:val="16"/>
          <w:szCs w:val="16"/>
          <w:color w:val="auto"/>
        </w:rPr>
        <w:t>Represents an automatic increase to the number of shares available for issuance under the Plan, effective January 1, 2020. Shares available for issuance under the Plan were previously registered on registration statements on Form S-8 filed with the Securities and Exchange Commission on June 19, 2014 (Registration No. 333-196900), June 12, 2015 (Registration No. 333-204931), March 15, 2016 (Registration No. 333-210216), March 10, 2017 (Registration No. 333-216602), March 9, 2018 (Registration No. 333-223561) and March 14, 2019 (Registration</w:t>
      </w:r>
    </w:p>
    <w:p>
      <w:pPr>
        <w:spacing w:after="0" w:line="2" w:lineRule="exact"/>
        <w:rPr>
          <w:rFonts w:ascii="Arial" w:cs="Arial" w:eastAsia="Arial" w:hAnsi="Arial"/>
          <w:sz w:val="16"/>
          <w:szCs w:val="16"/>
          <w:color w:val="auto"/>
        </w:rPr>
      </w:pPr>
    </w:p>
    <w:p>
      <w:pPr>
        <w:ind w:left="440"/>
        <w:spacing w:after="0"/>
        <w:rPr>
          <w:rFonts w:ascii="Arial" w:cs="Arial" w:eastAsia="Arial" w:hAnsi="Arial"/>
          <w:sz w:val="16"/>
          <w:szCs w:val="16"/>
          <w:color w:val="auto"/>
        </w:rPr>
      </w:pPr>
      <w:r>
        <w:rPr>
          <w:rFonts w:ascii="Arial" w:cs="Arial" w:eastAsia="Arial" w:hAnsi="Arial"/>
          <w:sz w:val="18"/>
          <w:szCs w:val="18"/>
          <w:color w:val="auto"/>
        </w:rPr>
        <w:t>No. 333-230291).</w:t>
      </w:r>
    </w:p>
    <w:p>
      <w:pPr>
        <w:spacing w:after="0" w:line="9" w:lineRule="exact"/>
        <w:rPr>
          <w:rFonts w:ascii="Arial" w:cs="Arial" w:eastAsia="Arial" w:hAnsi="Arial"/>
          <w:sz w:val="16"/>
          <w:szCs w:val="16"/>
          <w:color w:val="auto"/>
        </w:rPr>
      </w:pPr>
    </w:p>
    <w:p>
      <w:pPr>
        <w:ind w:left="440" w:right="220" w:hanging="436"/>
        <w:spacing w:after="0" w:line="323" w:lineRule="auto"/>
        <w:tabs>
          <w:tab w:leader="none" w:pos="440" w:val="left"/>
        </w:tabs>
        <w:numPr>
          <w:ilvl w:val="0"/>
          <w:numId w:val="1"/>
        </w:numPr>
        <w:rPr>
          <w:rFonts w:ascii="Arial" w:cs="Arial" w:eastAsia="Arial" w:hAnsi="Arial"/>
          <w:sz w:val="16"/>
          <w:szCs w:val="16"/>
          <w:color w:val="auto"/>
        </w:rPr>
      </w:pPr>
      <w:r>
        <w:rPr>
          <w:rFonts w:ascii="Arial" w:cs="Arial" w:eastAsia="Arial" w:hAnsi="Arial"/>
          <w:sz w:val="16"/>
          <w:szCs w:val="16"/>
          <w:color w:val="auto"/>
        </w:rPr>
        <w:t>Estimated solely for the purpose of calculating the registration fee pursuant to Rule 457(h) of the Securities Act, and based on the average of the high and low sale prices of the Registrant’s Common Stock, as quoted on the Nasdaq Global Select Market, on March 3,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106045</wp:posOffset>
            </wp:positionV>
            <wp:extent cx="6997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148590</wp:posOffset>
            </wp:positionV>
            <wp:extent cx="6997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040"/>
          </w:cols>
          <w:pgMar w:left="440" w:top="133" w:right="41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EXPLANATORY NOTE</w:t>
      </w:r>
    </w:p>
    <w:p>
      <w:pPr>
        <w:spacing w:after="0" w:line="229" w:lineRule="exact"/>
        <w:rPr>
          <w:sz w:val="20"/>
          <w:szCs w:val="20"/>
          <w:color w:val="auto"/>
        </w:rPr>
      </w:pPr>
    </w:p>
    <w:p>
      <w:pPr>
        <w:spacing w:after="0" w:line="288" w:lineRule="auto"/>
        <w:rPr>
          <w:rFonts w:ascii="Arial" w:cs="Arial" w:eastAsia="Arial" w:hAnsi="Arial"/>
          <w:sz w:val="16"/>
          <w:szCs w:val="16"/>
          <w:color w:val="0000EE"/>
        </w:rPr>
      </w:pPr>
      <w:r>
        <w:rPr>
          <w:rFonts w:ascii="Arial" w:cs="Arial" w:eastAsia="Arial" w:hAnsi="Arial"/>
          <w:sz w:val="16"/>
          <w:szCs w:val="16"/>
          <w:color w:val="auto"/>
        </w:rPr>
        <w:t xml:space="preserve">This Registration Statement on Form S-8 registers additional shares of Common Stock under the Registrant’s 2014 Stock Option and Incentive Plan (the “Plan”). The number of shares of Common Stock reserved and available for issuance under the Plan is subject to an automatic annual increase on each January 1, beginning in 2015, by an amount equal to four percent of the number of shares of Common Stock issued and outstanding on the immediately preceding December 31 or such lesser number of shares of Common Stock as determined by the Compensation Committee of the Registrant’s Board of Directors. Accordingly, on January 1, 2020, the number of shares of Common Stock reserved and available for issuance under the plan increased by 1,497,859. This Registration Statement registers these additional 1,497,859 shares of Common Stock. The additional shares are of the same class as other securities relating to the Plan for which the Registrant’s registration statement filed on Form S-8 (Registration Nos. 333-196900, 333-204931, 333-210216, 333-216602, 333-216602 and 333-230291) on </w:t>
      </w:r>
      <w:hyperlink r:id="rId21">
        <w:r>
          <w:rPr>
            <w:rFonts w:ascii="Arial" w:cs="Arial" w:eastAsia="Arial" w:hAnsi="Arial"/>
            <w:sz w:val="16"/>
            <w:szCs w:val="16"/>
            <w:u w:val="single" w:color="auto"/>
            <w:color w:val="0000EE"/>
          </w:rPr>
          <w:t>June 19, 2014</w:t>
        </w:r>
      </w:hyperlink>
      <w:r>
        <w:rPr>
          <w:rFonts w:ascii="Arial" w:cs="Arial" w:eastAsia="Arial" w:hAnsi="Arial"/>
          <w:sz w:val="16"/>
          <w:szCs w:val="16"/>
          <w:color w:val="auto"/>
        </w:rPr>
        <w:t xml:space="preserve">, </w:t>
      </w:r>
      <w:hyperlink r:id="rId22">
        <w:r>
          <w:rPr>
            <w:rFonts w:ascii="Arial" w:cs="Arial" w:eastAsia="Arial" w:hAnsi="Arial"/>
            <w:sz w:val="16"/>
            <w:szCs w:val="16"/>
            <w:u w:val="single" w:color="auto"/>
            <w:color w:val="0000EE"/>
          </w:rPr>
          <w:t>June 12, 2015</w:t>
        </w:r>
      </w:hyperlink>
      <w:r>
        <w:rPr>
          <w:rFonts w:ascii="Arial" w:cs="Arial" w:eastAsia="Arial" w:hAnsi="Arial"/>
          <w:sz w:val="16"/>
          <w:szCs w:val="16"/>
          <w:color w:val="auto"/>
        </w:rPr>
        <w:t xml:space="preserve">, </w:t>
      </w:r>
      <w:hyperlink r:id="rId23">
        <w:r>
          <w:rPr>
            <w:rFonts w:ascii="Arial" w:cs="Arial" w:eastAsia="Arial" w:hAnsi="Arial"/>
            <w:sz w:val="16"/>
            <w:szCs w:val="16"/>
            <w:u w:val="single" w:color="auto"/>
            <w:color w:val="0000EE"/>
          </w:rPr>
          <w:t>March 15, 2016</w:t>
        </w:r>
      </w:hyperlink>
      <w:r>
        <w:rPr>
          <w:rFonts w:ascii="Arial" w:cs="Arial" w:eastAsia="Arial" w:hAnsi="Arial"/>
          <w:sz w:val="16"/>
          <w:szCs w:val="16"/>
          <w:color w:val="auto"/>
        </w:rPr>
        <w:t xml:space="preserve">, </w:t>
      </w:r>
      <w:hyperlink r:id="rId24">
        <w:r>
          <w:rPr>
            <w:rFonts w:ascii="Arial" w:cs="Arial" w:eastAsia="Arial" w:hAnsi="Arial"/>
            <w:sz w:val="16"/>
            <w:szCs w:val="16"/>
            <w:u w:val="single" w:color="auto"/>
            <w:color w:val="0000EE"/>
          </w:rPr>
          <w:t>March 10, 2017</w:t>
        </w:r>
      </w:hyperlink>
      <w:r>
        <w:rPr>
          <w:rFonts w:ascii="Arial" w:cs="Arial" w:eastAsia="Arial" w:hAnsi="Arial"/>
          <w:sz w:val="16"/>
          <w:szCs w:val="16"/>
          <w:color w:val="auto"/>
        </w:rPr>
        <w:t xml:space="preserve">, </w:t>
      </w:r>
      <w:hyperlink r:id="rId25">
        <w:r>
          <w:rPr>
            <w:rFonts w:ascii="Arial" w:cs="Arial" w:eastAsia="Arial" w:hAnsi="Arial"/>
            <w:sz w:val="16"/>
            <w:szCs w:val="16"/>
            <w:u w:val="single" w:color="auto"/>
            <w:color w:val="0000EE"/>
          </w:rPr>
          <w:t>March 9, 2018</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 xml:space="preserve">and </w:t>
      </w:r>
      <w:hyperlink r:id="rId26">
        <w:r>
          <w:rPr>
            <w:rFonts w:ascii="Arial" w:cs="Arial" w:eastAsia="Arial" w:hAnsi="Arial"/>
            <w:sz w:val="16"/>
            <w:szCs w:val="16"/>
            <w:u w:val="single" w:color="auto"/>
            <w:color w:val="0000EE"/>
          </w:rPr>
          <w:t>March 14, 2019</w:t>
        </w:r>
        <w:r>
          <w:rPr>
            <w:rFonts w:ascii="Arial" w:cs="Arial" w:eastAsia="Arial" w:hAnsi="Arial"/>
            <w:sz w:val="16"/>
            <w:szCs w:val="16"/>
            <w:color w:val="0000EE"/>
          </w:rPr>
          <w:t xml:space="preserve"> </w:t>
        </w:r>
      </w:hyperlink>
      <w:r>
        <w:rPr>
          <w:rFonts w:ascii="Arial" w:cs="Arial" w:eastAsia="Arial" w:hAnsi="Arial"/>
          <w:sz w:val="16"/>
          <w:szCs w:val="16"/>
          <w:color w:val="000000"/>
        </w:rPr>
        <w:t>are</w:t>
      </w:r>
      <w:r>
        <w:rPr>
          <w:rFonts w:ascii="Arial" w:cs="Arial" w:eastAsia="Arial" w:hAnsi="Arial"/>
          <w:sz w:val="16"/>
          <w:szCs w:val="16"/>
          <w:color w:val="0000EE"/>
        </w:rPr>
        <w:t xml:space="preserve"> </w:t>
      </w:r>
      <w:r>
        <w:rPr>
          <w:rFonts w:ascii="Arial" w:cs="Arial" w:eastAsia="Arial" w:hAnsi="Arial"/>
          <w:sz w:val="16"/>
          <w:szCs w:val="16"/>
          <w:color w:val="000000"/>
        </w:rPr>
        <w:t>effective. The information contained in the Registrant’s registration statements on Form S-8 (Registration Nos. 333-196900,</w:t>
      </w:r>
      <w:r>
        <w:rPr>
          <w:rFonts w:ascii="Arial" w:cs="Arial" w:eastAsia="Arial" w:hAnsi="Arial"/>
          <w:sz w:val="16"/>
          <w:szCs w:val="16"/>
          <w:color w:val="0000EE"/>
        </w:rPr>
        <w:t xml:space="preserve"> </w:t>
      </w:r>
      <w:r>
        <w:rPr>
          <w:rFonts w:ascii="Arial" w:cs="Arial" w:eastAsia="Arial" w:hAnsi="Arial"/>
          <w:sz w:val="16"/>
          <w:szCs w:val="16"/>
          <w:color w:val="000000"/>
        </w:rPr>
        <w:t>333-204931, 333-210216, 333-216602, 333-216602 and 333-230291) is hereby incorporated by reference pursuant to General Instruction E.</w:t>
      </w:r>
    </w:p>
    <w:p>
      <w:pPr>
        <w:spacing w:after="0" w:line="102" w:lineRule="exact"/>
        <w:rPr>
          <w:rFonts w:ascii="Arial" w:cs="Arial" w:eastAsia="Arial" w:hAnsi="Arial"/>
          <w:sz w:val="16"/>
          <w:szCs w:val="16"/>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80"/>
          </w:cols>
          <w:pgMar w:left="440" w:top="270" w:right="47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Part 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INFORMATION REQUIRED IN THE REGISTRATION STATEMENT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Exhibits.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See the Exhibit Index on the page immediately preceding the exhibits for a list of exhibits filed as part of this registration statement, which Exhibit Index is incorporated herein by reference.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20"/>
          </w:cols>
          <w:pgMar w:left="440" w:top="270" w:right="439" w:bottom="1440" w:gutter="0" w:footer="0" w:header="0"/>
        </w:sectPr>
      </w:pPr>
    </w:p>
    <w:bookmarkStart w:id="4" w:name="page5"/>
    <w:bookmarkEnd w:id="4"/>
    <w:p>
      <w:pPr>
        <w:jc w:val="center"/>
        <w:ind w:right="-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Pursuant to the requirements of the Securities Act of 1933, as amended, the Registrant certifies that it has reasonable grounds to believe that it meets all of the requirements for filing on Form S-8 and has duly caused this Registration Statement to be signed on its behalf by the undersigned, thereunto duly authorized, in the City of Boston, Commonwealth of Massachusetts, on the 5th day of March, 2020.</w:t>
      </w:r>
    </w:p>
    <w:p>
      <w:pPr>
        <w:spacing w:after="0" w:line="204"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ZAFGEN, INC.</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Jeffrey Hatfield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4440555</wp:posOffset>
            </wp:positionH>
            <wp:positionV relativeFrom="paragraph">
              <wp:posOffset>14605</wp:posOffset>
            </wp:positionV>
            <wp:extent cx="256413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9">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Jeffrey Hatfield</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i w:val="1"/>
          <w:iCs w:val="1"/>
          <w:color w:val="auto"/>
        </w:rPr>
        <w:t>Chief Executive Officer</w:t>
      </w:r>
    </w:p>
    <w:p>
      <w:pPr>
        <w:spacing w:after="0" w:line="20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POWER OF ATTORNEY AND SIGNATURES</w:t>
      </w:r>
    </w:p>
    <w:p>
      <w:pPr>
        <w:spacing w:after="0" w:line="229"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KNOW ALL BY THESE PRESENT, that each individual whose signature appears below hereby constitutes and appoints each of Jeffrey Hatfield and Patricia L. Allen as such person’s true and lawful attorney-in-fact and agent with full power of substitution and resubstitution, for such person in such person’s name, place and stead, in any and all capacities, to sign any and all amendments (including post-effective amendments) to this Registration Statement on Form S-8, and to file the same, with all exhibits thereto, and all documents in connection therewith, with the Securities and Exchange Commission granting unto each said attorney-in-fact and agent full power and authority to do and perform each and every act and thing requisite and necessary to be done in and about the premises, as fully to all intents and purposes as such person might or could do in person, hereby ratifying and confirming all that any said attorney-in-fact and agent, or any substitute or substitutes of any of them, may lawfully do or cause to be done by virtue hereof.</w:t>
      </w:r>
    </w:p>
    <w:p>
      <w:pPr>
        <w:spacing w:after="0" w:line="192"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by the following person in the capacities and on the date indicated.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4180" w:type="dxa"/>
            <w:vAlign w:val="bottom"/>
          </w:tcPr>
          <w:p>
            <w:pPr>
              <w:jc w:val="center"/>
              <w:spacing w:after="0"/>
              <w:rPr>
                <w:sz w:val="20"/>
                <w:szCs w:val="20"/>
                <w:color w:val="auto"/>
              </w:rPr>
            </w:pPr>
            <w:r>
              <w:rPr>
                <w:rFonts w:ascii="Arial" w:cs="Arial" w:eastAsia="Arial" w:hAnsi="Arial"/>
                <w:sz w:val="14"/>
                <w:szCs w:val="14"/>
                <w:b w:val="1"/>
                <w:bCs w:val="1"/>
                <w:color w:val="auto"/>
                <w:w w:val="94"/>
              </w:rPr>
              <w:t>Name</w:t>
            </w:r>
          </w:p>
        </w:tc>
        <w:tc>
          <w:tcPr>
            <w:tcW w:w="4220" w:type="dxa"/>
            <w:vAlign w:val="bottom"/>
          </w:tcPr>
          <w:p>
            <w:pPr>
              <w:ind w:left="2400"/>
              <w:spacing w:after="0"/>
              <w:rPr>
                <w:sz w:val="20"/>
                <w:szCs w:val="20"/>
                <w:color w:val="auto"/>
              </w:rPr>
            </w:pPr>
            <w:r>
              <w:rPr>
                <w:rFonts w:ascii="Arial" w:cs="Arial" w:eastAsia="Arial" w:hAnsi="Arial"/>
                <w:sz w:val="14"/>
                <w:szCs w:val="14"/>
                <w:b w:val="1"/>
                <w:bCs w:val="1"/>
                <w:color w:val="auto"/>
              </w:rPr>
              <w:t>Title</w:t>
            </w:r>
          </w:p>
        </w:tc>
        <w:tc>
          <w:tcPr>
            <w:tcW w:w="1900" w:type="dxa"/>
            <w:vAlign w:val="bottom"/>
          </w:tcPr>
          <w:p>
            <w:pPr>
              <w:ind w:left="1580"/>
              <w:spacing w:after="0"/>
              <w:rPr>
                <w:sz w:val="20"/>
                <w:szCs w:val="20"/>
                <w:color w:val="auto"/>
              </w:rPr>
            </w:pPr>
            <w:r>
              <w:rPr>
                <w:rFonts w:ascii="Arial" w:cs="Arial" w:eastAsia="Arial" w:hAnsi="Arial"/>
                <w:sz w:val="14"/>
                <w:szCs w:val="14"/>
                <w:b w:val="1"/>
                <w:bCs w:val="1"/>
                <w:color w:val="auto"/>
                <w:w w:val="98"/>
              </w:rPr>
              <w:t>Date</w:t>
            </w:r>
          </w:p>
        </w:tc>
      </w:tr>
      <w:tr>
        <w:trPr>
          <w:trHeight w:val="417"/>
        </w:trPr>
        <w:tc>
          <w:tcPr>
            <w:tcW w:w="4200" w:type="dxa"/>
            <w:vAlign w:val="bottom"/>
            <w:gridSpan w:val="2"/>
          </w:tcPr>
          <w:p>
            <w:pPr>
              <w:spacing w:after="0"/>
              <w:rPr>
                <w:sz w:val="20"/>
                <w:szCs w:val="20"/>
                <w:color w:val="auto"/>
              </w:rPr>
            </w:pPr>
            <w:r>
              <w:rPr>
                <w:rFonts w:ascii="Arial" w:cs="Arial" w:eastAsia="Arial" w:hAnsi="Arial"/>
                <w:sz w:val="18"/>
                <w:szCs w:val="18"/>
                <w:color w:val="auto"/>
              </w:rPr>
              <w:t>/s/ Jeffrey Hatfield</w:t>
            </w:r>
          </w:p>
        </w:tc>
        <w:tc>
          <w:tcPr>
            <w:tcW w:w="4220" w:type="dxa"/>
            <w:vAlign w:val="bottom"/>
          </w:tcPr>
          <w:p>
            <w:pPr>
              <w:ind w:left="120"/>
              <w:spacing w:after="0"/>
              <w:rPr>
                <w:sz w:val="20"/>
                <w:szCs w:val="20"/>
                <w:color w:val="auto"/>
              </w:rPr>
            </w:pPr>
            <w:r>
              <w:rPr>
                <w:rFonts w:ascii="Arial" w:cs="Arial" w:eastAsia="Arial" w:hAnsi="Arial"/>
                <w:sz w:val="18"/>
                <w:szCs w:val="18"/>
                <w:color w:val="auto"/>
              </w:rPr>
              <w:t>Chief Executive Officer and Director</w:t>
            </w:r>
          </w:p>
        </w:tc>
        <w:tc>
          <w:tcPr>
            <w:tcW w:w="1900" w:type="dxa"/>
            <w:vAlign w:val="bottom"/>
          </w:tcPr>
          <w:p>
            <w:pPr>
              <w:ind w:left="840"/>
              <w:spacing w:after="0"/>
              <w:rPr>
                <w:sz w:val="20"/>
                <w:szCs w:val="20"/>
                <w:color w:val="auto"/>
              </w:rPr>
            </w:pPr>
            <w:r>
              <w:rPr>
                <w:rFonts w:ascii="Arial" w:cs="Arial" w:eastAsia="Arial" w:hAnsi="Arial"/>
                <w:sz w:val="18"/>
                <w:szCs w:val="18"/>
                <w:color w:val="auto"/>
                <w:w w:val="90"/>
              </w:rPr>
              <w:t>March 5, 2020</w:t>
            </w:r>
          </w:p>
        </w:tc>
      </w:tr>
      <w:tr>
        <w:trPr>
          <w:trHeight w:val="224"/>
        </w:trPr>
        <w:tc>
          <w:tcPr>
            <w:tcW w:w="20" w:type="dxa"/>
            <w:vAlign w:val="bottom"/>
          </w:tcPr>
          <w:p>
            <w:pPr>
              <w:spacing w:after="0"/>
              <w:rPr>
                <w:sz w:val="19"/>
                <w:szCs w:val="19"/>
                <w:color w:val="auto"/>
              </w:rPr>
            </w:pPr>
          </w:p>
        </w:tc>
        <w:tc>
          <w:tcPr>
            <w:tcW w:w="41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3"/>
              </w:rPr>
              <w:t>Jeffrey Hatfield</w:t>
            </w:r>
          </w:p>
        </w:tc>
        <w:tc>
          <w:tcPr>
            <w:tcW w:w="4220" w:type="dxa"/>
            <w:vAlign w:val="bottom"/>
          </w:tcPr>
          <w:p>
            <w:pPr>
              <w:ind w:left="120"/>
              <w:spacing w:after="0"/>
              <w:rPr>
                <w:sz w:val="20"/>
                <w:szCs w:val="20"/>
                <w:color w:val="auto"/>
              </w:rPr>
            </w:pPr>
            <w:r>
              <w:rPr>
                <w:rFonts w:ascii="Arial" w:cs="Arial" w:eastAsia="Arial" w:hAnsi="Arial"/>
                <w:sz w:val="18"/>
                <w:szCs w:val="18"/>
                <w:i w:val="1"/>
                <w:iCs w:val="1"/>
                <w:color w:val="auto"/>
              </w:rPr>
              <w:t>(Principal Executive Officer)</w:t>
            </w:r>
          </w:p>
        </w:tc>
        <w:tc>
          <w:tcPr>
            <w:tcW w:w="1900" w:type="dxa"/>
            <w:vAlign w:val="bottom"/>
          </w:tcPr>
          <w:p>
            <w:pPr>
              <w:spacing w:after="0"/>
              <w:rPr>
                <w:sz w:val="19"/>
                <w:szCs w:val="19"/>
                <w:color w:val="auto"/>
              </w:rPr>
            </w:pPr>
          </w:p>
        </w:tc>
      </w:tr>
      <w:tr>
        <w:trPr>
          <w:trHeight w:val="418"/>
        </w:trPr>
        <w:tc>
          <w:tcPr>
            <w:tcW w:w="4200" w:type="dxa"/>
            <w:vAlign w:val="bottom"/>
            <w:gridSpan w:val="2"/>
          </w:tcPr>
          <w:p>
            <w:pPr>
              <w:spacing w:after="0"/>
              <w:rPr>
                <w:sz w:val="20"/>
                <w:szCs w:val="20"/>
                <w:color w:val="auto"/>
              </w:rPr>
            </w:pPr>
            <w:r>
              <w:rPr>
                <w:rFonts w:ascii="Arial" w:cs="Arial" w:eastAsia="Arial" w:hAnsi="Arial"/>
                <w:sz w:val="18"/>
                <w:szCs w:val="18"/>
                <w:color w:val="auto"/>
              </w:rPr>
              <w:t>/s/ Patricia L. Allen</w:t>
            </w:r>
          </w:p>
        </w:tc>
        <w:tc>
          <w:tcPr>
            <w:tcW w:w="4220" w:type="dxa"/>
            <w:vAlign w:val="bottom"/>
          </w:tcPr>
          <w:p>
            <w:pPr>
              <w:ind w:left="120"/>
              <w:spacing w:after="0"/>
              <w:rPr>
                <w:sz w:val="20"/>
                <w:szCs w:val="20"/>
                <w:color w:val="auto"/>
              </w:rPr>
            </w:pPr>
            <w:r>
              <w:rPr>
                <w:rFonts w:ascii="Arial" w:cs="Arial" w:eastAsia="Arial" w:hAnsi="Arial"/>
                <w:sz w:val="18"/>
                <w:szCs w:val="18"/>
                <w:color w:val="auto"/>
              </w:rPr>
              <w:t>Chief Financial Officer</w:t>
            </w:r>
          </w:p>
        </w:tc>
        <w:tc>
          <w:tcPr>
            <w:tcW w:w="1900" w:type="dxa"/>
            <w:vAlign w:val="bottom"/>
          </w:tcPr>
          <w:p>
            <w:pPr>
              <w:ind w:left="840"/>
              <w:spacing w:after="0"/>
              <w:rPr>
                <w:sz w:val="20"/>
                <w:szCs w:val="20"/>
                <w:color w:val="auto"/>
              </w:rPr>
            </w:pPr>
            <w:r>
              <w:rPr>
                <w:rFonts w:ascii="Arial" w:cs="Arial" w:eastAsia="Arial" w:hAnsi="Arial"/>
                <w:sz w:val="18"/>
                <w:szCs w:val="18"/>
                <w:color w:val="auto"/>
                <w:w w:val="90"/>
              </w:rPr>
              <w:t>March 5, 2020</w:t>
            </w:r>
          </w:p>
        </w:tc>
      </w:tr>
      <w:tr>
        <w:trPr>
          <w:trHeight w:val="224"/>
        </w:trPr>
        <w:tc>
          <w:tcPr>
            <w:tcW w:w="20" w:type="dxa"/>
            <w:vAlign w:val="bottom"/>
          </w:tcPr>
          <w:p>
            <w:pPr>
              <w:spacing w:after="0"/>
              <w:rPr>
                <w:sz w:val="19"/>
                <w:szCs w:val="19"/>
                <w:color w:val="auto"/>
              </w:rPr>
            </w:pPr>
          </w:p>
        </w:tc>
        <w:tc>
          <w:tcPr>
            <w:tcW w:w="41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5"/>
              </w:rPr>
              <w:t>Patricia L. Allen</w:t>
            </w:r>
          </w:p>
        </w:tc>
        <w:tc>
          <w:tcPr>
            <w:tcW w:w="4220" w:type="dxa"/>
            <w:vAlign w:val="bottom"/>
          </w:tcPr>
          <w:p>
            <w:pPr>
              <w:ind w:left="120"/>
              <w:spacing w:after="0"/>
              <w:rPr>
                <w:sz w:val="20"/>
                <w:szCs w:val="20"/>
                <w:color w:val="auto"/>
              </w:rPr>
            </w:pPr>
            <w:r>
              <w:rPr>
                <w:rFonts w:ascii="Arial" w:cs="Arial" w:eastAsia="Arial" w:hAnsi="Arial"/>
                <w:sz w:val="18"/>
                <w:szCs w:val="18"/>
                <w:i w:val="1"/>
                <w:iCs w:val="1"/>
                <w:color w:val="auto"/>
              </w:rPr>
              <w:t>(Principal Financial and Accounting Officer)</w:t>
            </w:r>
          </w:p>
        </w:tc>
        <w:tc>
          <w:tcPr>
            <w:tcW w:w="1900" w:type="dxa"/>
            <w:vAlign w:val="bottom"/>
          </w:tcPr>
          <w:p>
            <w:pPr>
              <w:spacing w:after="0"/>
              <w:rPr>
                <w:sz w:val="19"/>
                <w:szCs w:val="19"/>
                <w:color w:val="auto"/>
              </w:rPr>
            </w:pPr>
          </w:p>
        </w:tc>
      </w:tr>
      <w:tr>
        <w:trPr>
          <w:trHeight w:val="418"/>
        </w:trPr>
        <w:tc>
          <w:tcPr>
            <w:tcW w:w="4200" w:type="dxa"/>
            <w:vAlign w:val="bottom"/>
            <w:gridSpan w:val="2"/>
          </w:tcPr>
          <w:p>
            <w:pPr>
              <w:spacing w:after="0"/>
              <w:rPr>
                <w:sz w:val="20"/>
                <w:szCs w:val="20"/>
                <w:color w:val="auto"/>
              </w:rPr>
            </w:pPr>
            <w:r>
              <w:rPr>
                <w:rFonts w:ascii="Arial" w:cs="Arial" w:eastAsia="Arial" w:hAnsi="Arial"/>
                <w:sz w:val="18"/>
                <w:szCs w:val="18"/>
                <w:color w:val="auto"/>
              </w:rPr>
              <w:t>/s/ Peter Barrett</w:t>
            </w:r>
          </w:p>
        </w:tc>
        <w:tc>
          <w:tcPr>
            <w:tcW w:w="4220" w:type="dxa"/>
            <w:vAlign w:val="bottom"/>
          </w:tcPr>
          <w:p>
            <w:pPr>
              <w:ind w:left="120"/>
              <w:spacing w:after="0"/>
              <w:rPr>
                <w:sz w:val="20"/>
                <w:szCs w:val="20"/>
                <w:color w:val="auto"/>
              </w:rPr>
            </w:pPr>
            <w:r>
              <w:rPr>
                <w:rFonts w:ascii="Arial" w:cs="Arial" w:eastAsia="Arial" w:hAnsi="Arial"/>
                <w:sz w:val="18"/>
                <w:szCs w:val="18"/>
                <w:color w:val="auto"/>
              </w:rPr>
              <w:t>Chairman of the Board of Directors</w:t>
            </w:r>
          </w:p>
        </w:tc>
        <w:tc>
          <w:tcPr>
            <w:tcW w:w="1900" w:type="dxa"/>
            <w:vAlign w:val="bottom"/>
          </w:tcPr>
          <w:p>
            <w:pPr>
              <w:ind w:left="840"/>
              <w:spacing w:after="0"/>
              <w:rPr>
                <w:sz w:val="20"/>
                <w:szCs w:val="20"/>
                <w:color w:val="auto"/>
              </w:rPr>
            </w:pPr>
            <w:r>
              <w:rPr>
                <w:rFonts w:ascii="Arial" w:cs="Arial" w:eastAsia="Arial" w:hAnsi="Arial"/>
                <w:sz w:val="18"/>
                <w:szCs w:val="18"/>
                <w:color w:val="auto"/>
                <w:w w:val="90"/>
              </w:rPr>
              <w:t>March 5, 2020</w:t>
            </w:r>
          </w:p>
        </w:tc>
      </w:tr>
      <w:tr>
        <w:trPr>
          <w:trHeight w:val="224"/>
        </w:trPr>
        <w:tc>
          <w:tcPr>
            <w:tcW w:w="20" w:type="dxa"/>
            <w:vAlign w:val="bottom"/>
          </w:tcPr>
          <w:p>
            <w:pPr>
              <w:spacing w:after="0"/>
              <w:rPr>
                <w:sz w:val="19"/>
                <w:szCs w:val="19"/>
                <w:color w:val="auto"/>
              </w:rPr>
            </w:pPr>
          </w:p>
        </w:tc>
        <w:tc>
          <w:tcPr>
            <w:tcW w:w="41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Peter Barrett, Ph.D.</w:t>
            </w:r>
          </w:p>
        </w:tc>
        <w:tc>
          <w:tcPr>
            <w:tcW w:w="4220" w:type="dxa"/>
            <w:vAlign w:val="bottom"/>
          </w:tcPr>
          <w:p>
            <w:pPr>
              <w:spacing w:after="0"/>
              <w:rPr>
                <w:sz w:val="19"/>
                <w:szCs w:val="19"/>
                <w:color w:val="auto"/>
              </w:rPr>
            </w:pPr>
          </w:p>
        </w:tc>
        <w:tc>
          <w:tcPr>
            <w:tcW w:w="1900" w:type="dxa"/>
            <w:vAlign w:val="bottom"/>
          </w:tcPr>
          <w:p>
            <w:pPr>
              <w:spacing w:after="0"/>
              <w:rPr>
                <w:sz w:val="19"/>
                <w:szCs w:val="19"/>
                <w:color w:val="auto"/>
              </w:rPr>
            </w:pPr>
          </w:p>
        </w:tc>
      </w:tr>
      <w:tr>
        <w:trPr>
          <w:trHeight w:val="418"/>
        </w:trPr>
        <w:tc>
          <w:tcPr>
            <w:tcW w:w="4200" w:type="dxa"/>
            <w:vAlign w:val="bottom"/>
            <w:gridSpan w:val="2"/>
          </w:tcPr>
          <w:p>
            <w:pPr>
              <w:spacing w:after="0"/>
              <w:rPr>
                <w:sz w:val="20"/>
                <w:szCs w:val="20"/>
                <w:color w:val="auto"/>
              </w:rPr>
            </w:pPr>
            <w:r>
              <w:rPr>
                <w:rFonts w:ascii="Arial" w:cs="Arial" w:eastAsia="Arial" w:hAnsi="Arial"/>
                <w:sz w:val="18"/>
                <w:szCs w:val="18"/>
                <w:color w:val="auto"/>
              </w:rPr>
              <w:t>/s/ Wendy Everett</w:t>
            </w:r>
          </w:p>
        </w:tc>
        <w:tc>
          <w:tcPr>
            <w:tcW w:w="4220" w:type="dxa"/>
            <w:vAlign w:val="bottom"/>
          </w:tcPr>
          <w:p>
            <w:pPr>
              <w:ind w:left="120"/>
              <w:spacing w:after="0"/>
              <w:rPr>
                <w:sz w:val="20"/>
                <w:szCs w:val="20"/>
                <w:color w:val="auto"/>
              </w:rPr>
            </w:pPr>
            <w:r>
              <w:rPr>
                <w:rFonts w:ascii="Arial" w:cs="Arial" w:eastAsia="Arial" w:hAnsi="Arial"/>
                <w:sz w:val="18"/>
                <w:szCs w:val="18"/>
                <w:color w:val="auto"/>
              </w:rPr>
              <w:t>Director</w:t>
            </w:r>
          </w:p>
        </w:tc>
        <w:tc>
          <w:tcPr>
            <w:tcW w:w="1900" w:type="dxa"/>
            <w:vAlign w:val="bottom"/>
          </w:tcPr>
          <w:p>
            <w:pPr>
              <w:ind w:left="840"/>
              <w:spacing w:after="0"/>
              <w:rPr>
                <w:sz w:val="20"/>
                <w:szCs w:val="20"/>
                <w:color w:val="auto"/>
              </w:rPr>
            </w:pPr>
            <w:r>
              <w:rPr>
                <w:rFonts w:ascii="Arial" w:cs="Arial" w:eastAsia="Arial" w:hAnsi="Arial"/>
                <w:sz w:val="18"/>
                <w:szCs w:val="18"/>
                <w:color w:val="auto"/>
                <w:w w:val="90"/>
              </w:rPr>
              <w:t>March 5, 2020</w:t>
            </w:r>
          </w:p>
        </w:tc>
      </w:tr>
      <w:tr>
        <w:trPr>
          <w:trHeight w:val="224"/>
        </w:trPr>
        <w:tc>
          <w:tcPr>
            <w:tcW w:w="20" w:type="dxa"/>
            <w:vAlign w:val="bottom"/>
          </w:tcPr>
          <w:p>
            <w:pPr>
              <w:spacing w:after="0"/>
              <w:rPr>
                <w:sz w:val="19"/>
                <w:szCs w:val="19"/>
                <w:color w:val="auto"/>
              </w:rPr>
            </w:pPr>
          </w:p>
        </w:tc>
        <w:tc>
          <w:tcPr>
            <w:tcW w:w="41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Wendy Everett Sc.D.</w:t>
            </w:r>
          </w:p>
        </w:tc>
        <w:tc>
          <w:tcPr>
            <w:tcW w:w="4220" w:type="dxa"/>
            <w:vAlign w:val="bottom"/>
          </w:tcPr>
          <w:p>
            <w:pPr>
              <w:spacing w:after="0"/>
              <w:rPr>
                <w:sz w:val="19"/>
                <w:szCs w:val="19"/>
                <w:color w:val="auto"/>
              </w:rPr>
            </w:pPr>
          </w:p>
        </w:tc>
        <w:tc>
          <w:tcPr>
            <w:tcW w:w="1900" w:type="dxa"/>
            <w:vAlign w:val="bottom"/>
          </w:tcPr>
          <w:p>
            <w:pPr>
              <w:spacing w:after="0"/>
              <w:rPr>
                <w:sz w:val="19"/>
                <w:szCs w:val="19"/>
                <w:color w:val="auto"/>
              </w:rPr>
            </w:pPr>
          </w:p>
        </w:tc>
      </w:tr>
      <w:tr>
        <w:trPr>
          <w:trHeight w:val="418"/>
        </w:trPr>
        <w:tc>
          <w:tcPr>
            <w:tcW w:w="4200" w:type="dxa"/>
            <w:vAlign w:val="bottom"/>
            <w:gridSpan w:val="2"/>
          </w:tcPr>
          <w:p>
            <w:pPr>
              <w:spacing w:after="0"/>
              <w:rPr>
                <w:sz w:val="20"/>
                <w:szCs w:val="20"/>
                <w:color w:val="auto"/>
              </w:rPr>
            </w:pPr>
            <w:r>
              <w:rPr>
                <w:rFonts w:ascii="Arial" w:cs="Arial" w:eastAsia="Arial" w:hAnsi="Arial"/>
                <w:sz w:val="18"/>
                <w:szCs w:val="18"/>
                <w:color w:val="auto"/>
              </w:rPr>
              <w:t>/s/ Robert J. Perez</w:t>
            </w:r>
          </w:p>
        </w:tc>
        <w:tc>
          <w:tcPr>
            <w:tcW w:w="4220" w:type="dxa"/>
            <w:vAlign w:val="bottom"/>
          </w:tcPr>
          <w:p>
            <w:pPr>
              <w:ind w:left="120"/>
              <w:spacing w:after="0"/>
              <w:rPr>
                <w:sz w:val="20"/>
                <w:szCs w:val="20"/>
                <w:color w:val="auto"/>
              </w:rPr>
            </w:pPr>
            <w:r>
              <w:rPr>
                <w:rFonts w:ascii="Arial" w:cs="Arial" w:eastAsia="Arial" w:hAnsi="Arial"/>
                <w:sz w:val="18"/>
                <w:szCs w:val="18"/>
                <w:color w:val="auto"/>
              </w:rPr>
              <w:t>Director</w:t>
            </w:r>
          </w:p>
        </w:tc>
        <w:tc>
          <w:tcPr>
            <w:tcW w:w="1900" w:type="dxa"/>
            <w:vAlign w:val="bottom"/>
          </w:tcPr>
          <w:p>
            <w:pPr>
              <w:ind w:left="840"/>
              <w:spacing w:after="0"/>
              <w:rPr>
                <w:sz w:val="20"/>
                <w:szCs w:val="20"/>
                <w:color w:val="auto"/>
              </w:rPr>
            </w:pPr>
            <w:r>
              <w:rPr>
                <w:rFonts w:ascii="Arial" w:cs="Arial" w:eastAsia="Arial" w:hAnsi="Arial"/>
                <w:sz w:val="18"/>
                <w:szCs w:val="18"/>
                <w:color w:val="auto"/>
                <w:w w:val="90"/>
              </w:rPr>
              <w:t>March 5, 2020</w:t>
            </w:r>
          </w:p>
        </w:tc>
      </w:tr>
      <w:tr>
        <w:trPr>
          <w:trHeight w:val="224"/>
        </w:trPr>
        <w:tc>
          <w:tcPr>
            <w:tcW w:w="20" w:type="dxa"/>
            <w:vAlign w:val="bottom"/>
          </w:tcPr>
          <w:p>
            <w:pPr>
              <w:spacing w:after="0"/>
              <w:rPr>
                <w:sz w:val="19"/>
                <w:szCs w:val="19"/>
                <w:color w:val="auto"/>
              </w:rPr>
            </w:pPr>
          </w:p>
        </w:tc>
        <w:tc>
          <w:tcPr>
            <w:tcW w:w="41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7"/>
              </w:rPr>
              <w:t>Robert J. Perez</w:t>
            </w:r>
          </w:p>
        </w:tc>
        <w:tc>
          <w:tcPr>
            <w:tcW w:w="4220" w:type="dxa"/>
            <w:vAlign w:val="bottom"/>
          </w:tcPr>
          <w:p>
            <w:pPr>
              <w:spacing w:after="0"/>
              <w:rPr>
                <w:sz w:val="19"/>
                <w:szCs w:val="19"/>
                <w:color w:val="auto"/>
              </w:rPr>
            </w:pPr>
          </w:p>
        </w:tc>
        <w:tc>
          <w:tcPr>
            <w:tcW w:w="1900" w:type="dxa"/>
            <w:vAlign w:val="bottom"/>
          </w:tcPr>
          <w:p>
            <w:pPr>
              <w:spacing w:after="0"/>
              <w:rPr>
                <w:sz w:val="19"/>
                <w:szCs w:val="19"/>
                <w:color w:val="auto"/>
              </w:rPr>
            </w:pPr>
          </w:p>
        </w:tc>
      </w:tr>
      <w:tr>
        <w:trPr>
          <w:trHeight w:val="418"/>
        </w:trPr>
        <w:tc>
          <w:tcPr>
            <w:tcW w:w="4200" w:type="dxa"/>
            <w:vAlign w:val="bottom"/>
            <w:gridSpan w:val="2"/>
          </w:tcPr>
          <w:p>
            <w:pPr>
              <w:spacing w:after="0"/>
              <w:rPr>
                <w:sz w:val="20"/>
                <w:szCs w:val="20"/>
                <w:color w:val="auto"/>
              </w:rPr>
            </w:pPr>
            <w:r>
              <w:rPr>
                <w:rFonts w:ascii="Arial" w:cs="Arial" w:eastAsia="Arial" w:hAnsi="Arial"/>
                <w:sz w:val="18"/>
                <w:szCs w:val="18"/>
                <w:color w:val="auto"/>
              </w:rPr>
              <w:t>/s/ John L. LaMattina</w:t>
            </w:r>
          </w:p>
        </w:tc>
        <w:tc>
          <w:tcPr>
            <w:tcW w:w="4220" w:type="dxa"/>
            <w:vAlign w:val="bottom"/>
          </w:tcPr>
          <w:p>
            <w:pPr>
              <w:ind w:left="120"/>
              <w:spacing w:after="0"/>
              <w:rPr>
                <w:sz w:val="20"/>
                <w:szCs w:val="20"/>
                <w:color w:val="auto"/>
              </w:rPr>
            </w:pPr>
            <w:r>
              <w:rPr>
                <w:rFonts w:ascii="Arial" w:cs="Arial" w:eastAsia="Arial" w:hAnsi="Arial"/>
                <w:sz w:val="18"/>
                <w:szCs w:val="18"/>
                <w:color w:val="auto"/>
              </w:rPr>
              <w:t>Director</w:t>
            </w:r>
          </w:p>
        </w:tc>
        <w:tc>
          <w:tcPr>
            <w:tcW w:w="1900" w:type="dxa"/>
            <w:vAlign w:val="bottom"/>
          </w:tcPr>
          <w:p>
            <w:pPr>
              <w:ind w:left="840"/>
              <w:spacing w:after="0"/>
              <w:rPr>
                <w:sz w:val="20"/>
                <w:szCs w:val="20"/>
                <w:color w:val="auto"/>
              </w:rPr>
            </w:pPr>
            <w:r>
              <w:rPr>
                <w:rFonts w:ascii="Arial" w:cs="Arial" w:eastAsia="Arial" w:hAnsi="Arial"/>
                <w:sz w:val="18"/>
                <w:szCs w:val="18"/>
                <w:color w:val="auto"/>
                <w:w w:val="90"/>
              </w:rPr>
              <w:t>March 5, 2020</w:t>
            </w:r>
          </w:p>
        </w:tc>
      </w:tr>
      <w:tr>
        <w:trPr>
          <w:trHeight w:val="224"/>
        </w:trPr>
        <w:tc>
          <w:tcPr>
            <w:tcW w:w="20" w:type="dxa"/>
            <w:vAlign w:val="bottom"/>
          </w:tcPr>
          <w:p>
            <w:pPr>
              <w:spacing w:after="0"/>
              <w:rPr>
                <w:sz w:val="19"/>
                <w:szCs w:val="19"/>
                <w:color w:val="auto"/>
              </w:rPr>
            </w:pPr>
          </w:p>
        </w:tc>
        <w:tc>
          <w:tcPr>
            <w:tcW w:w="41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John L. LaMattina, Ph.D.</w:t>
            </w:r>
          </w:p>
        </w:tc>
        <w:tc>
          <w:tcPr>
            <w:tcW w:w="4220" w:type="dxa"/>
            <w:vAlign w:val="bottom"/>
          </w:tcPr>
          <w:p>
            <w:pPr>
              <w:spacing w:after="0"/>
              <w:rPr>
                <w:sz w:val="19"/>
                <w:szCs w:val="19"/>
                <w:color w:val="auto"/>
              </w:rPr>
            </w:pPr>
          </w:p>
        </w:tc>
        <w:tc>
          <w:tcPr>
            <w:tcW w:w="1900" w:type="dxa"/>
            <w:vAlign w:val="bottom"/>
          </w:tcPr>
          <w:p>
            <w:pPr>
              <w:spacing w:after="0"/>
              <w:rPr>
                <w:sz w:val="19"/>
                <w:szCs w:val="19"/>
                <w:color w:val="auto"/>
              </w:rPr>
            </w:pPr>
          </w:p>
        </w:tc>
      </w:tr>
      <w:tr>
        <w:trPr>
          <w:trHeight w:val="418"/>
        </w:trPr>
        <w:tc>
          <w:tcPr>
            <w:tcW w:w="4200" w:type="dxa"/>
            <w:vAlign w:val="bottom"/>
            <w:gridSpan w:val="2"/>
          </w:tcPr>
          <w:p>
            <w:pPr>
              <w:spacing w:after="0"/>
              <w:rPr>
                <w:sz w:val="20"/>
                <w:szCs w:val="20"/>
                <w:color w:val="auto"/>
              </w:rPr>
            </w:pPr>
            <w:r>
              <w:rPr>
                <w:rFonts w:ascii="Arial" w:cs="Arial" w:eastAsia="Arial" w:hAnsi="Arial"/>
                <w:sz w:val="18"/>
                <w:szCs w:val="18"/>
                <w:color w:val="auto"/>
              </w:rPr>
              <w:t>/s/ Cameron Geoffrey McDonough</w:t>
            </w:r>
          </w:p>
        </w:tc>
        <w:tc>
          <w:tcPr>
            <w:tcW w:w="4220" w:type="dxa"/>
            <w:vAlign w:val="bottom"/>
          </w:tcPr>
          <w:p>
            <w:pPr>
              <w:ind w:left="120"/>
              <w:spacing w:after="0"/>
              <w:rPr>
                <w:sz w:val="20"/>
                <w:szCs w:val="20"/>
                <w:color w:val="auto"/>
              </w:rPr>
            </w:pPr>
            <w:r>
              <w:rPr>
                <w:rFonts w:ascii="Arial" w:cs="Arial" w:eastAsia="Arial" w:hAnsi="Arial"/>
                <w:sz w:val="18"/>
                <w:szCs w:val="18"/>
                <w:color w:val="auto"/>
              </w:rPr>
              <w:t>Director</w:t>
            </w:r>
          </w:p>
        </w:tc>
        <w:tc>
          <w:tcPr>
            <w:tcW w:w="1900" w:type="dxa"/>
            <w:vAlign w:val="bottom"/>
          </w:tcPr>
          <w:p>
            <w:pPr>
              <w:ind w:left="840"/>
              <w:spacing w:after="0"/>
              <w:rPr>
                <w:sz w:val="20"/>
                <w:szCs w:val="20"/>
                <w:color w:val="auto"/>
              </w:rPr>
            </w:pPr>
            <w:r>
              <w:rPr>
                <w:rFonts w:ascii="Arial" w:cs="Arial" w:eastAsia="Arial" w:hAnsi="Arial"/>
                <w:sz w:val="18"/>
                <w:szCs w:val="18"/>
                <w:color w:val="auto"/>
                <w:w w:val="90"/>
              </w:rPr>
              <w:t>March 5, 2020</w:t>
            </w:r>
          </w:p>
        </w:tc>
      </w:tr>
      <w:tr>
        <w:trPr>
          <w:trHeight w:val="224"/>
        </w:trPr>
        <w:tc>
          <w:tcPr>
            <w:tcW w:w="20" w:type="dxa"/>
            <w:vAlign w:val="bottom"/>
          </w:tcPr>
          <w:p>
            <w:pPr>
              <w:spacing w:after="0"/>
              <w:rPr>
                <w:sz w:val="19"/>
                <w:szCs w:val="19"/>
                <w:color w:val="auto"/>
              </w:rPr>
            </w:pPr>
          </w:p>
        </w:tc>
        <w:tc>
          <w:tcPr>
            <w:tcW w:w="41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3"/>
              </w:rPr>
              <w:t>Cameron Geoffrey McDonough, M.D.</w:t>
            </w:r>
          </w:p>
        </w:tc>
        <w:tc>
          <w:tcPr>
            <w:tcW w:w="4220" w:type="dxa"/>
            <w:vAlign w:val="bottom"/>
          </w:tcPr>
          <w:p>
            <w:pPr>
              <w:spacing w:after="0"/>
              <w:rPr>
                <w:sz w:val="19"/>
                <w:szCs w:val="19"/>
                <w:color w:val="auto"/>
              </w:rPr>
            </w:pPr>
          </w:p>
        </w:tc>
        <w:tc>
          <w:tcPr>
            <w:tcW w:w="1900" w:type="dxa"/>
            <w:vAlign w:val="bottom"/>
          </w:tcPr>
          <w:p>
            <w:pPr>
              <w:spacing w:after="0"/>
              <w:rPr>
                <w:sz w:val="19"/>
                <w:szCs w:val="19"/>
                <w:color w:val="auto"/>
              </w:rPr>
            </w:pPr>
          </w:p>
        </w:tc>
      </w:tr>
      <w:tr>
        <w:trPr>
          <w:trHeight w:val="418"/>
        </w:trPr>
        <w:tc>
          <w:tcPr>
            <w:tcW w:w="4200" w:type="dxa"/>
            <w:vAlign w:val="bottom"/>
            <w:gridSpan w:val="2"/>
          </w:tcPr>
          <w:p>
            <w:pPr>
              <w:spacing w:after="0"/>
              <w:rPr>
                <w:sz w:val="20"/>
                <w:szCs w:val="20"/>
                <w:color w:val="auto"/>
              </w:rPr>
            </w:pPr>
            <w:r>
              <w:rPr>
                <w:rFonts w:ascii="Arial" w:cs="Arial" w:eastAsia="Arial" w:hAnsi="Arial"/>
                <w:sz w:val="18"/>
                <w:szCs w:val="18"/>
                <w:color w:val="auto"/>
              </w:rPr>
              <w:t>/s/ Frank E. Thomas</w:t>
            </w:r>
          </w:p>
        </w:tc>
        <w:tc>
          <w:tcPr>
            <w:tcW w:w="4220" w:type="dxa"/>
            <w:vAlign w:val="bottom"/>
          </w:tcPr>
          <w:p>
            <w:pPr>
              <w:ind w:left="120"/>
              <w:spacing w:after="0"/>
              <w:rPr>
                <w:sz w:val="20"/>
                <w:szCs w:val="20"/>
                <w:color w:val="auto"/>
              </w:rPr>
            </w:pPr>
            <w:r>
              <w:rPr>
                <w:rFonts w:ascii="Arial" w:cs="Arial" w:eastAsia="Arial" w:hAnsi="Arial"/>
                <w:sz w:val="18"/>
                <w:szCs w:val="18"/>
                <w:color w:val="auto"/>
              </w:rPr>
              <w:t>Director</w:t>
            </w:r>
          </w:p>
        </w:tc>
        <w:tc>
          <w:tcPr>
            <w:tcW w:w="1900" w:type="dxa"/>
            <w:vAlign w:val="bottom"/>
          </w:tcPr>
          <w:p>
            <w:pPr>
              <w:ind w:left="840"/>
              <w:spacing w:after="0"/>
              <w:rPr>
                <w:sz w:val="20"/>
                <w:szCs w:val="20"/>
                <w:color w:val="auto"/>
              </w:rPr>
            </w:pPr>
            <w:r>
              <w:rPr>
                <w:rFonts w:ascii="Arial" w:cs="Arial" w:eastAsia="Arial" w:hAnsi="Arial"/>
                <w:sz w:val="18"/>
                <w:szCs w:val="18"/>
                <w:color w:val="auto"/>
                <w:w w:val="90"/>
              </w:rPr>
              <w:t>March 5, 2020</w:t>
            </w:r>
          </w:p>
        </w:tc>
      </w:tr>
      <w:tr>
        <w:trPr>
          <w:trHeight w:val="224"/>
        </w:trPr>
        <w:tc>
          <w:tcPr>
            <w:tcW w:w="20" w:type="dxa"/>
            <w:vAlign w:val="bottom"/>
          </w:tcPr>
          <w:p>
            <w:pPr>
              <w:spacing w:after="0"/>
              <w:rPr>
                <w:sz w:val="19"/>
                <w:szCs w:val="19"/>
                <w:color w:val="auto"/>
              </w:rPr>
            </w:pPr>
          </w:p>
        </w:tc>
        <w:tc>
          <w:tcPr>
            <w:tcW w:w="41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Frank E. Thomas</w:t>
            </w:r>
          </w:p>
        </w:tc>
        <w:tc>
          <w:tcPr>
            <w:tcW w:w="4220" w:type="dxa"/>
            <w:vAlign w:val="bottom"/>
          </w:tcPr>
          <w:p>
            <w:pPr>
              <w:spacing w:after="0"/>
              <w:rPr>
                <w:sz w:val="19"/>
                <w:szCs w:val="19"/>
                <w:color w:val="auto"/>
              </w:rPr>
            </w:pPr>
          </w:p>
        </w:tc>
        <w:tc>
          <w:tcPr>
            <w:tcW w:w="1900" w:type="dxa"/>
            <w:vAlign w:val="bottom"/>
          </w:tcPr>
          <w:p>
            <w:pPr>
              <w:spacing w:after="0"/>
              <w:rPr>
                <w:sz w:val="19"/>
                <w:szCs w:val="19"/>
                <w:color w:val="auto"/>
              </w:rPr>
            </w:pPr>
          </w:p>
        </w:tc>
      </w:tr>
      <w:tr>
        <w:trPr>
          <w:trHeight w:val="418"/>
        </w:trPr>
        <w:tc>
          <w:tcPr>
            <w:tcW w:w="4200" w:type="dxa"/>
            <w:vAlign w:val="bottom"/>
            <w:gridSpan w:val="2"/>
          </w:tcPr>
          <w:p>
            <w:pPr>
              <w:spacing w:after="0"/>
              <w:rPr>
                <w:sz w:val="20"/>
                <w:szCs w:val="20"/>
                <w:color w:val="auto"/>
              </w:rPr>
            </w:pPr>
            <w:r>
              <w:rPr>
                <w:rFonts w:ascii="Arial" w:cs="Arial" w:eastAsia="Arial" w:hAnsi="Arial"/>
                <w:sz w:val="18"/>
                <w:szCs w:val="18"/>
                <w:color w:val="auto"/>
              </w:rPr>
              <w:t>/s/ Thomas O. Daniel</w:t>
            </w:r>
          </w:p>
        </w:tc>
        <w:tc>
          <w:tcPr>
            <w:tcW w:w="4220" w:type="dxa"/>
            <w:vAlign w:val="bottom"/>
          </w:tcPr>
          <w:p>
            <w:pPr>
              <w:ind w:left="120"/>
              <w:spacing w:after="0"/>
              <w:rPr>
                <w:sz w:val="20"/>
                <w:szCs w:val="20"/>
                <w:color w:val="auto"/>
              </w:rPr>
            </w:pPr>
            <w:r>
              <w:rPr>
                <w:rFonts w:ascii="Arial" w:cs="Arial" w:eastAsia="Arial" w:hAnsi="Arial"/>
                <w:sz w:val="18"/>
                <w:szCs w:val="18"/>
                <w:color w:val="auto"/>
              </w:rPr>
              <w:t>Director</w:t>
            </w:r>
          </w:p>
        </w:tc>
        <w:tc>
          <w:tcPr>
            <w:tcW w:w="1900" w:type="dxa"/>
            <w:vAlign w:val="bottom"/>
          </w:tcPr>
          <w:p>
            <w:pPr>
              <w:ind w:left="840"/>
              <w:spacing w:after="0"/>
              <w:rPr>
                <w:sz w:val="20"/>
                <w:szCs w:val="20"/>
                <w:color w:val="auto"/>
              </w:rPr>
            </w:pPr>
            <w:r>
              <w:rPr>
                <w:rFonts w:ascii="Arial" w:cs="Arial" w:eastAsia="Arial" w:hAnsi="Arial"/>
                <w:sz w:val="18"/>
                <w:szCs w:val="18"/>
                <w:color w:val="auto"/>
                <w:w w:val="90"/>
              </w:rPr>
              <w:t>March 5, 2020</w:t>
            </w:r>
          </w:p>
        </w:tc>
      </w:tr>
      <w:tr>
        <w:trPr>
          <w:trHeight w:val="224"/>
        </w:trPr>
        <w:tc>
          <w:tcPr>
            <w:tcW w:w="20" w:type="dxa"/>
            <w:vAlign w:val="bottom"/>
          </w:tcPr>
          <w:p>
            <w:pPr>
              <w:spacing w:after="0"/>
              <w:rPr>
                <w:sz w:val="19"/>
                <w:szCs w:val="19"/>
                <w:color w:val="auto"/>
              </w:rPr>
            </w:pPr>
          </w:p>
        </w:tc>
        <w:tc>
          <w:tcPr>
            <w:tcW w:w="41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3"/>
              </w:rPr>
              <w:t>Thomas O. Daniel, M.D.</w:t>
            </w:r>
          </w:p>
        </w:tc>
        <w:tc>
          <w:tcPr>
            <w:tcW w:w="4220" w:type="dxa"/>
            <w:vAlign w:val="bottom"/>
          </w:tcPr>
          <w:p>
            <w:pPr>
              <w:spacing w:after="0"/>
              <w:rPr>
                <w:sz w:val="19"/>
                <w:szCs w:val="19"/>
                <w:color w:val="auto"/>
              </w:rPr>
            </w:pPr>
          </w:p>
        </w:tc>
        <w:tc>
          <w:tcPr>
            <w:tcW w:w="1900" w:type="dxa"/>
            <w:vAlign w:val="bottom"/>
          </w:tcPr>
          <w:p>
            <w:pPr>
              <w:spacing w:after="0"/>
              <w:rPr>
                <w:sz w:val="19"/>
                <w:szCs w:val="19"/>
                <w:color w:val="auto"/>
              </w:rPr>
            </w:pPr>
          </w:p>
        </w:tc>
      </w:tr>
      <w:tr>
        <w:trPr>
          <w:trHeight w:val="350"/>
        </w:trPr>
        <w:tc>
          <w:tcPr>
            <w:tcW w:w="2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4220" w:type="dxa"/>
            <w:vAlign w:val="bottom"/>
          </w:tcPr>
          <w:p>
            <w:pPr>
              <w:ind w:left="1260"/>
              <w:spacing w:after="0"/>
              <w:rPr>
                <w:sz w:val="20"/>
                <w:szCs w:val="20"/>
                <w:color w:val="auto"/>
              </w:rPr>
            </w:pPr>
            <w:r>
              <w:rPr>
                <w:rFonts w:ascii="Arial" w:cs="Arial" w:eastAsia="Arial" w:hAnsi="Arial"/>
                <w:sz w:val="18"/>
                <w:szCs w:val="18"/>
                <w:color w:val="auto"/>
              </w:rPr>
              <w:t>4</w:t>
            </w:r>
          </w:p>
        </w:tc>
        <w:tc>
          <w:tcPr>
            <w:tcW w:w="1900" w:type="dxa"/>
            <w:vAlign w:val="bottom"/>
          </w:tcPr>
          <w:p>
            <w:pPr>
              <w:spacing w:after="0"/>
              <w:rPr>
                <w:sz w:val="24"/>
                <w:szCs w:val="24"/>
                <w:color w:val="auto"/>
              </w:rPr>
            </w:pPr>
          </w:p>
        </w:tc>
      </w:tr>
    </w:tbl>
    <w:p>
      <w:pPr>
        <w:sectPr>
          <w:pgSz w:w="11900" w:h="16838" w:orient="portrait"/>
          <w:cols w:equalWidth="0" w:num="1">
            <w:col w:w="10940"/>
          </w:cols>
          <w:pgMar w:left="440" w:top="270" w:right="519" w:bottom="1440" w:gutter="0" w:footer="0" w:header="0"/>
        </w:sectPr>
      </w:pPr>
    </w:p>
    <w:bookmarkStart w:id="5" w:name="page6"/>
    <w:bookmarkEnd w:id="5"/>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680" w:type="dxa"/>
            <w:vAlign w:val="bottom"/>
            <w:gridSpan w:val="11"/>
          </w:tcPr>
          <w:p>
            <w:pPr>
              <w:ind w:left="50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369"/>
        </w:trPr>
        <w:tc>
          <w:tcPr>
            <w:tcW w:w="4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8"/>
              </w:rPr>
              <w:t>Exhibit</w:t>
            </w:r>
          </w:p>
        </w:tc>
        <w:tc>
          <w:tcPr>
            <w:tcW w:w="4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740" w:type="dxa"/>
            <w:vAlign w:val="bottom"/>
            <w:gridSpan w:val="9"/>
            <w:vMerge w:val="restart"/>
          </w:tcPr>
          <w:p>
            <w:pPr>
              <w:ind w:left="34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40" w:type="dxa"/>
            <w:vAlign w:val="bottom"/>
          </w:tcPr>
          <w:p>
            <w:pPr>
              <w:jc w:val="center"/>
              <w:spacing w:after="0"/>
              <w:rPr>
                <w:sz w:val="20"/>
                <w:szCs w:val="20"/>
                <w:color w:val="auto"/>
              </w:rPr>
            </w:pPr>
            <w:r>
              <w:rPr>
                <w:rFonts w:ascii="Arial" w:cs="Arial" w:eastAsia="Arial" w:hAnsi="Arial"/>
                <w:sz w:val="14"/>
                <w:szCs w:val="14"/>
                <w:b w:val="1"/>
                <w:bCs w:val="1"/>
                <w:color w:val="auto"/>
                <w:w w:val="97"/>
              </w:rPr>
              <w:t>No.</w:t>
            </w:r>
          </w:p>
        </w:tc>
        <w:tc>
          <w:tcPr>
            <w:tcW w:w="4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740" w:type="dxa"/>
            <w:vAlign w:val="bottom"/>
            <w:gridSpan w:val="9"/>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460" w:type="dxa"/>
            <w:vAlign w:val="bottom"/>
            <w:gridSpan w:val="2"/>
          </w:tcPr>
          <w:p>
            <w:pPr>
              <w:spacing w:after="0"/>
              <w:rPr>
                <w:sz w:val="20"/>
                <w:szCs w:val="20"/>
                <w:color w:val="auto"/>
              </w:rPr>
            </w:pPr>
            <w:r>
              <w:rPr>
                <w:rFonts w:ascii="Arial" w:cs="Arial" w:eastAsia="Arial" w:hAnsi="Arial"/>
                <w:sz w:val="18"/>
                <w:szCs w:val="18"/>
                <w:color w:val="auto"/>
              </w:rPr>
              <w:t>4.1</w:t>
            </w:r>
          </w:p>
        </w:tc>
        <w:tc>
          <w:tcPr>
            <w:tcW w:w="420" w:type="dxa"/>
            <w:vAlign w:val="bottom"/>
          </w:tcPr>
          <w:p>
            <w:pPr>
              <w:spacing w:after="0"/>
              <w:rPr>
                <w:sz w:val="24"/>
                <w:szCs w:val="24"/>
                <w:color w:val="auto"/>
              </w:rPr>
            </w:pPr>
          </w:p>
        </w:tc>
        <w:tc>
          <w:tcPr>
            <w:tcW w:w="10120" w:type="dxa"/>
            <w:vAlign w:val="bottom"/>
            <w:gridSpan w:val="17"/>
          </w:tcPr>
          <w:p>
            <w:pPr>
              <w:spacing w:after="0"/>
              <w:rPr>
                <w:rFonts w:ascii="Arial" w:cs="Arial" w:eastAsia="Arial" w:hAnsi="Arial"/>
                <w:sz w:val="18"/>
                <w:szCs w:val="18"/>
                <w:color w:val="0000EE"/>
                <w:w w:val="93"/>
              </w:rPr>
            </w:pPr>
            <w:hyperlink r:id="rId31">
              <w:r>
                <w:rPr>
                  <w:rFonts w:ascii="Arial" w:cs="Arial" w:eastAsia="Arial" w:hAnsi="Arial"/>
                  <w:sz w:val="18"/>
                  <w:szCs w:val="18"/>
                  <w:color w:val="0000EE"/>
                  <w:w w:val="93"/>
                </w:rPr>
                <w:t>Form of Common Stock certificate of the registrant (Incorporated by reference to Exhibit 4.1 to the registrant’s Registration Statement on</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40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0"/>
              </w:rPr>
            </w:pPr>
            <w:hyperlink r:id="rId31">
              <w:r>
                <w:rPr>
                  <w:rFonts w:ascii="Arial" w:cs="Arial" w:eastAsia="Arial" w:hAnsi="Arial"/>
                  <w:sz w:val="18"/>
                  <w:szCs w:val="18"/>
                  <w:color w:val="0000EE"/>
                  <w:w w:val="90"/>
                </w:rPr>
                <w:t>Form S-1, as amended (File No. 333-195391)).</w:t>
              </w:r>
            </w:hyperlink>
          </w:p>
        </w:tc>
        <w:tc>
          <w:tcPr>
            <w:tcW w:w="6500" w:type="dxa"/>
            <w:vAlign w:val="bottom"/>
            <w:tcBorders>
              <w:top w:val="single" w:sz="8" w:color="0000EE"/>
            </w:tcBorders>
            <w:gridSpan w:val="11"/>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460" w:type="dxa"/>
            <w:vAlign w:val="bottom"/>
            <w:gridSpan w:val="2"/>
          </w:tcPr>
          <w:p>
            <w:pPr>
              <w:spacing w:after="0"/>
              <w:rPr>
                <w:sz w:val="20"/>
                <w:szCs w:val="20"/>
                <w:color w:val="auto"/>
              </w:rPr>
            </w:pPr>
            <w:r>
              <w:rPr>
                <w:rFonts w:ascii="Arial" w:cs="Arial" w:eastAsia="Arial" w:hAnsi="Arial"/>
                <w:sz w:val="18"/>
                <w:szCs w:val="18"/>
                <w:color w:val="auto"/>
              </w:rPr>
              <w:t>4.2</w:t>
            </w:r>
          </w:p>
        </w:tc>
        <w:tc>
          <w:tcPr>
            <w:tcW w:w="420" w:type="dxa"/>
            <w:vAlign w:val="bottom"/>
          </w:tcPr>
          <w:p>
            <w:pPr>
              <w:spacing w:after="0"/>
              <w:rPr>
                <w:sz w:val="24"/>
                <w:szCs w:val="24"/>
                <w:color w:val="auto"/>
              </w:rPr>
            </w:pPr>
          </w:p>
        </w:tc>
        <w:tc>
          <w:tcPr>
            <w:tcW w:w="9540" w:type="dxa"/>
            <w:vAlign w:val="bottom"/>
            <w:tcBorders>
              <w:bottom w:val="single" w:sz="8" w:color="0000EE"/>
            </w:tcBorders>
            <w:gridSpan w:val="13"/>
          </w:tcPr>
          <w:p>
            <w:pPr>
              <w:spacing w:after="0"/>
              <w:rPr>
                <w:rFonts w:ascii="Arial" w:cs="Arial" w:eastAsia="Arial" w:hAnsi="Arial"/>
                <w:sz w:val="18"/>
                <w:szCs w:val="18"/>
                <w:color w:val="0000EE"/>
                <w:w w:val="91"/>
              </w:rPr>
            </w:pPr>
            <w:hyperlink r:id="rId32">
              <w:r>
                <w:rPr>
                  <w:rFonts w:ascii="Arial" w:cs="Arial" w:eastAsia="Arial" w:hAnsi="Arial"/>
                  <w:sz w:val="18"/>
                  <w:szCs w:val="18"/>
                  <w:color w:val="0000EE"/>
                  <w:w w:val="91"/>
                </w:rPr>
                <w:t>Form of Amended and Restated Certificate of Incorporation (Incorporated by reference to Exhibit 3.2 to the registrant’s Registration</w:t>
              </w:r>
            </w:hyperlink>
          </w:p>
        </w:tc>
        <w:tc>
          <w:tcPr>
            <w:tcW w:w="58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120" w:type="dxa"/>
            <w:vAlign w:val="bottom"/>
            <w:gridSpan w:val="17"/>
          </w:tcPr>
          <w:p>
            <w:pPr>
              <w:spacing w:after="0" w:line="196" w:lineRule="exact"/>
              <w:rPr>
                <w:rFonts w:ascii="Arial" w:cs="Arial" w:eastAsia="Arial" w:hAnsi="Arial"/>
                <w:sz w:val="18"/>
                <w:szCs w:val="18"/>
                <w:color w:val="0000EE"/>
              </w:rPr>
            </w:pPr>
            <w:hyperlink r:id="rId32">
              <w:r>
                <w:rPr>
                  <w:rFonts w:ascii="Arial" w:cs="Arial" w:eastAsia="Arial" w:hAnsi="Arial"/>
                  <w:sz w:val="18"/>
                  <w:szCs w:val="18"/>
                  <w:color w:val="0000EE"/>
                </w:rPr>
                <w:t>Statement on Form S-1, as amended (File No. 333-195391)).</w:t>
              </w:r>
            </w:hyperlink>
          </w:p>
        </w:tc>
        <w:tc>
          <w:tcPr>
            <w:tcW w:w="0" w:type="dxa"/>
            <w:vAlign w:val="bottom"/>
          </w:tcPr>
          <w:p>
            <w:pPr>
              <w:spacing w:after="0"/>
              <w:rPr>
                <w:sz w:val="1"/>
                <w:szCs w:val="1"/>
                <w:color w:val="auto"/>
              </w:rPr>
            </w:pPr>
          </w:p>
        </w:tc>
      </w:tr>
      <w:tr>
        <w:trPr>
          <w:trHeight w:val="20"/>
        </w:trPr>
        <w:tc>
          <w:tcPr>
            <w:tcW w:w="46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40" w:type="dxa"/>
            <w:vAlign w:val="bottom"/>
            <w:gridSpan w:val="3"/>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60" w:type="dxa"/>
            <w:vAlign w:val="bottom"/>
            <w:gridSpan w:val="2"/>
          </w:tcPr>
          <w:p>
            <w:pPr>
              <w:spacing w:after="0"/>
              <w:rPr>
                <w:sz w:val="20"/>
                <w:szCs w:val="20"/>
                <w:color w:val="auto"/>
              </w:rPr>
            </w:pPr>
            <w:r>
              <w:rPr>
                <w:rFonts w:ascii="Arial" w:cs="Arial" w:eastAsia="Arial" w:hAnsi="Arial"/>
                <w:sz w:val="18"/>
                <w:szCs w:val="18"/>
                <w:color w:val="auto"/>
              </w:rPr>
              <w:t>4.3</w:t>
            </w:r>
          </w:p>
        </w:tc>
        <w:tc>
          <w:tcPr>
            <w:tcW w:w="420" w:type="dxa"/>
            <w:vAlign w:val="bottom"/>
          </w:tcPr>
          <w:p>
            <w:pPr>
              <w:spacing w:after="0"/>
              <w:rPr>
                <w:sz w:val="24"/>
                <w:szCs w:val="24"/>
                <w:color w:val="auto"/>
              </w:rPr>
            </w:pPr>
          </w:p>
        </w:tc>
        <w:tc>
          <w:tcPr>
            <w:tcW w:w="10120" w:type="dxa"/>
            <w:vAlign w:val="bottom"/>
            <w:tcBorders>
              <w:bottom w:val="single" w:sz="8" w:color="0000EE"/>
            </w:tcBorders>
            <w:gridSpan w:val="17"/>
          </w:tcPr>
          <w:p>
            <w:pPr>
              <w:spacing w:after="0"/>
              <w:rPr>
                <w:rFonts w:ascii="Arial" w:cs="Arial" w:eastAsia="Arial" w:hAnsi="Arial"/>
                <w:sz w:val="18"/>
                <w:szCs w:val="18"/>
                <w:color w:val="0000EE"/>
                <w:w w:val="90"/>
              </w:rPr>
            </w:pPr>
            <w:hyperlink r:id="rId33">
              <w:r>
                <w:rPr>
                  <w:rFonts w:ascii="Arial" w:cs="Arial" w:eastAsia="Arial" w:hAnsi="Arial"/>
                  <w:sz w:val="18"/>
                  <w:szCs w:val="18"/>
                  <w:color w:val="0000EE"/>
                  <w:w w:val="90"/>
                </w:rPr>
                <w:t>Form of Amended and Restated By-laws (Incorporated by reference to Exhibit 3.4 to the registrant’s Registration Statement on Form S-1, as</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120" w:type="dxa"/>
            <w:vAlign w:val="bottom"/>
            <w:gridSpan w:val="17"/>
          </w:tcPr>
          <w:p>
            <w:pPr>
              <w:spacing w:after="0" w:line="196" w:lineRule="exact"/>
              <w:rPr>
                <w:rFonts w:ascii="Arial" w:cs="Arial" w:eastAsia="Arial" w:hAnsi="Arial"/>
                <w:sz w:val="18"/>
                <w:szCs w:val="18"/>
                <w:color w:val="0000EE"/>
              </w:rPr>
            </w:pPr>
            <w:hyperlink r:id="rId33">
              <w:r>
                <w:rPr>
                  <w:rFonts w:ascii="Arial" w:cs="Arial" w:eastAsia="Arial" w:hAnsi="Arial"/>
                  <w:sz w:val="18"/>
                  <w:szCs w:val="18"/>
                  <w:color w:val="0000EE"/>
                </w:rPr>
                <w:t>amended (File No. 333-195391)).</w:t>
              </w:r>
            </w:hyperlink>
          </w:p>
        </w:tc>
        <w:tc>
          <w:tcPr>
            <w:tcW w:w="0" w:type="dxa"/>
            <w:vAlign w:val="bottom"/>
          </w:tcPr>
          <w:p>
            <w:pPr>
              <w:spacing w:after="0"/>
              <w:rPr>
                <w:sz w:val="1"/>
                <w:szCs w:val="1"/>
                <w:color w:val="auto"/>
              </w:rPr>
            </w:pPr>
          </w:p>
        </w:tc>
      </w:tr>
      <w:tr>
        <w:trPr>
          <w:trHeight w:val="20"/>
        </w:trPr>
        <w:tc>
          <w:tcPr>
            <w:tcW w:w="46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40" w:type="dxa"/>
            <w:vAlign w:val="bottom"/>
            <w:gridSpan w:val="3"/>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60" w:type="dxa"/>
            <w:vAlign w:val="bottom"/>
            <w:gridSpan w:val="2"/>
          </w:tcPr>
          <w:p>
            <w:pPr>
              <w:spacing w:after="0"/>
              <w:rPr>
                <w:sz w:val="20"/>
                <w:szCs w:val="20"/>
                <w:color w:val="auto"/>
              </w:rPr>
            </w:pPr>
            <w:r>
              <w:rPr>
                <w:rFonts w:ascii="Arial" w:cs="Arial" w:eastAsia="Arial" w:hAnsi="Arial"/>
                <w:sz w:val="18"/>
                <w:szCs w:val="18"/>
                <w:color w:val="auto"/>
              </w:rPr>
              <w:t>4.4</w:t>
            </w:r>
          </w:p>
        </w:tc>
        <w:tc>
          <w:tcPr>
            <w:tcW w:w="420" w:type="dxa"/>
            <w:vAlign w:val="bottom"/>
          </w:tcPr>
          <w:p>
            <w:pPr>
              <w:spacing w:after="0"/>
              <w:rPr>
                <w:sz w:val="24"/>
                <w:szCs w:val="24"/>
                <w:color w:val="auto"/>
              </w:rPr>
            </w:pPr>
          </w:p>
        </w:tc>
        <w:tc>
          <w:tcPr>
            <w:tcW w:w="10120" w:type="dxa"/>
            <w:vAlign w:val="bottom"/>
            <w:gridSpan w:val="17"/>
          </w:tcPr>
          <w:p>
            <w:pPr>
              <w:spacing w:after="0"/>
              <w:rPr>
                <w:rFonts w:ascii="Arial" w:cs="Arial" w:eastAsia="Arial" w:hAnsi="Arial"/>
                <w:sz w:val="18"/>
                <w:szCs w:val="18"/>
                <w:color w:val="0000EE"/>
                <w:w w:val="97"/>
              </w:rPr>
            </w:pPr>
            <w:hyperlink r:id="rId34">
              <w:r>
                <w:rPr>
                  <w:rFonts w:ascii="Arial" w:cs="Arial" w:eastAsia="Arial" w:hAnsi="Arial"/>
                  <w:sz w:val="18"/>
                  <w:szCs w:val="18"/>
                  <w:color w:val="0000EE"/>
                  <w:w w:val="97"/>
                </w:rPr>
                <w:t>Third Amended and Restated Investors’ Rights Agreement by and among the registrant and certain of its stockholders, dated as of</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1120" w:type="dxa"/>
            <w:vAlign w:val="bottom"/>
            <w:gridSpan w:val="2"/>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40" w:type="dxa"/>
            <w:vAlign w:val="bottom"/>
            <w:gridSpan w:val="3"/>
            <w:shd w:val="clear" w:color="auto" w:fill="0000EE"/>
          </w:tcPr>
          <w:p>
            <w:pPr>
              <w:spacing w:after="0" w:line="20" w:lineRule="exact"/>
              <w:rPr>
                <w:sz w:val="1"/>
                <w:szCs w:val="1"/>
                <w:color w:val="auto"/>
              </w:rPr>
            </w:pPr>
          </w:p>
        </w:tc>
        <w:tc>
          <w:tcPr>
            <w:tcW w:w="2940" w:type="dxa"/>
            <w:vAlign w:val="bottom"/>
            <w:shd w:val="clear" w:color="auto" w:fill="0000EE"/>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120" w:type="dxa"/>
            <w:vAlign w:val="bottom"/>
            <w:gridSpan w:val="17"/>
          </w:tcPr>
          <w:p>
            <w:pPr>
              <w:spacing w:after="0" w:line="196" w:lineRule="exact"/>
              <w:rPr>
                <w:rFonts w:ascii="Arial" w:cs="Arial" w:eastAsia="Arial" w:hAnsi="Arial"/>
                <w:sz w:val="18"/>
                <w:szCs w:val="18"/>
                <w:color w:val="0000EE"/>
                <w:w w:val="94"/>
              </w:rPr>
            </w:pPr>
            <w:hyperlink r:id="rId34">
              <w:r>
                <w:rPr>
                  <w:rFonts w:ascii="Arial" w:cs="Arial" w:eastAsia="Arial" w:hAnsi="Arial"/>
                  <w:sz w:val="18"/>
                  <w:szCs w:val="18"/>
                  <w:color w:val="0000EE"/>
                  <w:w w:val="94"/>
                </w:rPr>
                <w:t>November 25, 2013 (Incorporated by reference to Exhibit 4.2 to the registrant’s Registration Statement on Form S-1, as amended (File</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680" w:type="dxa"/>
            <w:vAlign w:val="bottom"/>
            <w:tcBorders>
              <w:top w:val="single" w:sz="8" w:color="0000EE"/>
            </w:tcBorders>
            <w:gridSpan w:val="14"/>
          </w:tcPr>
          <w:p>
            <w:pPr>
              <w:spacing w:after="0" w:line="196" w:lineRule="exact"/>
              <w:rPr>
                <w:rFonts w:ascii="Arial" w:cs="Arial" w:eastAsia="Arial" w:hAnsi="Arial"/>
                <w:sz w:val="18"/>
                <w:szCs w:val="18"/>
                <w:color w:val="0000EE"/>
              </w:rPr>
            </w:pPr>
            <w:hyperlink r:id="rId34">
              <w:r>
                <w:rPr>
                  <w:rFonts w:ascii="Arial" w:cs="Arial" w:eastAsia="Arial" w:hAnsi="Arial"/>
                  <w:sz w:val="18"/>
                  <w:szCs w:val="18"/>
                  <w:color w:val="0000EE"/>
                </w:rPr>
                <w:t>No. 333-195391)).</w:t>
              </w:r>
            </w:hyperlink>
          </w:p>
        </w:tc>
        <w:tc>
          <w:tcPr>
            <w:tcW w:w="44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6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40" w:type="dxa"/>
            <w:vAlign w:val="bottom"/>
            <w:gridSpan w:val="3"/>
          </w:tcPr>
          <w:p>
            <w:pPr>
              <w:spacing w:after="0" w:line="20" w:lineRule="exact"/>
              <w:rPr>
                <w:sz w:val="1"/>
                <w:szCs w:val="1"/>
                <w:color w:val="auto"/>
              </w:rPr>
            </w:pPr>
          </w:p>
        </w:tc>
        <w:tc>
          <w:tcPr>
            <w:tcW w:w="3340" w:type="dxa"/>
            <w:vAlign w:val="bottom"/>
            <w:gridSpan w:val="4"/>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60" w:type="dxa"/>
            <w:vAlign w:val="bottom"/>
            <w:gridSpan w:val="2"/>
          </w:tcPr>
          <w:p>
            <w:pPr>
              <w:spacing w:after="0"/>
              <w:rPr>
                <w:sz w:val="20"/>
                <w:szCs w:val="20"/>
                <w:color w:val="auto"/>
              </w:rPr>
            </w:pPr>
            <w:r>
              <w:rPr>
                <w:rFonts w:ascii="Arial" w:cs="Arial" w:eastAsia="Arial" w:hAnsi="Arial"/>
                <w:sz w:val="18"/>
                <w:szCs w:val="18"/>
                <w:color w:val="auto"/>
              </w:rPr>
              <w:t>5.1*</w:t>
            </w:r>
          </w:p>
        </w:tc>
        <w:tc>
          <w:tcPr>
            <w:tcW w:w="420" w:type="dxa"/>
            <w:vAlign w:val="bottom"/>
          </w:tcPr>
          <w:p>
            <w:pPr>
              <w:spacing w:after="0"/>
              <w:rPr>
                <w:sz w:val="24"/>
                <w:szCs w:val="24"/>
                <w:color w:val="auto"/>
              </w:rPr>
            </w:pPr>
          </w:p>
        </w:tc>
        <w:tc>
          <w:tcPr>
            <w:tcW w:w="2460" w:type="dxa"/>
            <w:vAlign w:val="bottom"/>
            <w:tcBorders>
              <w:bottom w:val="single" w:sz="8" w:color="0000EE"/>
            </w:tcBorders>
            <w:gridSpan w:val="3"/>
          </w:tcPr>
          <w:p>
            <w:pPr>
              <w:spacing w:after="0"/>
              <w:rPr>
                <w:rFonts w:ascii="Arial" w:cs="Arial" w:eastAsia="Arial" w:hAnsi="Arial"/>
                <w:sz w:val="18"/>
                <w:szCs w:val="18"/>
                <w:color w:val="0000EE"/>
                <w:w w:val="92"/>
              </w:rPr>
            </w:pPr>
            <w:hyperlink w:anchor="page7">
              <w:r>
                <w:rPr>
                  <w:rFonts w:ascii="Arial" w:cs="Arial" w:eastAsia="Arial" w:hAnsi="Arial"/>
                  <w:sz w:val="18"/>
                  <w:szCs w:val="18"/>
                  <w:color w:val="0000EE"/>
                  <w:w w:val="92"/>
                </w:rPr>
                <w:t>Opinion of Goodwin Procter LLP.</w:t>
              </w:r>
            </w:hyperlink>
          </w:p>
        </w:tc>
        <w:tc>
          <w:tcPr>
            <w:tcW w:w="7660" w:type="dxa"/>
            <w:vAlign w:val="bottom"/>
            <w:gridSpan w:val="14"/>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460" w:type="dxa"/>
            <w:vAlign w:val="bottom"/>
            <w:gridSpan w:val="2"/>
          </w:tcPr>
          <w:p>
            <w:pPr>
              <w:spacing w:after="0"/>
              <w:rPr>
                <w:sz w:val="20"/>
                <w:szCs w:val="20"/>
                <w:color w:val="auto"/>
              </w:rPr>
            </w:pPr>
            <w:r>
              <w:rPr>
                <w:rFonts w:ascii="Arial" w:cs="Arial" w:eastAsia="Arial" w:hAnsi="Arial"/>
                <w:sz w:val="18"/>
                <w:szCs w:val="18"/>
                <w:color w:val="auto"/>
              </w:rPr>
              <w:t>23.1*</w:t>
            </w:r>
          </w:p>
        </w:tc>
        <w:tc>
          <w:tcPr>
            <w:tcW w:w="420" w:type="dxa"/>
            <w:vAlign w:val="bottom"/>
          </w:tcPr>
          <w:p>
            <w:pPr>
              <w:spacing w:after="0"/>
              <w:rPr>
                <w:sz w:val="24"/>
                <w:szCs w:val="24"/>
                <w:color w:val="auto"/>
              </w:rPr>
            </w:pPr>
          </w:p>
        </w:tc>
        <w:tc>
          <w:tcPr>
            <w:tcW w:w="6420" w:type="dxa"/>
            <w:vAlign w:val="bottom"/>
            <w:tcBorders>
              <w:bottom w:val="single" w:sz="8" w:color="0000EE"/>
            </w:tcBorders>
            <w:gridSpan w:val="11"/>
          </w:tcPr>
          <w:p>
            <w:pPr>
              <w:spacing w:after="0"/>
              <w:rPr>
                <w:rFonts w:ascii="Arial" w:cs="Arial" w:eastAsia="Arial" w:hAnsi="Arial"/>
                <w:sz w:val="18"/>
                <w:szCs w:val="18"/>
                <w:color w:val="0000EE"/>
                <w:w w:val="90"/>
              </w:rPr>
            </w:pPr>
            <w:hyperlink w:anchor="page8">
              <w:r>
                <w:rPr>
                  <w:rFonts w:ascii="Arial" w:cs="Arial" w:eastAsia="Arial" w:hAnsi="Arial"/>
                  <w:sz w:val="18"/>
                  <w:szCs w:val="18"/>
                  <w:color w:val="0000EE"/>
                  <w:w w:val="90"/>
                </w:rPr>
                <w:t>Consent of PricewaterhouseCoopers LLP, independent registered public accounting firm.</w:t>
              </w:r>
            </w:hyperlink>
          </w:p>
        </w:tc>
        <w:tc>
          <w:tcPr>
            <w:tcW w:w="370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460" w:type="dxa"/>
            <w:vAlign w:val="bottom"/>
            <w:gridSpan w:val="2"/>
          </w:tcPr>
          <w:p>
            <w:pPr>
              <w:spacing w:after="0"/>
              <w:rPr>
                <w:sz w:val="20"/>
                <w:szCs w:val="20"/>
                <w:color w:val="auto"/>
              </w:rPr>
            </w:pPr>
            <w:r>
              <w:rPr>
                <w:rFonts w:ascii="Arial" w:cs="Arial" w:eastAsia="Arial" w:hAnsi="Arial"/>
                <w:sz w:val="18"/>
                <w:szCs w:val="18"/>
                <w:color w:val="auto"/>
              </w:rPr>
              <w:t>23.2*</w:t>
            </w:r>
          </w:p>
        </w:tc>
        <w:tc>
          <w:tcPr>
            <w:tcW w:w="420" w:type="dxa"/>
            <w:vAlign w:val="bottom"/>
          </w:tcPr>
          <w:p>
            <w:pPr>
              <w:spacing w:after="0"/>
              <w:rPr>
                <w:sz w:val="24"/>
                <w:szCs w:val="24"/>
                <w:color w:val="auto"/>
              </w:rPr>
            </w:pPr>
          </w:p>
        </w:tc>
        <w:tc>
          <w:tcPr>
            <w:tcW w:w="10120" w:type="dxa"/>
            <w:vAlign w:val="bottom"/>
            <w:gridSpan w:val="17"/>
          </w:tcPr>
          <w:p>
            <w:pPr>
              <w:spacing w:after="0"/>
              <w:rPr>
                <w:rFonts w:ascii="Arial" w:cs="Arial" w:eastAsia="Arial" w:hAnsi="Arial"/>
                <w:sz w:val="18"/>
                <w:szCs w:val="18"/>
                <w:color w:val="auto"/>
              </w:rPr>
            </w:pPr>
            <w:r>
              <w:rPr>
                <w:rFonts w:ascii="Arial" w:cs="Arial" w:eastAsia="Arial" w:hAnsi="Arial"/>
                <w:sz w:val="18"/>
                <w:szCs w:val="18"/>
                <w:color w:val="auto"/>
              </w:rPr>
              <w:t xml:space="preserve">Consent of Goodwin Procter LLP (included in </w:t>
            </w:r>
            <w:hyperlink w:anchor="page7">
              <w:r>
                <w:rPr>
                  <w:rFonts w:ascii="Arial" w:cs="Arial" w:eastAsia="Arial" w:hAnsi="Arial"/>
                  <w:sz w:val="18"/>
                  <w:szCs w:val="18"/>
                  <w:color w:val="0000EE"/>
                </w:rPr>
                <w:t>Exhibit 5.1</w:t>
              </w:r>
            </w:hyperlink>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6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380" w:type="dxa"/>
            <w:vAlign w:val="bottom"/>
            <w:gridSpan w:val="4"/>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380" w:type="dxa"/>
            <w:vAlign w:val="bottom"/>
            <w:gridSpan w:val="7"/>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60" w:type="dxa"/>
            <w:vAlign w:val="bottom"/>
            <w:gridSpan w:val="2"/>
          </w:tcPr>
          <w:p>
            <w:pPr>
              <w:spacing w:after="0"/>
              <w:rPr>
                <w:sz w:val="20"/>
                <w:szCs w:val="20"/>
                <w:color w:val="auto"/>
              </w:rPr>
            </w:pPr>
            <w:r>
              <w:rPr>
                <w:rFonts w:ascii="Arial" w:cs="Arial" w:eastAsia="Arial" w:hAnsi="Arial"/>
                <w:sz w:val="18"/>
                <w:szCs w:val="18"/>
                <w:color w:val="auto"/>
              </w:rPr>
              <w:t>24.1*</w:t>
            </w:r>
          </w:p>
        </w:tc>
        <w:tc>
          <w:tcPr>
            <w:tcW w:w="420" w:type="dxa"/>
            <w:vAlign w:val="bottom"/>
          </w:tcPr>
          <w:p>
            <w:pPr>
              <w:spacing w:after="0"/>
              <w:rPr>
                <w:sz w:val="24"/>
                <w:szCs w:val="24"/>
                <w:color w:val="auto"/>
              </w:rPr>
            </w:pPr>
          </w:p>
        </w:tc>
        <w:tc>
          <w:tcPr>
            <w:tcW w:w="3440" w:type="dxa"/>
            <w:vAlign w:val="bottom"/>
            <w:tcBorders>
              <w:bottom w:val="single" w:sz="8" w:color="0000EE"/>
            </w:tcBorders>
            <w:gridSpan w:val="6"/>
          </w:tcPr>
          <w:p>
            <w:pPr>
              <w:spacing w:after="0"/>
              <w:rPr>
                <w:rFonts w:ascii="Arial" w:cs="Arial" w:eastAsia="Arial" w:hAnsi="Arial"/>
                <w:sz w:val="18"/>
                <w:szCs w:val="18"/>
                <w:color w:val="0000EE"/>
                <w:w w:val="90"/>
              </w:rPr>
            </w:pPr>
            <w:hyperlink w:anchor="page5">
              <w:r>
                <w:rPr>
                  <w:rFonts w:ascii="Arial" w:cs="Arial" w:eastAsia="Arial" w:hAnsi="Arial"/>
                  <w:sz w:val="18"/>
                  <w:szCs w:val="18"/>
                  <w:color w:val="0000EE"/>
                  <w:w w:val="90"/>
                </w:rPr>
                <w:t>Power of attorney (included on signature page).</w:t>
              </w:r>
            </w:hyperlink>
          </w:p>
        </w:tc>
        <w:tc>
          <w:tcPr>
            <w:tcW w:w="6680" w:type="dxa"/>
            <w:vAlign w:val="bottom"/>
            <w:gridSpan w:val="11"/>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460" w:type="dxa"/>
            <w:vAlign w:val="bottom"/>
            <w:gridSpan w:val="2"/>
          </w:tcPr>
          <w:p>
            <w:pPr>
              <w:spacing w:after="0"/>
              <w:rPr>
                <w:sz w:val="20"/>
                <w:szCs w:val="20"/>
                <w:color w:val="auto"/>
              </w:rPr>
            </w:pPr>
            <w:r>
              <w:rPr>
                <w:rFonts w:ascii="Arial" w:cs="Arial" w:eastAsia="Arial" w:hAnsi="Arial"/>
                <w:sz w:val="18"/>
                <w:szCs w:val="18"/>
                <w:color w:val="auto"/>
              </w:rPr>
              <w:t>99.1</w:t>
            </w:r>
          </w:p>
        </w:tc>
        <w:tc>
          <w:tcPr>
            <w:tcW w:w="420" w:type="dxa"/>
            <w:vAlign w:val="bottom"/>
          </w:tcPr>
          <w:p>
            <w:pPr>
              <w:spacing w:after="0"/>
              <w:rPr>
                <w:sz w:val="24"/>
                <w:szCs w:val="24"/>
                <w:color w:val="auto"/>
              </w:rPr>
            </w:pPr>
          </w:p>
        </w:tc>
        <w:tc>
          <w:tcPr>
            <w:tcW w:w="10120" w:type="dxa"/>
            <w:vAlign w:val="bottom"/>
            <w:gridSpan w:val="17"/>
          </w:tcPr>
          <w:p>
            <w:pPr>
              <w:spacing w:after="0"/>
              <w:rPr>
                <w:rFonts w:ascii="Arial" w:cs="Arial" w:eastAsia="Arial" w:hAnsi="Arial"/>
                <w:sz w:val="18"/>
                <w:szCs w:val="18"/>
                <w:color w:val="0000EE"/>
                <w:w w:val="93"/>
              </w:rPr>
            </w:pPr>
            <w:hyperlink r:id="rId35">
              <w:r>
                <w:rPr>
                  <w:rFonts w:ascii="Arial" w:cs="Arial" w:eastAsia="Arial" w:hAnsi="Arial"/>
                  <w:sz w:val="18"/>
                  <w:szCs w:val="18"/>
                  <w:color w:val="0000EE"/>
                  <w:w w:val="93"/>
                </w:rPr>
                <w:t>2014 Stock Option and Incentive Plan and forms of agreements thereunder (Incorporated by reference to Exhibit 10.2 to the registrant’s</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38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90"/>
              </w:rPr>
            </w:pPr>
            <w:hyperlink r:id="rId35">
              <w:r>
                <w:rPr>
                  <w:rFonts w:ascii="Arial" w:cs="Arial" w:eastAsia="Arial" w:hAnsi="Arial"/>
                  <w:sz w:val="18"/>
                  <w:szCs w:val="18"/>
                  <w:color w:val="0000EE"/>
                  <w:w w:val="90"/>
                </w:rPr>
                <w:t>Registration Statement on Form S-1 (File No. 333-195391)).</w:t>
              </w:r>
            </w:hyperlink>
          </w:p>
        </w:tc>
        <w:tc>
          <w:tcPr>
            <w:tcW w:w="5380" w:type="dxa"/>
            <w:vAlign w:val="bottom"/>
            <w:tcBorders>
              <w:top w:val="single" w:sz="8" w:color="0000EE"/>
            </w:tcBorders>
            <w:gridSpan w:val="7"/>
          </w:tcPr>
          <w:p>
            <w:pPr>
              <w:spacing w:after="0"/>
              <w:rPr>
                <w:sz w:val="17"/>
                <w:szCs w:val="17"/>
                <w:color w:val="auto"/>
              </w:rPr>
            </w:pPr>
          </w:p>
        </w:tc>
        <w:tc>
          <w:tcPr>
            <w:tcW w:w="36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102870</wp:posOffset>
            </wp:positionV>
            <wp:extent cx="76327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6">
                      <a:extLst>
                        <a:ext uri="{28A0092B-C50C-407E-A947-70E740481C1C}"/>
                      </a:extLst>
                    </a:blip>
                    <a:srcRect/>
                    <a:stretch>
                      <a:fillRect/>
                    </a:stretch>
                  </pic:blipFill>
                  <pic:spPr bwMode="auto">
                    <a:xfrm>
                      <a:off x="0" y="0"/>
                      <a:ext cx="763270" cy="8890"/>
                    </a:xfrm>
                    <a:prstGeom prst="rect">
                      <a:avLst/>
                    </a:prstGeom>
                    <a:noFill/>
                  </pic:spPr>
                </pic:pic>
              </a:graphicData>
            </a:graphic>
          </wp:anchor>
        </w:drawing>
      </w:r>
    </w:p>
    <w:p>
      <w:pPr>
        <w:spacing w:after="0" w:line="182" w:lineRule="exact"/>
        <w:rPr>
          <w:sz w:val="20"/>
          <w:szCs w:val="20"/>
          <w:color w:val="auto"/>
        </w:rPr>
      </w:pPr>
    </w:p>
    <w:p>
      <w:pPr>
        <w:ind w:left="440" w:hanging="436"/>
        <w:spacing w:after="0"/>
        <w:tabs>
          <w:tab w:leader="none" w:pos="440" w:val="left"/>
        </w:tabs>
        <w:numPr>
          <w:ilvl w:val="0"/>
          <w:numId w:val="2"/>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0"/>
          </w:cols>
          <w:pgMar w:left="440" w:top="270" w:right="459" w:bottom="1440" w:gutter="0" w:footer="0" w:header="0"/>
        </w:sectPr>
      </w:pPr>
    </w:p>
    <w:bookmarkStart w:id="6" w:name="page7"/>
    <w:bookmarkEnd w:id="6"/>
    <w:p>
      <w:pPr>
        <w:ind w:left="10180"/>
        <w:spacing w:after="0"/>
        <w:rPr>
          <w:sz w:val="20"/>
          <w:szCs w:val="20"/>
          <w:color w:val="auto"/>
        </w:rPr>
      </w:pPr>
      <w:r>
        <w:rPr>
          <w:rFonts w:ascii="Arial" w:cs="Arial" w:eastAsia="Arial" w:hAnsi="Arial"/>
          <w:sz w:val="16"/>
          <w:szCs w:val="16"/>
          <w:b w:val="1"/>
          <w:bCs w:val="1"/>
          <w:color w:val="auto"/>
        </w:rPr>
        <w:t>Exhibit 5.1</w:t>
      </w:r>
    </w:p>
    <w:p>
      <w:pPr>
        <w:spacing w:after="0" w:line="252" w:lineRule="exact"/>
        <w:rPr>
          <w:sz w:val="20"/>
          <w:szCs w:val="20"/>
          <w:color w:val="auto"/>
        </w:rPr>
      </w:pPr>
    </w:p>
    <w:p>
      <w:pPr>
        <w:ind w:left="9240"/>
        <w:spacing w:after="0"/>
        <w:rPr>
          <w:sz w:val="20"/>
          <w:szCs w:val="20"/>
          <w:color w:val="auto"/>
        </w:rPr>
      </w:pPr>
      <w:r>
        <w:rPr>
          <w:rFonts w:ascii="Arial" w:cs="Arial" w:eastAsia="Arial" w:hAnsi="Arial"/>
          <w:sz w:val="18"/>
          <w:szCs w:val="18"/>
          <w:color w:val="auto"/>
        </w:rPr>
        <w:t>March 5,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Zafgen,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 Center Plaza, Suite 610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Boston, MA 02108</w:t>
      </w:r>
    </w:p>
    <w:p>
      <w:pPr>
        <w:spacing w:after="0" w:line="238" w:lineRule="exact"/>
        <w:rPr>
          <w:sz w:val="20"/>
          <w:szCs w:val="20"/>
          <w:color w:val="auto"/>
        </w:rPr>
      </w:pPr>
    </w:p>
    <w:p>
      <w:pPr>
        <w:ind w:left="440"/>
        <w:spacing w:after="0"/>
        <w:tabs>
          <w:tab w:leader="none" w:pos="96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u w:val="single" w:color="auto"/>
          <w:color w:val="auto"/>
        </w:rPr>
        <w:t>Securities Being Registered under Registration Statement on Form S-8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7" w:lineRule="exact"/>
        <w:rPr>
          <w:sz w:val="20"/>
          <w:szCs w:val="20"/>
          <w:color w:val="auto"/>
        </w:rPr>
      </w:pPr>
    </w:p>
    <w:p>
      <w:pPr>
        <w:ind w:firstLine="441"/>
        <w:spacing w:after="0" w:line="259" w:lineRule="auto"/>
        <w:rPr>
          <w:sz w:val="20"/>
          <w:szCs w:val="20"/>
          <w:color w:val="auto"/>
        </w:rPr>
      </w:pPr>
      <w:r>
        <w:rPr>
          <w:rFonts w:ascii="Arial" w:cs="Arial" w:eastAsia="Arial" w:hAnsi="Arial"/>
          <w:sz w:val="18"/>
          <w:szCs w:val="18"/>
          <w:color w:val="auto"/>
        </w:rPr>
        <w:t>We have acted as counsel to you in connection with your filing of a Registration Statement on Form S-8 (the “Registration Statement”) pursuant to the Securities Act of 1933, as amended (the “Securities Act”), on or about the date hereof relating to an aggregate of 1,497,859 shares (the “Shares”) of Common Stock, $0.001 par value per share, of Zafgen, Inc., a Delaware corporation (the “Company”), that may be issued pursuant to the Company’s 2014 Stock Option and Incentive Plan (the “Plan”).</w:t>
      </w:r>
    </w:p>
    <w:p>
      <w:pPr>
        <w:spacing w:after="0" w:line="187" w:lineRule="exact"/>
        <w:rPr>
          <w:sz w:val="20"/>
          <w:szCs w:val="20"/>
          <w:color w:val="auto"/>
        </w:rPr>
      </w:pPr>
    </w:p>
    <w:p>
      <w:pPr>
        <w:ind w:right="360" w:firstLine="441"/>
        <w:spacing w:after="0" w:line="264" w:lineRule="auto"/>
        <w:rPr>
          <w:sz w:val="20"/>
          <w:szCs w:val="20"/>
          <w:color w:val="auto"/>
        </w:rPr>
      </w:pPr>
      <w:r>
        <w:rPr>
          <w:rFonts w:ascii="Arial" w:cs="Arial" w:eastAsia="Arial" w:hAnsi="Arial"/>
          <w:sz w:val="18"/>
          <w:szCs w:val="18"/>
          <w:color w:val="auto"/>
        </w:rPr>
        <w:t>We have reviewed such documents and made such examination of law as we have deemed appropriate to give the opinion set forth below. We have relied, without independent verification, on certificates of public officials and, as to matters of fact material to the opinion set forth below, on certificates of officers of the Company.</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opinion set forth below is limited to the Delaware General Corporation Law.</w:t>
      </w:r>
    </w:p>
    <w:p>
      <w:pPr>
        <w:spacing w:after="0" w:line="225" w:lineRule="exact"/>
        <w:rPr>
          <w:sz w:val="20"/>
          <w:szCs w:val="20"/>
          <w:color w:val="auto"/>
        </w:rPr>
      </w:pPr>
    </w:p>
    <w:p>
      <w:pPr>
        <w:ind w:right="80" w:firstLine="441"/>
        <w:spacing w:after="0" w:line="277" w:lineRule="auto"/>
        <w:rPr>
          <w:sz w:val="20"/>
          <w:szCs w:val="20"/>
          <w:color w:val="auto"/>
        </w:rPr>
      </w:pPr>
      <w:r>
        <w:rPr>
          <w:rFonts w:ascii="Arial" w:cs="Arial" w:eastAsia="Arial" w:hAnsi="Arial"/>
          <w:sz w:val="18"/>
          <w:szCs w:val="18"/>
          <w:color w:val="auto"/>
        </w:rPr>
        <w:t>For purposes of the opinion set forth below, we have assumed that no event occurs that causes the number of authorized shares of Common Stock available for issuance by the Company to be less than the number of then unissued Shares.</w:t>
      </w:r>
    </w:p>
    <w:p>
      <w:pPr>
        <w:spacing w:after="0" w:line="170" w:lineRule="exact"/>
        <w:rPr>
          <w:sz w:val="20"/>
          <w:szCs w:val="20"/>
          <w:color w:val="auto"/>
        </w:rPr>
      </w:pPr>
    </w:p>
    <w:p>
      <w:pPr>
        <w:ind w:right="60" w:firstLine="441"/>
        <w:spacing w:after="0" w:line="277" w:lineRule="auto"/>
        <w:rPr>
          <w:sz w:val="20"/>
          <w:szCs w:val="20"/>
          <w:color w:val="auto"/>
        </w:rPr>
      </w:pPr>
      <w:r>
        <w:rPr>
          <w:rFonts w:ascii="Arial" w:cs="Arial" w:eastAsia="Arial" w:hAnsi="Arial"/>
          <w:sz w:val="18"/>
          <w:szCs w:val="18"/>
          <w:color w:val="auto"/>
        </w:rPr>
        <w:t>Based on the foregoing, we are of the opinion that the Shares have been duly authorized and, upon issuance and delivery against payment therefor in accordance with the terms of the Plan, will be validly issued, fully paid and nonassessable.</w:t>
      </w:r>
    </w:p>
    <w:p>
      <w:pPr>
        <w:spacing w:after="0" w:line="170" w:lineRule="exact"/>
        <w:rPr>
          <w:sz w:val="20"/>
          <w:szCs w:val="20"/>
          <w:color w:val="auto"/>
        </w:rPr>
      </w:pPr>
    </w:p>
    <w:p>
      <w:pPr>
        <w:ind w:right="60" w:firstLine="441"/>
        <w:spacing w:after="0" w:line="308" w:lineRule="auto"/>
        <w:rPr>
          <w:sz w:val="20"/>
          <w:szCs w:val="20"/>
          <w:color w:val="auto"/>
        </w:rPr>
      </w:pPr>
      <w:r>
        <w:rPr>
          <w:rFonts w:ascii="Arial" w:cs="Arial" w:eastAsia="Arial" w:hAnsi="Arial"/>
          <w:sz w:val="17"/>
          <w:szCs w:val="17"/>
          <w:color w:val="auto"/>
        </w:rPr>
        <w:t>We hereby consent to the inclusion of this opinion as Exhibit 5.1 to the Registration Statement. In giving our consent, we do not admit that we are in the category of persons whose consent is required under Section 7 of the Securities Act or the rules and regulations thereunder.</w:t>
      </w:r>
    </w:p>
    <w:p>
      <w:pPr>
        <w:spacing w:after="0" w:line="174"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S</w:t>
      </w:r>
      <w:r>
        <w:rPr>
          <w:rFonts w:ascii="Arial" w:cs="Arial" w:eastAsia="Arial" w:hAnsi="Arial"/>
          <w:sz w:val="18"/>
          <w:szCs w:val="18"/>
          <w:color w:val="auto"/>
        </w:rPr>
        <w:t>/ G</w:t>
      </w:r>
      <w:r>
        <w:rPr>
          <w:rFonts w:ascii="Arial" w:cs="Arial" w:eastAsia="Arial" w:hAnsi="Arial"/>
          <w:sz w:val="15"/>
          <w:szCs w:val="15"/>
          <w:color w:val="auto"/>
        </w:rPr>
        <w:t>OODWIN</w:t>
      </w:r>
      <w:r>
        <w:rPr>
          <w:rFonts w:ascii="Arial" w:cs="Arial" w:eastAsia="Arial" w:hAnsi="Arial"/>
          <w:sz w:val="18"/>
          <w:szCs w:val="18"/>
          <w:color w:val="auto"/>
        </w:rPr>
        <w:t xml:space="preserve"> P</w:t>
      </w:r>
      <w:r>
        <w:rPr>
          <w:rFonts w:ascii="Arial" w:cs="Arial" w:eastAsia="Arial" w:hAnsi="Arial"/>
          <w:sz w:val="15"/>
          <w:szCs w:val="15"/>
          <w:color w:val="auto"/>
        </w:rPr>
        <w:t>ROCTER</w:t>
      </w:r>
      <w:r>
        <w:rPr>
          <w:rFonts w:ascii="Arial" w:cs="Arial" w:eastAsia="Arial" w:hAnsi="Arial"/>
          <w:sz w:val="18"/>
          <w:szCs w:val="18"/>
          <w:color w:val="auto"/>
        </w:rPr>
        <w:t xml:space="preserve"> LLP</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GOODWIN PROCTER LLP</w:t>
      </w:r>
    </w:p>
    <w:p>
      <w:pPr>
        <w:sectPr>
          <w:pgSz w:w="11900" w:h="16838" w:orient="portrait"/>
          <w:cols w:equalWidth="0" w:num="1">
            <w:col w:w="11020"/>
          </w:cols>
          <w:pgMar w:left="440" w:top="121" w:right="439" w:bottom="1440" w:gutter="0" w:footer="0" w:header="0"/>
        </w:sectPr>
      </w:pPr>
    </w:p>
    <w:bookmarkStart w:id="7" w:name="page8"/>
    <w:bookmarkEnd w:id="7"/>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right="500"/>
        <w:spacing w:after="0" w:line="342" w:lineRule="auto"/>
        <w:rPr>
          <w:sz w:val="20"/>
          <w:szCs w:val="20"/>
          <w:color w:val="auto"/>
        </w:rPr>
      </w:pPr>
      <w:r>
        <w:rPr>
          <w:rFonts w:ascii="Arial" w:cs="Arial" w:eastAsia="Arial" w:hAnsi="Arial"/>
          <w:sz w:val="16"/>
          <w:szCs w:val="16"/>
          <w:color w:val="auto"/>
        </w:rPr>
        <w:t>We hereby consent to the incorporation by reference in this Registration Statement on Form S-8 of Zafgen, Inc. of our report dated March 5, 2020 relating to the financial statements, which appears in Zafgen, Inc.’s Annual Report on Form 10-K for the year ended December 31, 2019.</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5, 2020</w:t>
      </w:r>
    </w:p>
    <w:sectPr>
      <w:pgSz w:w="11900" w:h="16838" w:orient="portrait"/>
      <w:cols w:equalWidth="0" w:num="1">
        <w:col w:w="11020"/>
      </w:cols>
      <w:pgMar w:left="440"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7" Type="http://schemas.openxmlformats.org/officeDocument/2006/relationships/image" Target="media/image14.png"/><Relationship Id="rId28" Type="http://schemas.openxmlformats.org/officeDocument/2006/relationships/image" Target="media/image15.png"/><Relationship Id="rId29" Type="http://schemas.openxmlformats.org/officeDocument/2006/relationships/image" Target="media/image16.png"/><Relationship Id="rId30" Type="http://schemas.openxmlformats.org/officeDocument/2006/relationships/image" Target="media/image17.png"/><Relationship Id="rId36" Type="http://schemas.openxmlformats.org/officeDocument/2006/relationships/image" Target="media/image18.png"/><Relationship Id="rId21" Type="http://schemas.openxmlformats.org/officeDocument/2006/relationships/hyperlink" Target="http://www.sec.gov/Archives/edgar/data/1374690/000119312514242275/d744443ds8.htm" TargetMode="External"/><Relationship Id="rId22" Type="http://schemas.openxmlformats.org/officeDocument/2006/relationships/hyperlink" Target="http://www.sec.gov/Archives/edgar/data/1374690/000119312515221988/d941259ds8.htm" TargetMode="External"/><Relationship Id="rId23" Type="http://schemas.openxmlformats.org/officeDocument/2006/relationships/hyperlink" Target="http://www.sec.gov/Archives/edgar/data/1374690/000119312516505212/d43976ds8.htm" TargetMode="External"/><Relationship Id="rId24" Type="http://schemas.openxmlformats.org/officeDocument/2006/relationships/hyperlink" Target="http://www.sec.gov/Archives/edgar/data/1374690/000119312517078789/d286905ds8.htm" TargetMode="External"/><Relationship Id="rId25" Type="http://schemas.openxmlformats.org/officeDocument/2006/relationships/hyperlink" Target="http://www.sec.gov/Archives/edgar/data/1374690/000119312518077480/d549807ds8.htm" TargetMode="External"/><Relationship Id="rId26" Type="http://schemas.openxmlformats.org/officeDocument/2006/relationships/hyperlink" Target="http://www.sec.gov/Archives/edgar/data/1374690/000119312519075029/d715846ds8.htm" TargetMode="External"/><Relationship Id="rId31" Type="http://schemas.openxmlformats.org/officeDocument/2006/relationships/hyperlink" Target="http://www.sec.gov/Archives/edgar/data/1374690/000119312514222253/d642727dex41.htm" TargetMode="External"/><Relationship Id="rId32" Type="http://schemas.openxmlformats.org/officeDocument/2006/relationships/hyperlink" Target="http://www.sec.gov/Archives/edgar/data/1374690/000119312514227208/d642727dex32.htm" TargetMode="External"/><Relationship Id="rId33" Type="http://schemas.openxmlformats.org/officeDocument/2006/relationships/hyperlink" Target="http://www.sec.gov/Archives/edgar/data/1374690/000119312514222253/d642727dex34.htm" TargetMode="External"/><Relationship Id="rId34" Type="http://schemas.openxmlformats.org/officeDocument/2006/relationships/hyperlink" Target="http://www.sec.gov/Archives/edgar/data/1374690/000119312514149201/d642727dex42.htm" TargetMode="External"/><Relationship Id="rId35" Type="http://schemas.openxmlformats.org/officeDocument/2006/relationships/hyperlink" Target="http://www.sec.gov/Archives/edgar/data/1374690/000119312514227208/d642727dex1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2020-03-05T15:43:39Z</dcterms:created>
  <dcterms:modified xsi:type="dcterms:W3CDTF">2020-03-05T15:43:39Z</dcterms:modified>
</cp:coreProperties>
</file>