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151765</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160655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December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156210</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Zafgen,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146685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88" w:lineRule="exact"/>
        <w:rPr>
          <w:sz w:val="24"/>
          <w:szCs w:val="24"/>
          <w:color w:val="auto"/>
        </w:rPr>
      </w:pPr>
    </w:p>
    <w:tbl>
      <w:tblPr>
        <w:tblLayout w:type="fixed"/>
        <w:tblInd w:w="1540" w:type="dxa"/>
        <w:tblCellMar>
          <w:top w:w="0" w:type="dxa"/>
          <w:left w:w="0" w:type="dxa"/>
          <w:bottom w:w="0" w:type="dxa"/>
          <w:right w:w="0" w:type="dxa"/>
        </w:tblCellMar>
      </w:tblPr>
      <w:tr>
        <w:trPr>
          <w:trHeight w:val="143"/>
        </w:trPr>
        <w:tc>
          <w:tcPr>
            <w:tcW w:w="2660" w:type="dxa"/>
            <w:vAlign w:val="bottom"/>
          </w:tcPr>
          <w:p>
            <w:pPr>
              <w:jc w:val="center"/>
              <w:ind w:right="1526"/>
              <w:spacing w:after="0"/>
              <w:rPr>
                <w:sz w:val="20"/>
                <w:szCs w:val="20"/>
                <w:color w:val="auto"/>
              </w:rPr>
            </w:pPr>
            <w:r>
              <w:rPr>
                <w:rFonts w:ascii="Arial" w:cs="Arial" w:eastAsia="Arial" w:hAnsi="Arial"/>
                <w:sz w:val="12"/>
                <w:szCs w:val="12"/>
                <w:b w:val="1"/>
                <w:bCs w:val="1"/>
                <w:color w:val="auto"/>
                <w:w w:val="98"/>
              </w:rPr>
              <w:t>DELAWARE</w:t>
            </w:r>
          </w:p>
        </w:tc>
        <w:tc>
          <w:tcPr>
            <w:tcW w:w="1560" w:type="dxa"/>
            <w:vAlign w:val="bottom"/>
          </w:tcPr>
          <w:p>
            <w:pPr>
              <w:ind w:left="14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right"/>
              <w:ind w:right="27"/>
              <w:spacing w:after="0"/>
              <w:rPr>
                <w:sz w:val="20"/>
                <w:szCs w:val="20"/>
                <w:color w:val="auto"/>
              </w:rPr>
            </w:pPr>
            <w:r>
              <w:rPr>
                <w:rFonts w:ascii="Arial" w:cs="Arial" w:eastAsia="Arial" w:hAnsi="Arial"/>
                <w:sz w:val="12"/>
                <w:szCs w:val="12"/>
                <w:b w:val="1"/>
                <w:bCs w:val="1"/>
                <w:color w:val="auto"/>
              </w:rPr>
              <w:t>20-3857670</w:t>
            </w:r>
          </w:p>
        </w:tc>
      </w:tr>
      <w:tr>
        <w:trPr>
          <w:trHeight w:val="99"/>
        </w:trPr>
        <w:tc>
          <w:tcPr>
            <w:tcW w:w="2660" w:type="dxa"/>
            <w:vAlign w:val="bottom"/>
          </w:tcPr>
          <w:p>
            <w:pPr>
              <w:jc w:val="center"/>
              <w:ind w:right="1506"/>
              <w:spacing w:after="0" w:line="100" w:lineRule="exact"/>
              <w:rPr>
                <w:sz w:val="20"/>
                <w:szCs w:val="20"/>
                <w:color w:val="auto"/>
              </w:rPr>
            </w:pPr>
            <w:r>
              <w:rPr>
                <w:rFonts w:ascii="Arial" w:cs="Arial" w:eastAsia="Arial" w:hAnsi="Arial"/>
                <w:sz w:val="10"/>
                <w:szCs w:val="10"/>
                <w:b w:val="1"/>
                <w:bCs w:val="1"/>
                <w:color w:val="auto"/>
                <w:w w:val="87"/>
              </w:rPr>
              <w:t>(State or other jurisdiction</w:t>
            </w:r>
          </w:p>
        </w:tc>
        <w:tc>
          <w:tcPr>
            <w:tcW w:w="1560" w:type="dxa"/>
            <w:vAlign w:val="bottom"/>
          </w:tcPr>
          <w:p>
            <w:pPr>
              <w:ind w:left="120"/>
              <w:spacing w:after="0" w:line="100"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7"/>
              <w:spacing w:after="0" w:line="100" w:lineRule="exact"/>
              <w:rPr>
                <w:sz w:val="20"/>
                <w:szCs w:val="20"/>
                <w:color w:val="auto"/>
              </w:rPr>
            </w:pPr>
            <w:r>
              <w:rPr>
                <w:rFonts w:ascii="Arial" w:cs="Arial" w:eastAsia="Arial" w:hAnsi="Arial"/>
                <w:sz w:val="10"/>
                <w:szCs w:val="10"/>
                <w:b w:val="1"/>
                <w:bCs w:val="1"/>
                <w:color w:val="auto"/>
                <w:w w:val="88"/>
              </w:rPr>
              <w:t>(I.R.S. Employer</w:t>
            </w:r>
          </w:p>
        </w:tc>
      </w:tr>
      <w:tr>
        <w:trPr>
          <w:trHeight w:val="124"/>
        </w:trPr>
        <w:tc>
          <w:tcPr>
            <w:tcW w:w="2660" w:type="dxa"/>
            <w:vAlign w:val="bottom"/>
          </w:tcPr>
          <w:p>
            <w:pPr>
              <w:jc w:val="center"/>
              <w:ind w:right="1526"/>
              <w:spacing w:after="0"/>
              <w:rPr>
                <w:sz w:val="20"/>
                <w:szCs w:val="20"/>
                <w:color w:val="auto"/>
              </w:rPr>
            </w:pPr>
            <w:r>
              <w:rPr>
                <w:rFonts w:ascii="Arial" w:cs="Arial" w:eastAsia="Arial" w:hAnsi="Arial"/>
                <w:sz w:val="10"/>
                <w:szCs w:val="10"/>
                <w:b w:val="1"/>
                <w:bCs w:val="1"/>
                <w:color w:val="auto"/>
                <w:w w:val="89"/>
              </w:rPr>
              <w:t>of incorporation)</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5"/>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90"/>
              </w:rPr>
              <w:t>3 Center Plaza, Suite 610</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2"/>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86"/>
              </w:rPr>
              <w:t>Boston, Massachusetts</w:t>
            </w:r>
          </w:p>
        </w:tc>
        <w:tc>
          <w:tcPr>
            <w:tcW w:w="1560" w:type="dxa"/>
            <w:vAlign w:val="bottom"/>
          </w:tcPr>
          <w:p>
            <w:pPr>
              <w:spacing w:after="0"/>
              <w:rPr>
                <w:sz w:val="13"/>
                <w:szCs w:val="13"/>
                <w:color w:val="auto"/>
              </w:rPr>
            </w:pPr>
          </w:p>
        </w:tc>
        <w:tc>
          <w:tcPr>
            <w:tcW w:w="1640" w:type="dxa"/>
            <w:vAlign w:val="bottom"/>
          </w:tcPr>
          <w:p>
            <w:pPr>
              <w:jc w:val="right"/>
              <w:ind w:right="187"/>
              <w:spacing w:after="0"/>
              <w:rPr>
                <w:sz w:val="20"/>
                <w:szCs w:val="20"/>
                <w:color w:val="auto"/>
              </w:rPr>
            </w:pPr>
            <w:r>
              <w:rPr>
                <w:rFonts w:ascii="Arial" w:cs="Arial" w:eastAsia="Arial" w:hAnsi="Arial"/>
                <w:sz w:val="12"/>
                <w:szCs w:val="12"/>
                <w:b w:val="1"/>
                <w:bCs w:val="1"/>
                <w:color w:val="auto"/>
              </w:rPr>
              <w:t>02108</w:t>
            </w:r>
          </w:p>
        </w:tc>
      </w:tr>
      <w:tr>
        <w:trPr>
          <w:trHeight w:val="124"/>
        </w:trPr>
        <w:tc>
          <w:tcPr>
            <w:tcW w:w="2660" w:type="dxa"/>
            <w:vAlign w:val="bottom"/>
          </w:tcPr>
          <w:p>
            <w:pPr>
              <w:jc w:val="center"/>
              <w:ind w:left="806"/>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156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 (617) 622-4003</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142875</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31"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8" w:lineRule="exact"/>
        <w:rPr>
          <w:sz w:val="24"/>
          <w:szCs w:val="24"/>
          <w:color w:val="auto"/>
        </w:rPr>
      </w:pPr>
    </w:p>
    <w:p>
      <w:pPr>
        <w:ind w:left="1120" w:hanging="289"/>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8" w:lineRule="exact"/>
        <w:rPr>
          <w:sz w:val="24"/>
          <w:szCs w:val="24"/>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1"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ZFGN</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NASDAQ Global Market</w:t>
            </w:r>
          </w:p>
        </w:tc>
      </w:tr>
    </w:tbl>
    <w:p>
      <w:pPr>
        <w:spacing w:after="0" w:line="114" w:lineRule="exact"/>
        <w:rPr>
          <w:sz w:val="24"/>
          <w:szCs w:val="24"/>
          <w:color w:val="auto"/>
        </w:rPr>
      </w:pPr>
    </w:p>
    <w:p>
      <w:pPr>
        <w:ind w:left="840" w:right="99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5"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95885</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124460</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Agreement and Plan of Merger</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On December 17, 2019, Zafgen, Inc. (“</w:t>
      </w:r>
      <w:r>
        <w:rPr>
          <w:rFonts w:ascii="Arial" w:cs="Arial" w:eastAsia="Arial" w:hAnsi="Arial"/>
          <w:sz w:val="11"/>
          <w:szCs w:val="11"/>
          <w:u w:val="single" w:color="auto"/>
          <w:color w:val="auto"/>
        </w:rPr>
        <w:t>Zafgen</w:t>
      </w:r>
      <w:r>
        <w:rPr>
          <w:rFonts w:ascii="Arial" w:cs="Arial" w:eastAsia="Arial" w:hAnsi="Arial"/>
          <w:sz w:val="11"/>
          <w:szCs w:val="11"/>
          <w:color w:val="auto"/>
        </w:rPr>
        <w:t>”) entered into an Agreement and Plan of Merger (the “</w:t>
      </w:r>
      <w:r>
        <w:rPr>
          <w:rFonts w:ascii="Arial" w:cs="Arial" w:eastAsia="Arial" w:hAnsi="Arial"/>
          <w:sz w:val="11"/>
          <w:szCs w:val="11"/>
          <w:u w:val="single" w:color="auto"/>
          <w:color w:val="auto"/>
        </w:rPr>
        <w:t>Merger Agreement</w:t>
      </w:r>
      <w:r>
        <w:rPr>
          <w:rFonts w:ascii="Arial" w:cs="Arial" w:eastAsia="Arial" w:hAnsi="Arial"/>
          <w:sz w:val="11"/>
          <w:szCs w:val="11"/>
          <w:color w:val="auto"/>
        </w:rPr>
        <w:t>”) by and among Chondrial</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Therapeutics, Inc., a privately held biotechnology company (“</w:t>
      </w:r>
      <w:r>
        <w:rPr>
          <w:rFonts w:ascii="Arial" w:cs="Arial" w:eastAsia="Arial" w:hAnsi="Arial"/>
          <w:sz w:val="11"/>
          <w:szCs w:val="11"/>
          <w:u w:val="single" w:color="auto"/>
          <w:color w:val="auto"/>
        </w:rPr>
        <w:t>Chondrial</w:t>
      </w:r>
      <w:r>
        <w:rPr>
          <w:rFonts w:ascii="Arial" w:cs="Arial" w:eastAsia="Arial" w:hAnsi="Arial"/>
          <w:sz w:val="11"/>
          <w:szCs w:val="11"/>
          <w:color w:val="auto"/>
        </w:rPr>
        <w:t>”), Chondrial Therapeutics Holdings, LLC, the sole stockholder of Chondrial</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Holdings</w:t>
      </w:r>
      <w:r>
        <w:rPr>
          <w:rFonts w:ascii="Arial" w:cs="Arial" w:eastAsia="Arial" w:hAnsi="Arial"/>
          <w:sz w:val="11"/>
          <w:szCs w:val="11"/>
          <w:color w:val="auto"/>
        </w:rPr>
        <w:t>”) and Zordich Merger Sub, Inc., a wholly owned subsidiary of Zafgen (“</w:t>
      </w:r>
      <w:r>
        <w:rPr>
          <w:rFonts w:ascii="Arial" w:cs="Arial" w:eastAsia="Arial" w:hAnsi="Arial"/>
          <w:sz w:val="11"/>
          <w:szCs w:val="11"/>
          <w:u w:val="single" w:color="auto"/>
          <w:color w:val="auto"/>
        </w:rPr>
        <w:t>Merger Sub</w:t>
      </w:r>
      <w:r>
        <w:rPr>
          <w:rFonts w:ascii="Arial" w:cs="Arial" w:eastAsia="Arial" w:hAnsi="Arial"/>
          <w:sz w:val="11"/>
          <w:szCs w:val="11"/>
          <w:color w:val="auto"/>
        </w:rPr>
        <w:t>”), pursuant to which Chondrial will be merged with and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into Merger Sub (the “</w:t>
      </w:r>
      <w:r>
        <w:rPr>
          <w:rFonts w:ascii="Arial" w:cs="Arial" w:eastAsia="Arial" w:hAnsi="Arial"/>
          <w:sz w:val="11"/>
          <w:szCs w:val="11"/>
          <w:u w:val="single" w:color="auto"/>
          <w:color w:val="auto"/>
        </w:rPr>
        <w:t>Merger</w:t>
      </w:r>
      <w:r>
        <w:rPr>
          <w:rFonts w:ascii="Arial" w:cs="Arial" w:eastAsia="Arial" w:hAnsi="Arial"/>
          <w:sz w:val="11"/>
          <w:szCs w:val="11"/>
          <w:color w:val="auto"/>
        </w:rPr>
        <w:t>”) at the effective time of the Merger, with Chondrial continuing after the Merger as the surviving company and a wholly-</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owned subsidiary of Zafgen.</w:t>
      </w:r>
    </w:p>
    <w:p>
      <w:pPr>
        <w:spacing w:after="0" w:line="142"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Under the exchange ratio formula in the Merger Agreement, as of immediately after the Merger, the former Chondrial securityholders are expected to own approximately 60% of the outstanding shares of Zafgen common stock on a fully-diluted basis and securityholders of Zafgen as of immediately prior to the Merger are expected to own approximately 40% of the outstanding shares of Zafgen common stock on a fully-diluted basis. Under certain circumstances further described in the Merger Agreement, the ownership percentages may be adjusted upward or downward based on the level of Zordich’s net cash at the closing of the Merger and certain other adjustments. There can be no assurances as to Zordich’s level of net cash between now and closing.</w:t>
      </w:r>
    </w:p>
    <w:p>
      <w:pPr>
        <w:spacing w:after="0" w:line="128" w:lineRule="exact"/>
        <w:rPr>
          <w:sz w:val="20"/>
          <w:szCs w:val="20"/>
          <w:color w:val="auto"/>
        </w:rPr>
      </w:pPr>
    </w:p>
    <w:p>
      <w:pPr>
        <w:jc w:val="both"/>
        <w:ind w:left="840" w:right="999"/>
        <w:spacing w:after="0" w:line="282" w:lineRule="auto"/>
        <w:rPr>
          <w:sz w:val="20"/>
          <w:szCs w:val="20"/>
          <w:color w:val="auto"/>
        </w:rPr>
      </w:pPr>
      <w:r>
        <w:rPr>
          <w:rFonts w:ascii="Arial" w:cs="Arial" w:eastAsia="Arial" w:hAnsi="Arial"/>
          <w:sz w:val="11"/>
          <w:szCs w:val="11"/>
          <w:color w:val="auto"/>
        </w:rPr>
        <w:t>The Merger Agreement contains a customary “no-shop” provision under which neither Zafgen nor Chondrial is permitted to (i) solicit any alternative acquisition proposals, (ii) furnish any non-public information to any person in connection with or in response to any alternative acquisition proposal,</w:t>
      </w:r>
    </w:p>
    <w:p>
      <w:pPr>
        <w:ind w:left="840" w:right="879" w:hanging="9"/>
        <w:spacing w:after="0" w:line="254" w:lineRule="auto"/>
        <w:tabs>
          <w:tab w:leader="none" w:pos="1051" w:val="left"/>
        </w:tabs>
        <w:numPr>
          <w:ilvl w:val="0"/>
          <w:numId w:val="4"/>
        </w:numPr>
        <w:rPr>
          <w:rFonts w:ascii="Arial" w:cs="Arial" w:eastAsia="Arial" w:hAnsi="Arial"/>
          <w:sz w:val="12"/>
          <w:szCs w:val="12"/>
          <w:color w:val="auto"/>
        </w:rPr>
      </w:pPr>
      <w:r>
        <w:rPr>
          <w:rFonts w:ascii="Arial" w:cs="Arial" w:eastAsia="Arial" w:hAnsi="Arial"/>
          <w:sz w:val="12"/>
          <w:szCs w:val="12"/>
          <w:color w:val="auto"/>
        </w:rPr>
        <w:t>engage in any negotiations or discussions with any person with respect to any alternative acquisition proposal, (iv) approve, endorse or recommend any alternative acquisition proposal, or (v) enter into any agreement relating to any alternative acquisition proposal. The “no-shop” provision is subject to certain exceptions that permit the board of directors of Zafgen (the “</w:t>
      </w:r>
      <w:r>
        <w:rPr>
          <w:rFonts w:ascii="Arial" w:cs="Arial" w:eastAsia="Arial" w:hAnsi="Arial"/>
          <w:sz w:val="12"/>
          <w:szCs w:val="12"/>
          <w:u w:val="single" w:color="auto"/>
          <w:color w:val="auto"/>
        </w:rPr>
        <w:t>Zafgen Board</w:t>
      </w:r>
      <w:r>
        <w:rPr>
          <w:rFonts w:ascii="Arial" w:cs="Arial" w:eastAsia="Arial" w:hAnsi="Arial"/>
          <w:sz w:val="12"/>
          <w:szCs w:val="12"/>
          <w:color w:val="auto"/>
        </w:rPr>
        <w:t>”) to comply with its fiduciary duties, which, under certain circumstances, would enable Zafgen to provide information to, and enter into discussions or negotiations with, third parties in response to any alternative acquisition proposals.</w:t>
      </w:r>
    </w:p>
    <w:p>
      <w:pPr>
        <w:spacing w:after="0" w:line="128" w:lineRule="exact"/>
        <w:rPr>
          <w:sz w:val="20"/>
          <w:szCs w:val="20"/>
          <w:color w:val="auto"/>
        </w:rPr>
      </w:pPr>
    </w:p>
    <w:p>
      <w:pPr>
        <w:ind w:left="840" w:right="819"/>
        <w:spacing w:after="0" w:line="341" w:lineRule="auto"/>
        <w:rPr>
          <w:sz w:val="20"/>
          <w:szCs w:val="20"/>
          <w:color w:val="auto"/>
        </w:rPr>
      </w:pPr>
      <w:r>
        <w:rPr>
          <w:rFonts w:ascii="Arial" w:cs="Arial" w:eastAsia="Arial" w:hAnsi="Arial"/>
          <w:sz w:val="10"/>
          <w:szCs w:val="10"/>
          <w:color w:val="auto"/>
        </w:rPr>
        <w:t>The Merger Agreement provides each of Zafgen and Chondrial with specified termination rights, and further provides that, upon termination of the Merger Agreement under specified circumstances, either party may be required to pay the other party a termination fee of $3,375,000. In addition, in connection with certain terminations of the Merger Agreement, either party may be required to pay the other party’s third party expenses up to $350,000.</w:t>
      </w:r>
    </w:p>
    <w:p>
      <w:pPr>
        <w:sectPr>
          <w:pgSz w:w="11900" w:h="16838" w:orient="portrait"/>
          <w:cols w:equalWidth="0" w:num="1">
            <w:col w:w="9019"/>
          </w:cols>
          <w:pgMar w:left="1440" w:top="226" w:right="1440" w:bottom="1440" w:gutter="0" w:footer="0" w:header="0"/>
        </w:sectPr>
      </w:pPr>
    </w:p>
    <w:bookmarkStart w:id="2" w:name="page3"/>
    <w:bookmarkEnd w:id="2"/>
    <w:p>
      <w:pPr>
        <w:ind w:left="840" w:right="939"/>
        <w:spacing w:after="0" w:line="28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Merger Agreement provides that, immediately following the Effective Time, as defined in the Merger Agreement, the board of directors of the combined company will consist of Peter Barrett, Ph.D., Carole Ben-Maimon, M.D., Thomas Daniel, M.D., Thomas Hamilton, Jonathan Leff, Frank Thomas, and one additional designee of Deerfield Management (until each of their respective successors are duly elected or appointed and qualified or their earlier death, resignation or removal). In connection with the Merger, Zafgen will seek to amend its certificate of incorporation to: (i) effect a reverse split of Zafgen common stock at a ratio to be determined by Zafgen and Chondrial, which is intended to ensure that the listing requirements of the Nasdaq Global Market are satisfied and (ii) change the name of Zafgen to “Larimar Therapeutics, Inc.”.</w:t>
      </w:r>
    </w:p>
    <w:p>
      <w:pPr>
        <w:spacing w:after="0" w:line="113" w:lineRule="exact"/>
        <w:rPr>
          <w:sz w:val="20"/>
          <w:szCs w:val="20"/>
          <w:color w:val="auto"/>
        </w:rPr>
      </w:pPr>
    </w:p>
    <w:p>
      <w:pPr>
        <w:ind w:left="840" w:right="859"/>
        <w:spacing w:after="0" w:line="328" w:lineRule="auto"/>
        <w:rPr>
          <w:sz w:val="20"/>
          <w:szCs w:val="20"/>
          <w:color w:val="auto"/>
        </w:rPr>
      </w:pPr>
      <w:r>
        <w:rPr>
          <w:rFonts w:ascii="Arial" w:cs="Arial" w:eastAsia="Arial" w:hAnsi="Arial"/>
          <w:sz w:val="10"/>
          <w:szCs w:val="10"/>
          <w:color w:val="auto"/>
        </w:rPr>
        <w:t>Zafgen’s and Chondrial’s obligations to consummate the Merger are subject to the satisfaction or waiver of customary closing conditions, including, among others, obtaining the requisite approvals of the stockholders of Zafgen and Chondrial, including the approval of the charter amendments by the stockholders of Zafgen, and the preparation of a proxy statement, as well as satisfaction of minimum net cash thresholds of $30,000,000 by Zordich and not less than zero by Chondrial. Holdings, in its capacity as the sole stockholder of Chondrial, has approved the Merger Agreement by written consent.</w:t>
      </w:r>
    </w:p>
    <w:p>
      <w:pPr>
        <w:spacing w:after="0" w:line="94" w:lineRule="exact"/>
        <w:rPr>
          <w:sz w:val="20"/>
          <w:szCs w:val="20"/>
          <w:color w:val="auto"/>
        </w:rPr>
      </w:pPr>
    </w:p>
    <w:p>
      <w:pPr>
        <w:ind w:left="840" w:right="839"/>
        <w:spacing w:after="0" w:line="290" w:lineRule="auto"/>
        <w:rPr>
          <w:sz w:val="20"/>
          <w:szCs w:val="20"/>
          <w:color w:val="auto"/>
        </w:rPr>
      </w:pPr>
      <w:r>
        <w:rPr>
          <w:rFonts w:ascii="Arial" w:cs="Arial" w:eastAsia="Arial" w:hAnsi="Arial"/>
          <w:sz w:val="11"/>
          <w:szCs w:val="11"/>
          <w:color w:val="auto"/>
        </w:rPr>
        <w:t>The Zafgen Board has unanimously approved the Merger Agreement and the related transactions, and has adopted resolutions recommending the requisite stockholder approval for the issuance of the shares of Zafgen common stock pursuant to the Merger. Zafgen has agreed to hold a stockholders’ meeting to submit certain matters to its stockholders for their consideration. In connection with the Merger, Zafgen intends to file with the Securities and Exchange Commission (“</w:t>
      </w:r>
      <w:r>
        <w:rPr>
          <w:rFonts w:ascii="Arial" w:cs="Arial" w:eastAsia="Arial" w:hAnsi="Arial"/>
          <w:sz w:val="11"/>
          <w:szCs w:val="11"/>
          <w:u w:val="single" w:color="auto"/>
          <w:color w:val="auto"/>
        </w:rPr>
        <w:t>SEC</w:t>
      </w:r>
      <w:r>
        <w:rPr>
          <w:rFonts w:ascii="Arial" w:cs="Arial" w:eastAsia="Arial" w:hAnsi="Arial"/>
          <w:sz w:val="11"/>
          <w:szCs w:val="11"/>
          <w:color w:val="auto"/>
        </w:rPr>
        <w:t>”) a proxy statement and other relevant materials in connection with the proposed transactions.</w:t>
      </w:r>
    </w:p>
    <w:p>
      <w:pPr>
        <w:spacing w:after="0" w:line="111" w:lineRule="exact"/>
        <w:rPr>
          <w:sz w:val="20"/>
          <w:szCs w:val="20"/>
          <w:color w:val="auto"/>
        </w:rPr>
      </w:pPr>
    </w:p>
    <w:p>
      <w:pPr>
        <w:ind w:left="840" w:right="999"/>
        <w:spacing w:after="0" w:line="324" w:lineRule="auto"/>
        <w:rPr>
          <w:sz w:val="20"/>
          <w:szCs w:val="20"/>
          <w:color w:val="auto"/>
        </w:rPr>
      </w:pPr>
      <w:r>
        <w:rPr>
          <w:rFonts w:ascii="Arial" w:cs="Arial" w:eastAsia="Arial" w:hAnsi="Arial"/>
          <w:sz w:val="11"/>
          <w:szCs w:val="11"/>
          <w:color w:val="auto"/>
        </w:rPr>
        <w:t>The foregoing description of the Merger and the Merger Agreement does not purport to be complete and is qualified in its entirety by reference to the Merger Agreement, which is filed as Exhibit 2.1 to this Current Report on Form 8-K and is incorporated herein by reference.</w:t>
      </w:r>
    </w:p>
    <w:p>
      <w:pPr>
        <w:spacing w:after="0" w:line="92" w:lineRule="exact"/>
        <w:rPr>
          <w:sz w:val="20"/>
          <w:szCs w:val="20"/>
          <w:color w:val="auto"/>
        </w:rPr>
      </w:pPr>
    </w:p>
    <w:p>
      <w:pPr>
        <w:ind w:left="840" w:right="899"/>
        <w:spacing w:after="0" w:line="279" w:lineRule="auto"/>
        <w:rPr>
          <w:sz w:val="20"/>
          <w:szCs w:val="20"/>
          <w:color w:val="auto"/>
        </w:rPr>
      </w:pPr>
      <w:r>
        <w:rPr>
          <w:rFonts w:ascii="Arial" w:cs="Arial" w:eastAsia="Arial" w:hAnsi="Arial"/>
          <w:sz w:val="11"/>
          <w:szCs w:val="11"/>
          <w:color w:val="auto"/>
        </w:rPr>
        <w:t>The Merger Agreement has been included to provide investors and security holders with information regarding its terms. It is not intended to provide any other factual information about Zafgen or Chondrial. The Merger Agreement contains representations, warranties and covenants that Zafgen and Chondrial made to each other as of specific dates. The assertions embodied in those representations, warranties and covenants were made solely for purposes of the Merger Agreement between Zafgen and Chondrial and may be subject to important qualifications and limitations agreed to by Zafgen and Chondrial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investors or security holders, or may have been used for the purpose of allocating risk between Zafgen and Chondrial rather than establishing matters as facts. Moreover, information concerning the subject matter of the representations and warranties may change after the date of the Merger Agreement, which subsequent information may or may not be fully reflected in Zafgen’s public disclosures. For the foregoing reasons, no person should rely on the representations and warranties as statements of factual information at the time they were made or otherwise.</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Stockholder Support Agreements</w:t>
      </w:r>
    </w:p>
    <w:p>
      <w:pPr>
        <w:spacing w:after="0" w:line="79" w:lineRule="exact"/>
        <w:rPr>
          <w:sz w:val="20"/>
          <w:szCs w:val="20"/>
          <w:color w:val="auto"/>
        </w:rPr>
      </w:pPr>
    </w:p>
    <w:p>
      <w:pPr>
        <w:ind w:left="840" w:right="859"/>
        <w:spacing w:after="0" w:line="286" w:lineRule="auto"/>
        <w:rPr>
          <w:sz w:val="20"/>
          <w:szCs w:val="20"/>
          <w:color w:val="auto"/>
        </w:rPr>
      </w:pPr>
      <w:r>
        <w:rPr>
          <w:rFonts w:ascii="Arial" w:cs="Arial" w:eastAsia="Arial" w:hAnsi="Arial"/>
          <w:sz w:val="11"/>
          <w:szCs w:val="11"/>
          <w:color w:val="auto"/>
        </w:rPr>
        <w:t>In connection with the execution of the Merger Agreement, Zafgen entered into stockholder support agreements (the “</w:t>
      </w:r>
      <w:r>
        <w:rPr>
          <w:rFonts w:ascii="Arial" w:cs="Arial" w:eastAsia="Arial" w:hAnsi="Arial"/>
          <w:sz w:val="11"/>
          <w:szCs w:val="11"/>
          <w:u w:val="single" w:color="auto"/>
          <w:color w:val="auto"/>
        </w:rPr>
        <w:t>Stockholder Support</w:t>
      </w:r>
      <w:r>
        <w:rPr>
          <w:rFonts w:ascii="Arial" w:cs="Arial" w:eastAsia="Arial" w:hAnsi="Arial"/>
          <w:sz w:val="11"/>
          <w:szCs w:val="11"/>
          <w:color w:val="auto"/>
        </w:rPr>
        <w:t xml:space="preserve"> </w:t>
      </w:r>
      <w:r>
        <w:rPr>
          <w:rFonts w:ascii="Arial" w:cs="Arial" w:eastAsia="Arial" w:hAnsi="Arial"/>
          <w:sz w:val="11"/>
          <w:szCs w:val="11"/>
          <w:u w:val="single" w:color="auto"/>
          <w:color w:val="auto"/>
        </w:rPr>
        <w:t>Agreements</w:t>
      </w:r>
      <w:r>
        <w:rPr>
          <w:rFonts w:ascii="Arial" w:cs="Arial" w:eastAsia="Arial" w:hAnsi="Arial"/>
          <w:sz w:val="11"/>
          <w:szCs w:val="11"/>
          <w:color w:val="auto"/>
        </w:rPr>
        <w:t>”) with its current directors and certain officers and its largest stockholder, which collectively beneficially own or control an aggregate of approximately 9.7% of the outstanding shares of Zafgen common stock. The Stockholder Support Agreements provide that, among other things, each of the stockholders has agreed to vote or cause to be voted, all of the shares of Zafgen’s common stock beneficially owned by such stockholder in favor of the stockholder proposals submitted at the Zafgen stockholders meeting to be held in connection with the Merger.</w:t>
      </w:r>
    </w:p>
    <w:p>
      <w:pPr>
        <w:sectPr>
          <w:pgSz w:w="11900" w:h="16838" w:orient="portrait"/>
          <w:cols w:equalWidth="0" w:num="1">
            <w:col w:w="9019"/>
          </w:cols>
          <w:pgMar w:left="1440" w:top="230" w:right="1440" w:bottom="1440" w:gutter="0" w:footer="0" w:header="0"/>
        </w:sectPr>
      </w:pPr>
    </w:p>
    <w:bookmarkStart w:id="3" w:name="page4"/>
    <w:bookmarkEnd w:id="3"/>
    <w:p>
      <w:pPr>
        <w:ind w:left="840" w:right="93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foregoing description of the Stockholder Support Agreements does not purport to be complete and is qualified in its entirety by reference to the form of the Stockholder Support Agreement, which is provided as Exhibit A to the Merger Agreement, which is attached as Exhibit 2.1 to this Current Report on Form 8-K and incorporated herein by reference.</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Lockup Agreements</w:t>
      </w:r>
    </w:p>
    <w:p>
      <w:pPr>
        <w:spacing w:after="0" w:line="79" w:lineRule="exact"/>
        <w:rPr>
          <w:sz w:val="20"/>
          <w:szCs w:val="20"/>
          <w:color w:val="auto"/>
        </w:rPr>
      </w:pPr>
    </w:p>
    <w:p>
      <w:pPr>
        <w:ind w:left="840" w:right="899"/>
        <w:spacing w:after="0" w:line="321" w:lineRule="auto"/>
        <w:rPr>
          <w:sz w:val="20"/>
          <w:szCs w:val="20"/>
          <w:color w:val="auto"/>
        </w:rPr>
      </w:pPr>
      <w:r>
        <w:rPr>
          <w:rFonts w:ascii="Arial" w:cs="Arial" w:eastAsia="Arial" w:hAnsi="Arial"/>
          <w:sz w:val="10"/>
          <w:szCs w:val="10"/>
          <w:color w:val="auto"/>
        </w:rPr>
        <w:t>Concurrently and in connection with the execution of the Merger Agreement, Chondrial’s chief executive officer and chief financial officer, current directors of Chondrial and Holdings, in its capacity as the sole stockholder of Chondrial, who collectively own or control 100% of Chondrial’s voting securities, and Zafgen’s current directors, certain officers of Zafgen and Zafgen’s largest stockholder, which collectively beneficially own or control an aggregate of approximately 9.7% of the outstanding shares of Zafgen common stock, entered into lock-up agreements with Zafgen, pursuant to which each stockholder will be subject to a 180 day lockup on the sale of shares of Zafgen common stock received in the Merger (the “</w:t>
      </w:r>
      <w:r>
        <w:rPr>
          <w:rFonts w:ascii="Arial" w:cs="Arial" w:eastAsia="Arial" w:hAnsi="Arial"/>
          <w:sz w:val="10"/>
          <w:szCs w:val="10"/>
          <w:u w:val="single" w:color="auto"/>
          <w:color w:val="auto"/>
        </w:rPr>
        <w:t>Lockup Agreements</w:t>
      </w:r>
      <w:r>
        <w:rPr>
          <w:rFonts w:ascii="Arial" w:cs="Arial" w:eastAsia="Arial" w:hAnsi="Arial"/>
          <w:sz w:val="10"/>
          <w:szCs w:val="10"/>
          <w:color w:val="auto"/>
        </w:rPr>
        <w:t>”).</w:t>
      </w:r>
    </w:p>
    <w:p>
      <w:pPr>
        <w:spacing w:after="0" w:line="98" w:lineRule="exact"/>
        <w:rPr>
          <w:sz w:val="20"/>
          <w:szCs w:val="20"/>
          <w:color w:val="auto"/>
        </w:rPr>
      </w:pPr>
    </w:p>
    <w:p>
      <w:pPr>
        <w:ind w:left="840" w:right="939"/>
        <w:spacing w:after="0" w:line="264" w:lineRule="auto"/>
        <w:rPr>
          <w:sz w:val="20"/>
          <w:szCs w:val="20"/>
          <w:color w:val="auto"/>
        </w:rPr>
      </w:pPr>
      <w:r>
        <w:rPr>
          <w:rFonts w:ascii="Arial" w:cs="Arial" w:eastAsia="Arial" w:hAnsi="Arial"/>
          <w:sz w:val="12"/>
          <w:szCs w:val="12"/>
          <w:color w:val="auto"/>
        </w:rPr>
        <w:t>The foregoing description of the Lockup Agreements does not purport to be complete and is qualified in its entirety by reference to the form of the Lockup Agreement, which is provided as Exhibit B to the Merger Agreement, which is attached as Exhibit 2.1 to this Current Report on Form 8-K and incorporated herein by reference.</w:t>
      </w:r>
    </w:p>
    <w:p>
      <w:pPr>
        <w:spacing w:after="0" w:line="218"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3.02</w:t>
      </w:r>
      <w:r>
        <w:rPr>
          <w:sz w:val="20"/>
          <w:szCs w:val="20"/>
          <w:color w:val="auto"/>
        </w:rPr>
        <w:tab/>
      </w:r>
      <w:r>
        <w:rPr>
          <w:rFonts w:ascii="Arial" w:cs="Arial" w:eastAsia="Arial" w:hAnsi="Arial"/>
          <w:sz w:val="10"/>
          <w:szCs w:val="10"/>
          <w:b w:val="1"/>
          <w:bCs w:val="1"/>
          <w:color w:val="auto"/>
        </w:rPr>
        <w:t>Unregistered Sales of Equity Securities.</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information in Item 1.01 of this Current Report on Form 8-K is incorporated herein by reference.</w:t>
      </w:r>
    </w:p>
    <w:p>
      <w:pPr>
        <w:spacing w:after="0" w:line="151" w:lineRule="exact"/>
        <w:rPr>
          <w:sz w:val="20"/>
          <w:szCs w:val="20"/>
          <w:color w:val="auto"/>
        </w:rPr>
      </w:pPr>
    </w:p>
    <w:p>
      <w:pPr>
        <w:jc w:val="both"/>
        <w:ind w:left="840" w:right="919"/>
        <w:spacing w:after="0" w:line="264" w:lineRule="auto"/>
        <w:rPr>
          <w:sz w:val="20"/>
          <w:szCs w:val="20"/>
          <w:color w:val="auto"/>
        </w:rPr>
      </w:pPr>
      <w:r>
        <w:rPr>
          <w:rFonts w:ascii="Arial" w:cs="Arial" w:eastAsia="Arial" w:hAnsi="Arial"/>
          <w:sz w:val="12"/>
          <w:szCs w:val="12"/>
          <w:color w:val="auto"/>
        </w:rPr>
        <w:t>The shares to be issued by Zafgen in the Merger will be issued in a private placement exempt from registration under Section 4(2) of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because the offer and sale of such securities does not involve a “public offering” as defined in Section 4(2) of the Securities Act, and other applicable requirements were met.</w:t>
      </w:r>
    </w:p>
    <w:p>
      <w:pPr>
        <w:spacing w:after="0" w:line="218"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5.01</w:t>
      </w:r>
      <w:r>
        <w:rPr>
          <w:sz w:val="20"/>
          <w:szCs w:val="20"/>
          <w:color w:val="auto"/>
        </w:rPr>
        <w:tab/>
      </w:r>
      <w:r>
        <w:rPr>
          <w:rFonts w:ascii="Arial" w:cs="Arial" w:eastAsia="Arial" w:hAnsi="Arial"/>
          <w:sz w:val="10"/>
          <w:szCs w:val="10"/>
          <w:b w:val="1"/>
          <w:bCs w:val="1"/>
          <w:color w:val="auto"/>
        </w:rPr>
        <w:t>Changes in Control of Registrant.</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information in Item 1.01 of this Current Report on Form 8-K is incorporated herein by reference.</w:t>
      </w:r>
    </w:p>
    <w:p>
      <w:pPr>
        <w:spacing w:after="0" w:line="246"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83" w:lineRule="exact"/>
        <w:rPr>
          <w:sz w:val="20"/>
          <w:szCs w:val="20"/>
          <w:color w:val="auto"/>
        </w:rPr>
      </w:pPr>
    </w:p>
    <w:p>
      <w:pPr>
        <w:jc w:val="both"/>
        <w:ind w:left="840" w:right="839"/>
        <w:spacing w:after="0" w:line="260" w:lineRule="auto"/>
        <w:rPr>
          <w:sz w:val="20"/>
          <w:szCs w:val="20"/>
          <w:color w:val="auto"/>
        </w:rPr>
      </w:pPr>
      <w:r>
        <w:rPr>
          <w:rFonts w:ascii="Arial" w:cs="Arial" w:eastAsia="Arial" w:hAnsi="Arial"/>
          <w:sz w:val="12"/>
          <w:szCs w:val="12"/>
          <w:color w:val="auto"/>
        </w:rPr>
        <w:t>On December 18, 2019, Zafgen and Chondrial issued a joint press release announcing, among other things, the execution of the Merger Agreement and Zafgen and Chondrial held a conference call with investors to discuss the proposed Merger. Copies of each of the press release and the presentation used in connection with the investor conference call are filed as Exhibit 99.1 and Exhibit 99.2, respectively, to this Current Report on Form 8-K and each are incorporated herein by reference.</w:t>
      </w:r>
    </w:p>
    <w:p>
      <w:pPr>
        <w:spacing w:after="0" w:line="124" w:lineRule="exact"/>
        <w:rPr>
          <w:sz w:val="20"/>
          <w:szCs w:val="20"/>
          <w:color w:val="auto"/>
        </w:rPr>
      </w:pPr>
    </w:p>
    <w:p>
      <w:pPr>
        <w:ind w:left="840" w:right="1179"/>
        <w:spacing w:after="0" w:line="264" w:lineRule="auto"/>
        <w:rPr>
          <w:sz w:val="20"/>
          <w:szCs w:val="20"/>
          <w:color w:val="auto"/>
        </w:rPr>
      </w:pPr>
      <w:r>
        <w:rPr>
          <w:rFonts w:ascii="Arial" w:cs="Arial" w:eastAsia="Arial" w:hAnsi="Arial"/>
          <w:sz w:val="12"/>
          <w:szCs w:val="12"/>
          <w:color w:val="auto"/>
        </w:rPr>
        <w:t>On December 18, 2019, Chondrial issued a press release announcing, among other things, the Dosing of First Patients in Phase 1 Clinical Trial of CTI-1601 for Treatment of Friedreich’s Ataxia. A copy of the press release is filed as Exhibit 99.3 to this Current Report on Form 8-K and is incorporated herein by reference.</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about the Proposed Merger and Where to Find It</w:t>
      </w:r>
    </w:p>
    <w:p>
      <w:pPr>
        <w:spacing w:after="0" w:line="83" w:lineRule="exact"/>
        <w:rPr>
          <w:sz w:val="20"/>
          <w:szCs w:val="20"/>
          <w:color w:val="auto"/>
        </w:rPr>
      </w:pPr>
    </w:p>
    <w:p>
      <w:pPr>
        <w:ind w:left="840" w:right="839"/>
        <w:spacing w:after="0" w:line="282" w:lineRule="auto"/>
        <w:rPr>
          <w:sz w:val="20"/>
          <w:szCs w:val="20"/>
          <w:color w:val="auto"/>
        </w:rPr>
      </w:pPr>
      <w:r>
        <w:rPr>
          <w:rFonts w:ascii="Arial" w:cs="Arial" w:eastAsia="Arial" w:hAnsi="Arial"/>
          <w:sz w:val="11"/>
          <w:szCs w:val="11"/>
          <w:color w:val="auto"/>
        </w:rPr>
        <w:t xml:space="preserve">This communication relates to the proposed merger transaction involving Zafgen and Chondrial and may be deemed to be solicitation material in respect of the proposed merger involving Zafgen and Chondrial. In connection with the proposed merger, Zafgen intends to file relevant materials with the SEC, including a proxy statement relating to the approval of the merger agreement. </w:t>
      </w:r>
      <w:r>
        <w:rPr>
          <w:rFonts w:ascii="Arial" w:cs="Arial" w:eastAsia="Arial" w:hAnsi="Arial"/>
          <w:sz w:val="11"/>
          <w:szCs w:val="11"/>
          <w:i w:val="1"/>
          <w:iCs w:val="1"/>
          <w:color w:val="auto"/>
        </w:rPr>
        <w:t>Investors and security holders of Zafgen are urged to read these materials</w:t>
      </w:r>
      <w:r>
        <w:rPr>
          <w:rFonts w:ascii="Arial" w:cs="Arial" w:eastAsia="Arial" w:hAnsi="Arial"/>
          <w:sz w:val="11"/>
          <w:szCs w:val="11"/>
          <w:color w:val="auto"/>
        </w:rPr>
        <w:t xml:space="preserve"> </w:t>
      </w:r>
      <w:r>
        <w:rPr>
          <w:rFonts w:ascii="Arial" w:cs="Arial" w:eastAsia="Arial" w:hAnsi="Arial"/>
          <w:sz w:val="11"/>
          <w:szCs w:val="11"/>
          <w:i w:val="1"/>
          <w:iCs w:val="1"/>
          <w:color w:val="auto"/>
        </w:rPr>
        <w:t>when they become available because they will contain important information about Zafgen, Chondrial and the proposed merger</w:t>
      </w:r>
      <w:r>
        <w:rPr>
          <w:rFonts w:ascii="Arial" w:cs="Arial" w:eastAsia="Arial" w:hAnsi="Arial"/>
          <w:sz w:val="11"/>
          <w:szCs w:val="11"/>
          <w:color w:val="auto"/>
        </w:rPr>
        <w:t>. The proxy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and other relevant materials (when they become 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w:t>
      </w:r>
    </w:p>
    <w:p>
      <w:pPr>
        <w:sectPr>
          <w:pgSz w:w="11900" w:h="16838" w:orient="portrait"/>
          <w:cols w:equalWidth="0" w:num="1">
            <w:col w:w="9019"/>
          </w:cols>
          <w:pgMar w:left="1440" w:top="230" w:right="1440" w:bottom="1440" w:gutter="0" w:footer="0" w:header="0"/>
        </w:sectPr>
      </w:pPr>
    </w:p>
    <w:bookmarkStart w:id="4" w:name="page5"/>
    <w:bookmarkEnd w:id="4"/>
    <w:p>
      <w:pPr>
        <w:ind w:left="840" w:right="899"/>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Investors and security holders are urged to read the proxy statement and other relevant materials when they become available before making any voting or investment decision with respect to the proposed merger.</w:t>
      </w:r>
    </w:p>
    <w:p>
      <w:pPr>
        <w:spacing w:after="0" w:line="115" w:lineRule="exact"/>
        <w:rPr>
          <w:sz w:val="20"/>
          <w:szCs w:val="20"/>
          <w:color w:val="auto"/>
        </w:rPr>
      </w:pPr>
    </w:p>
    <w:p>
      <w:pPr>
        <w:ind w:left="840" w:right="899"/>
        <w:spacing w:after="0" w:line="264" w:lineRule="auto"/>
        <w:rPr>
          <w:sz w:val="20"/>
          <w:szCs w:val="20"/>
          <w:color w:val="auto"/>
        </w:rPr>
      </w:pPr>
      <w:r>
        <w:rPr>
          <w:rFonts w:ascii="Arial" w:cs="Arial" w:eastAsia="Arial" w:hAnsi="Arial"/>
          <w:sz w:val="12"/>
          <w:szCs w:val="12"/>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the Solicitation</w:t>
      </w:r>
    </w:p>
    <w:p>
      <w:pPr>
        <w:spacing w:after="0" w:line="83" w:lineRule="exact"/>
        <w:rPr>
          <w:sz w:val="20"/>
          <w:szCs w:val="20"/>
          <w:color w:val="auto"/>
        </w:rPr>
      </w:pPr>
    </w:p>
    <w:p>
      <w:pPr>
        <w:ind w:left="840" w:right="839"/>
        <w:spacing w:after="0" w:line="256" w:lineRule="auto"/>
        <w:rPr>
          <w:sz w:val="20"/>
          <w:szCs w:val="20"/>
          <w:color w:val="auto"/>
        </w:rPr>
      </w:pPr>
      <w:r>
        <w:rPr>
          <w:rFonts w:ascii="Arial" w:cs="Arial" w:eastAsia="Arial" w:hAnsi="Arial"/>
          <w:sz w:val="12"/>
          <w:szCs w:val="12"/>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Zafgen Forward-Looking Information is Subject to Risks and Uncertainty</w:t>
      </w:r>
    </w:p>
    <w:p>
      <w:pPr>
        <w:spacing w:after="0" w:line="83" w:lineRule="exact"/>
        <w:rPr>
          <w:sz w:val="20"/>
          <w:szCs w:val="20"/>
          <w:color w:val="auto"/>
        </w:rPr>
      </w:pPr>
    </w:p>
    <w:p>
      <w:pPr>
        <w:ind w:left="840" w:right="819"/>
        <w:spacing w:after="0" w:line="276" w:lineRule="auto"/>
        <w:rPr>
          <w:sz w:val="20"/>
          <w:szCs w:val="20"/>
          <w:color w:val="auto"/>
        </w:rPr>
      </w:pPr>
      <w:r>
        <w:rPr>
          <w:rFonts w:ascii="Arial" w:cs="Arial" w:eastAsia="Arial" w:hAnsi="Arial"/>
          <w:sz w:val="11"/>
          <w:szCs w:val="11"/>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Quarterly Report on Form 10-Q for the quarter ended September 30,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r>
        <w:rPr>
          <w:rFonts w:ascii="Arial" w:cs="Arial" w:eastAsia="Arial" w:hAnsi="Arial"/>
          <w:sz w:val="11"/>
          <w:szCs w:val="11"/>
          <w:color w:val="auto"/>
        </w:rPr>
        <w:t>.</w:t>
      </w:r>
    </w:p>
    <w:p>
      <w:pPr>
        <w:sectPr>
          <w:pgSz w:w="11900" w:h="16838" w:orient="portrait"/>
          <w:cols w:equalWidth="0" w:num="1">
            <w:col w:w="9019"/>
          </w:cols>
          <w:pgMar w:left="1440" w:top="230" w:right="1440" w:bottom="1440" w:gutter="0" w:footer="0" w:header="0"/>
        </w:sectPr>
      </w:pPr>
    </w:p>
    <w:bookmarkStart w:id="5" w:name="page6"/>
    <w:bookmarkEnd w:id="5"/>
    <w:tbl>
      <w:tblPr>
        <w:tblLayout w:type="fixed"/>
        <w:tblInd w:w="840" w:type="dxa"/>
        <w:tblCellMar>
          <w:top w:w="0" w:type="dxa"/>
          <w:left w:w="0" w:type="dxa"/>
          <w:bottom w:w="0" w:type="dxa"/>
          <w:right w:w="0" w:type="dxa"/>
        </w:tblCellMar>
      </w:tblPr>
      <w:tr>
        <w:trPr>
          <w:trHeight w:val="157"/>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6660" w:type="dxa"/>
            <w:vAlign w:val="bottom"/>
            <w:gridSpan w:val="8"/>
          </w:tcPr>
          <w:p>
            <w:pPr>
              <w:ind w:left="1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17"/>
        </w:trPr>
        <w:tc>
          <w:tcPr>
            <w:tcW w:w="6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62"/>
        </w:trPr>
        <w:tc>
          <w:tcPr>
            <w:tcW w:w="68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280" w:type="dxa"/>
            <w:vAlign w:val="bottom"/>
          </w:tcPr>
          <w:p>
            <w:pPr>
              <w:spacing w:after="0"/>
              <w:rPr>
                <w:sz w:val="22"/>
                <w:szCs w:val="22"/>
                <w:color w:val="auto"/>
              </w:rPr>
            </w:pPr>
          </w:p>
        </w:tc>
        <w:tc>
          <w:tcPr>
            <w:tcW w:w="6380" w:type="dxa"/>
            <w:vAlign w:val="bottom"/>
            <w:gridSpan w:val="7"/>
          </w:tcPr>
          <w:p>
            <w:pPr>
              <w:ind w:left="2960"/>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9"/>
        </w:trPr>
        <w:tc>
          <w:tcPr>
            <w:tcW w:w="460" w:type="dxa"/>
            <w:vAlign w:val="bottom"/>
          </w:tcPr>
          <w:p>
            <w:pPr>
              <w:spacing w:after="0"/>
              <w:rPr>
                <w:sz w:val="20"/>
                <w:szCs w:val="20"/>
                <w:color w:val="auto"/>
              </w:rPr>
            </w:pPr>
            <w:r>
              <w:rPr>
                <w:rFonts w:ascii="Arial" w:cs="Arial" w:eastAsia="Arial" w:hAnsi="Arial"/>
                <w:sz w:val="12"/>
                <w:szCs w:val="12"/>
                <w:color w:val="auto"/>
              </w:rPr>
              <w:t>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380" w:type="dxa"/>
            <w:vAlign w:val="bottom"/>
            <w:tcBorders>
              <w:bottom w:val="single" w:sz="8" w:color="0000EE"/>
            </w:tcBorders>
            <w:gridSpan w:val="7"/>
          </w:tcPr>
          <w:p>
            <w:pPr>
              <w:spacing w:after="0"/>
              <w:rPr>
                <w:rFonts w:ascii="Arial" w:cs="Arial" w:eastAsia="Arial" w:hAnsi="Arial"/>
                <w:sz w:val="12"/>
                <w:szCs w:val="12"/>
                <w:color w:val="0000EE"/>
                <w:w w:val="90"/>
              </w:rPr>
            </w:pPr>
            <w:hyperlink w:anchor="page8">
              <w:r>
                <w:rPr>
                  <w:rFonts w:ascii="Arial" w:cs="Arial" w:eastAsia="Arial" w:hAnsi="Arial"/>
                  <w:sz w:val="12"/>
                  <w:szCs w:val="12"/>
                  <w:color w:val="0000EE"/>
                  <w:w w:val="90"/>
                </w:rPr>
                <w:t>Agreement and Plan of Merger, dated as of December 17, 2019, by and among Zafgen, Inc., Chondrial Therapeutics, Inc., Chondrial</w:t>
              </w:r>
            </w:hyperlink>
          </w:p>
        </w:tc>
      </w:tr>
      <w:tr>
        <w:trPr>
          <w:trHeight w:val="124"/>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380" w:type="dxa"/>
            <w:vAlign w:val="bottom"/>
            <w:gridSpan w:val="7"/>
          </w:tcPr>
          <w:p>
            <w:pPr>
              <w:spacing w:after="0" w:line="125" w:lineRule="exact"/>
              <w:rPr>
                <w:rFonts w:ascii="Arial" w:cs="Arial" w:eastAsia="Arial" w:hAnsi="Arial"/>
                <w:sz w:val="12"/>
                <w:szCs w:val="12"/>
                <w:color w:val="0000EE"/>
              </w:rPr>
            </w:pPr>
            <w:hyperlink w:anchor="page8">
              <w:r>
                <w:rPr>
                  <w:rFonts w:ascii="Arial" w:cs="Arial" w:eastAsia="Arial" w:hAnsi="Arial"/>
                  <w:sz w:val="12"/>
                  <w:szCs w:val="12"/>
                  <w:color w:val="0000EE"/>
                </w:rPr>
                <w:t>Therapeutics Holdings, LLC, and Zordich Merger Sub, Inc. (1)</w:t>
              </w:r>
            </w:hyperlink>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7"/>
        </w:trPr>
        <w:tc>
          <w:tcPr>
            <w:tcW w:w="460" w:type="dxa"/>
            <w:vAlign w:val="bottom"/>
          </w:tcPr>
          <w:p>
            <w:pPr>
              <w:spacing w:after="0"/>
              <w:rPr>
                <w:sz w:val="20"/>
                <w:szCs w:val="20"/>
                <w:color w:val="auto"/>
              </w:rPr>
            </w:pPr>
            <w:r>
              <w:rPr>
                <w:rFonts w:ascii="Arial" w:cs="Arial" w:eastAsia="Arial" w:hAnsi="Arial"/>
                <w:sz w:val="12"/>
                <w:szCs w:val="12"/>
                <w:color w:val="auto"/>
              </w:rPr>
              <w:t>99.1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80" w:type="dxa"/>
            <w:vAlign w:val="bottom"/>
            <w:gridSpan w:val="7"/>
          </w:tcPr>
          <w:p>
            <w:pPr>
              <w:spacing w:after="0"/>
              <w:rPr>
                <w:rFonts w:ascii="Arial" w:cs="Arial" w:eastAsia="Arial" w:hAnsi="Arial"/>
                <w:sz w:val="12"/>
                <w:szCs w:val="12"/>
                <w:color w:val="0000EE"/>
              </w:rPr>
            </w:pPr>
            <w:hyperlink w:anchor="page112">
              <w:r>
                <w:rPr>
                  <w:rFonts w:ascii="Arial" w:cs="Arial" w:eastAsia="Arial" w:hAnsi="Arial"/>
                  <w:sz w:val="12"/>
                  <w:szCs w:val="12"/>
                  <w:color w:val="0000EE"/>
                </w:rPr>
                <w:t>Joint press release of Zafgen, Inc., and Chondrial Therapeutics, Inc., dated December 18, 2019</w:t>
              </w:r>
            </w:hyperlink>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7"/>
        </w:trPr>
        <w:tc>
          <w:tcPr>
            <w:tcW w:w="460" w:type="dxa"/>
            <w:vAlign w:val="bottom"/>
          </w:tcPr>
          <w:p>
            <w:pPr>
              <w:spacing w:after="0"/>
              <w:rPr>
                <w:sz w:val="20"/>
                <w:szCs w:val="20"/>
                <w:color w:val="auto"/>
              </w:rPr>
            </w:pPr>
            <w:r>
              <w:rPr>
                <w:rFonts w:ascii="Arial" w:cs="Arial" w:eastAsia="Arial" w:hAnsi="Arial"/>
                <w:sz w:val="12"/>
                <w:szCs w:val="12"/>
                <w:color w:val="auto"/>
              </w:rPr>
              <w:t>99.2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80" w:type="dxa"/>
            <w:vAlign w:val="bottom"/>
            <w:gridSpan w:val="7"/>
          </w:tcPr>
          <w:p>
            <w:pPr>
              <w:spacing w:after="0"/>
              <w:rPr>
                <w:rFonts w:ascii="Arial" w:cs="Arial" w:eastAsia="Arial" w:hAnsi="Arial"/>
                <w:sz w:val="12"/>
                <w:szCs w:val="12"/>
                <w:color w:val="0000EE"/>
              </w:rPr>
            </w:pPr>
            <w:hyperlink w:anchor="page117">
              <w:r>
                <w:rPr>
                  <w:rFonts w:ascii="Arial" w:cs="Arial" w:eastAsia="Arial" w:hAnsi="Arial"/>
                  <w:sz w:val="12"/>
                  <w:szCs w:val="12"/>
                  <w:color w:val="0000EE"/>
                </w:rPr>
                <w:t>Presentation for investor conference call held by Zafgen, Inc. and Chondrial Therapeutics, Inc. on December 18, 2019</w:t>
              </w:r>
            </w:hyperlink>
          </w:p>
        </w:tc>
      </w:tr>
      <w:tr>
        <w:trPr>
          <w:trHeight w:val="197"/>
        </w:trPr>
        <w:tc>
          <w:tcPr>
            <w:tcW w:w="460" w:type="dxa"/>
            <w:vAlign w:val="bottom"/>
          </w:tcPr>
          <w:p>
            <w:pPr>
              <w:spacing w:after="0"/>
              <w:rPr>
                <w:sz w:val="20"/>
                <w:szCs w:val="20"/>
                <w:color w:val="auto"/>
              </w:rPr>
            </w:pPr>
            <w:r>
              <w:rPr>
                <w:rFonts w:ascii="Arial" w:cs="Arial" w:eastAsia="Arial" w:hAnsi="Arial"/>
                <w:sz w:val="12"/>
                <w:szCs w:val="12"/>
                <w:color w:val="auto"/>
              </w:rPr>
              <w:t>99.3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rPr>
                <w:rFonts w:ascii="Arial" w:cs="Arial" w:eastAsia="Arial" w:hAnsi="Arial"/>
                <w:sz w:val="12"/>
                <w:szCs w:val="12"/>
                <w:color w:val="0000EE"/>
                <w:w w:val="89"/>
              </w:rPr>
            </w:pPr>
            <w:hyperlink w:anchor="page133">
              <w:r>
                <w:rPr>
                  <w:rFonts w:ascii="Arial" w:cs="Arial" w:eastAsia="Arial" w:hAnsi="Arial"/>
                  <w:sz w:val="12"/>
                  <w:szCs w:val="12"/>
                  <w:color w:val="0000EE"/>
                  <w:w w:val="89"/>
                </w:rPr>
                <w:t>Press release of Chondrial Therapeutics, Inc., dated December 18, 2019</w:t>
              </w:r>
            </w:hyperlink>
          </w:p>
        </w:tc>
        <w:tc>
          <w:tcPr>
            <w:tcW w:w="2220" w:type="dxa"/>
            <w:vAlign w:val="bottom"/>
            <w:tcBorders>
              <w:top w:val="single" w:sz="8" w:color="0000EE"/>
            </w:tcBorders>
            <w:gridSpan w:val="2"/>
          </w:tcPr>
          <w:p>
            <w:pPr>
              <w:spacing w:after="0"/>
              <w:rPr>
                <w:sz w:val="17"/>
                <w:szCs w:val="17"/>
                <w:color w:val="auto"/>
              </w:rPr>
            </w:pPr>
          </w:p>
        </w:tc>
        <w:tc>
          <w:tcPr>
            <w:tcW w:w="700" w:type="dxa"/>
            <w:vAlign w:val="bottom"/>
          </w:tcPr>
          <w:p>
            <w:pPr>
              <w:spacing w:after="0"/>
              <w:rPr>
                <w:sz w:val="17"/>
                <w:szCs w:val="17"/>
                <w:color w:val="auto"/>
              </w:rPr>
            </w:pPr>
          </w:p>
        </w:tc>
      </w:tr>
    </w:tbl>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ind w:left="1120" w:right="839" w:hanging="289"/>
        <w:spacing w:after="0" w:line="264" w:lineRule="auto"/>
        <w:tabs>
          <w:tab w:leader="none" w:pos="11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Schedules have been omitted from this filing pursuant to Item 601(b)(2) of Regulation S-K. Zafgen agrees to furnish supplementally a copy of any omitted schedule to the SEC upon its request; provided, however, that Zafgen may request confidential treatment pursuant to Rule 24b-2 of the Exchange Act for any schedule so furnished.</w:t>
      </w:r>
    </w:p>
    <w:p>
      <w:pPr>
        <w:sectPr>
          <w:pgSz w:w="11900" w:h="16838" w:orient="portrait"/>
          <w:cols w:equalWidth="0" w:num="1">
            <w:col w:w="9019"/>
          </w:cols>
          <w:pgMar w:left="1440" w:top="226"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w:t>
      </w:r>
    </w:p>
    <w:p>
      <w:pPr>
        <w:spacing w:after="0" w:line="155" w:lineRule="exact"/>
        <w:rPr>
          <w:sz w:val="20"/>
          <w:szCs w:val="20"/>
          <w:color w:val="auto"/>
        </w:rPr>
      </w:pPr>
    </w:p>
    <w:p>
      <w:pPr>
        <w:ind w:left="840" w:right="1319"/>
        <w:spacing w:after="0" w:line="277"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ZAFGEN, INC.</w:t>
      </w:r>
    </w:p>
    <w:p>
      <w:pPr>
        <w:spacing w:after="0" w:line="155" w:lineRule="exact"/>
        <w:rPr>
          <w:sz w:val="20"/>
          <w:szCs w:val="20"/>
          <w:color w:val="auto"/>
        </w:rPr>
      </w:pPr>
    </w:p>
    <w:p>
      <w:pPr>
        <w:ind w:left="840"/>
        <w:spacing w:after="0"/>
        <w:tabs>
          <w:tab w:leader="none" w:pos="4340" w:val="left"/>
          <w:tab w:leader="none" w:pos="4720" w:val="left"/>
        </w:tabs>
        <w:rPr>
          <w:sz w:val="20"/>
          <w:szCs w:val="20"/>
          <w:color w:val="auto"/>
        </w:rPr>
      </w:pPr>
      <w:r>
        <w:rPr>
          <w:rFonts w:ascii="Arial" w:cs="Arial" w:eastAsia="Arial" w:hAnsi="Arial"/>
          <w:sz w:val="12"/>
          <w:szCs w:val="12"/>
          <w:color w:val="auto"/>
        </w:rPr>
        <w:t>Date: December 18,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9525</wp:posOffset>
            </wp:positionV>
            <wp:extent cx="219583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5830" cy="5715"/>
                    </a:xfrm>
                    <a:prstGeom prst="rect">
                      <a:avLst/>
                    </a:prstGeom>
                    <a:noFill/>
                  </pic:spPr>
                </pic:pic>
              </a:graphicData>
            </a:graphic>
          </wp:anchor>
        </w:drawing>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2"/>
          <w:szCs w:val="12"/>
          <w:color w:val="auto"/>
        </w:rPr>
        <w:t>Jeffrey S. Hatfield</w:t>
      </w:r>
    </w:p>
    <w:p>
      <w:pPr>
        <w:sectPr>
          <w:pgSz w:w="11900" w:h="16838" w:orient="portrait"/>
          <w:cols w:equalWidth="0" w:num="1">
            <w:col w:w="9019"/>
          </w:cols>
          <w:pgMar w:left="1440" w:top="226" w:right="1440" w:bottom="1440" w:gutter="0" w:footer="0" w:header="0"/>
        </w:sectPr>
      </w:pPr>
    </w:p>
    <w:bookmarkStart w:id="7" w:name="page8"/>
    <w:bookmarkEnd w:id="7"/>
    <w:p>
      <w:pPr>
        <w:jc w:val="right"/>
        <w:ind w:right="819"/>
        <w:spacing w:after="0"/>
        <w:rPr>
          <w:sz w:val="20"/>
          <w:szCs w:val="20"/>
          <w:color w:val="auto"/>
        </w:rPr>
      </w:pPr>
      <w:r>
        <w:rPr>
          <w:rFonts w:ascii="Arial" w:cs="Arial" w:eastAsia="Arial" w:hAnsi="Arial"/>
          <w:sz w:val="12"/>
          <w:szCs w:val="12"/>
          <w:b w:val="1"/>
          <w:bCs w:val="1"/>
          <w:color w:val="auto"/>
        </w:rPr>
        <w:t>Exhibit 2.1</w:t>
      </w:r>
    </w:p>
    <w:p>
      <w:pPr>
        <w:spacing w:after="0" w:line="151" w:lineRule="exact"/>
        <w:rPr>
          <w:sz w:val="20"/>
          <w:szCs w:val="20"/>
          <w:color w:val="auto"/>
        </w:rPr>
      </w:pPr>
    </w:p>
    <w:p>
      <w:pPr>
        <w:jc w:val="right"/>
        <w:ind w:right="819"/>
        <w:spacing w:after="0"/>
        <w:rPr>
          <w:sz w:val="20"/>
          <w:szCs w:val="20"/>
          <w:color w:val="auto"/>
        </w:rPr>
      </w:pPr>
      <w:r>
        <w:rPr>
          <w:rFonts w:ascii="Arial" w:cs="Arial" w:eastAsia="Arial" w:hAnsi="Arial"/>
          <w:sz w:val="12"/>
          <w:szCs w:val="12"/>
          <w:b w:val="1"/>
          <w:bCs w:val="1"/>
          <w:color w:val="auto"/>
        </w:rPr>
        <w:t>EXECUTION VERSION</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AGREEMENT AND PLAN OF MERGER</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among:</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ZAFGEN, INC.;</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ZORDICH MERGER SUB, INC.;</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CHONDRIAL THERAPEUTICS, INC.; and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CHONDRIAL THERAPEUTICS HOLDINGS, LLC</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Dated as of December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161290</wp:posOffset>
            </wp:positionV>
            <wp:extent cx="98615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 w:name="page9"/>
    <w:bookmarkEnd w:id="8"/>
    <w:tbl>
      <w:tblPr>
        <w:tblLayout w:type="fixed"/>
        <w:tblInd w:w="840" w:type="dxa"/>
        <w:tblCellMar>
          <w:top w:w="0" w:type="dxa"/>
          <w:left w:w="0" w:type="dxa"/>
          <w:bottom w:w="0" w:type="dxa"/>
          <w:right w:w="0" w:type="dxa"/>
        </w:tblCellMar>
      </w:tblPr>
      <w:tr>
        <w:trPr>
          <w:trHeight w:val="153"/>
        </w:trPr>
        <w:tc>
          <w:tcPr>
            <w:tcW w:w="6100" w:type="dxa"/>
            <w:vAlign w:val="bottom"/>
            <w:gridSpan w:val="2"/>
          </w:tcPr>
          <w:p>
            <w:pPr>
              <w:spacing w:after="0"/>
              <w:rPr>
                <w:sz w:val="20"/>
                <w:szCs w:val="20"/>
                <w:color w:val="auto"/>
              </w:rPr>
            </w:pPr>
            <w:r>
              <w:rPr>
                <w:rFonts w:ascii="Arial" w:cs="Arial" w:eastAsia="Arial" w:hAnsi="Arial"/>
                <w:sz w:val="12"/>
                <w:szCs w:val="12"/>
                <w:color w:val="auto"/>
              </w:rPr>
              <w:t>SECTION 1. DEFINITIONS AND INTERPRETATIVE PROVISIONS</w:t>
            </w:r>
          </w:p>
        </w:tc>
        <w:tc>
          <w:tcPr>
            <w:tcW w:w="12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1.1</w:t>
            </w:r>
          </w:p>
        </w:tc>
        <w:tc>
          <w:tcPr>
            <w:tcW w:w="5560" w:type="dxa"/>
            <w:vAlign w:val="bottom"/>
          </w:tcPr>
          <w:p>
            <w:pPr>
              <w:ind w:left="100"/>
              <w:spacing w:after="0"/>
              <w:rPr>
                <w:sz w:val="20"/>
                <w:szCs w:val="20"/>
                <w:color w:val="auto"/>
              </w:rPr>
            </w:pPr>
            <w:r>
              <w:rPr>
                <w:rFonts w:ascii="Arial" w:cs="Arial" w:eastAsia="Arial" w:hAnsi="Arial"/>
                <w:sz w:val="12"/>
                <w:szCs w:val="12"/>
                <w:color w:val="auto"/>
              </w:rPr>
              <w:t>DEFINITIONS</w:t>
            </w:r>
          </w:p>
        </w:tc>
        <w:tc>
          <w:tcPr>
            <w:tcW w:w="12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1.2</w:t>
            </w:r>
          </w:p>
        </w:tc>
        <w:tc>
          <w:tcPr>
            <w:tcW w:w="5560" w:type="dxa"/>
            <w:vAlign w:val="bottom"/>
          </w:tcPr>
          <w:p>
            <w:pPr>
              <w:ind w:left="100"/>
              <w:spacing w:after="0"/>
              <w:rPr>
                <w:sz w:val="20"/>
                <w:szCs w:val="20"/>
                <w:color w:val="auto"/>
              </w:rPr>
            </w:pPr>
            <w:r>
              <w:rPr>
                <w:rFonts w:ascii="Arial" w:cs="Arial" w:eastAsia="Arial" w:hAnsi="Arial"/>
                <w:sz w:val="12"/>
                <w:szCs w:val="12"/>
                <w:color w:val="auto"/>
              </w:rPr>
              <w:t>OTHER DEFINITIONAL AND INTERPRETATIVE PROVISIONS</w:t>
            </w:r>
          </w:p>
        </w:tc>
        <w:tc>
          <w:tcPr>
            <w:tcW w:w="122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17"/>
        </w:trPr>
        <w:tc>
          <w:tcPr>
            <w:tcW w:w="6100" w:type="dxa"/>
            <w:vAlign w:val="bottom"/>
            <w:gridSpan w:val="2"/>
          </w:tcPr>
          <w:p>
            <w:pPr>
              <w:spacing w:after="0"/>
              <w:rPr>
                <w:sz w:val="20"/>
                <w:szCs w:val="20"/>
                <w:color w:val="auto"/>
              </w:rPr>
            </w:pPr>
            <w:r>
              <w:rPr>
                <w:rFonts w:ascii="Arial" w:cs="Arial" w:eastAsia="Arial" w:hAnsi="Arial"/>
                <w:sz w:val="12"/>
                <w:szCs w:val="12"/>
                <w:color w:val="auto"/>
              </w:rPr>
              <w:t>SECTION 2. DESCRIPTION OF TRANSACTION</w:t>
            </w:r>
          </w:p>
        </w:tc>
        <w:tc>
          <w:tcPr>
            <w:tcW w:w="122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2.1</w:t>
            </w:r>
          </w:p>
        </w:tc>
        <w:tc>
          <w:tcPr>
            <w:tcW w:w="5560" w:type="dxa"/>
            <w:vAlign w:val="bottom"/>
          </w:tcPr>
          <w:p>
            <w:pPr>
              <w:ind w:left="100"/>
              <w:spacing w:after="0"/>
              <w:rPr>
                <w:sz w:val="20"/>
                <w:szCs w:val="20"/>
                <w:color w:val="auto"/>
              </w:rPr>
            </w:pPr>
            <w:r>
              <w:rPr>
                <w:rFonts w:ascii="Arial" w:cs="Arial" w:eastAsia="Arial" w:hAnsi="Arial"/>
                <w:sz w:val="12"/>
                <w:szCs w:val="12"/>
                <w:color w:val="auto"/>
              </w:rPr>
              <w:t>THE MERGER</w:t>
            </w:r>
          </w:p>
        </w:tc>
        <w:tc>
          <w:tcPr>
            <w:tcW w:w="122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2.2</w:t>
            </w:r>
          </w:p>
        </w:tc>
        <w:tc>
          <w:tcPr>
            <w:tcW w:w="5560" w:type="dxa"/>
            <w:vAlign w:val="bottom"/>
          </w:tcPr>
          <w:p>
            <w:pPr>
              <w:ind w:left="100"/>
              <w:spacing w:after="0"/>
              <w:rPr>
                <w:sz w:val="20"/>
                <w:szCs w:val="20"/>
                <w:color w:val="auto"/>
              </w:rPr>
            </w:pPr>
            <w:r>
              <w:rPr>
                <w:rFonts w:ascii="Arial" w:cs="Arial" w:eastAsia="Arial" w:hAnsi="Arial"/>
                <w:sz w:val="12"/>
                <w:szCs w:val="12"/>
                <w:color w:val="auto"/>
              </w:rPr>
              <w:t>EFFECTS OF THE MERGER</w:t>
            </w:r>
          </w:p>
        </w:tc>
        <w:tc>
          <w:tcPr>
            <w:tcW w:w="122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2.3</w:t>
            </w:r>
          </w:p>
        </w:tc>
        <w:tc>
          <w:tcPr>
            <w:tcW w:w="5560" w:type="dxa"/>
            <w:vAlign w:val="bottom"/>
          </w:tcPr>
          <w:p>
            <w:pPr>
              <w:ind w:left="100"/>
              <w:spacing w:after="0"/>
              <w:rPr>
                <w:sz w:val="20"/>
                <w:szCs w:val="20"/>
                <w:color w:val="auto"/>
              </w:rPr>
            </w:pPr>
            <w:r>
              <w:rPr>
                <w:rFonts w:ascii="Arial" w:cs="Arial" w:eastAsia="Arial" w:hAnsi="Arial"/>
                <w:sz w:val="12"/>
                <w:szCs w:val="12"/>
                <w:color w:val="auto"/>
              </w:rPr>
              <w:t>CLOSING; EFFECTIVE TIME</w:t>
            </w:r>
          </w:p>
        </w:tc>
        <w:tc>
          <w:tcPr>
            <w:tcW w:w="122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2.4</w:t>
            </w:r>
          </w:p>
        </w:tc>
        <w:tc>
          <w:tcPr>
            <w:tcW w:w="5560" w:type="dxa"/>
            <w:vAlign w:val="bottom"/>
          </w:tcPr>
          <w:p>
            <w:pPr>
              <w:ind w:left="100"/>
              <w:spacing w:after="0"/>
              <w:rPr>
                <w:sz w:val="20"/>
                <w:szCs w:val="20"/>
                <w:color w:val="auto"/>
              </w:rPr>
            </w:pPr>
            <w:r>
              <w:rPr>
                <w:rFonts w:ascii="Arial" w:cs="Arial" w:eastAsia="Arial" w:hAnsi="Arial"/>
                <w:sz w:val="12"/>
                <w:szCs w:val="12"/>
                <w:color w:val="auto"/>
              </w:rPr>
              <w:t>CERTIFICATE OF INCORPORATION AND BYLAWS; DIRECTORS AND OFFICERS</w:t>
            </w:r>
          </w:p>
        </w:tc>
        <w:tc>
          <w:tcPr>
            <w:tcW w:w="12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2.5</w:t>
            </w:r>
          </w:p>
        </w:tc>
        <w:tc>
          <w:tcPr>
            <w:tcW w:w="5560" w:type="dxa"/>
            <w:vAlign w:val="bottom"/>
          </w:tcPr>
          <w:p>
            <w:pPr>
              <w:ind w:left="100"/>
              <w:spacing w:after="0"/>
              <w:rPr>
                <w:sz w:val="20"/>
                <w:szCs w:val="20"/>
                <w:color w:val="auto"/>
              </w:rPr>
            </w:pPr>
            <w:r>
              <w:rPr>
                <w:rFonts w:ascii="Arial" w:cs="Arial" w:eastAsia="Arial" w:hAnsi="Arial"/>
                <w:sz w:val="12"/>
                <w:szCs w:val="12"/>
                <w:color w:val="auto"/>
              </w:rPr>
              <w:t>CONVERSION OF SHARES</w:t>
            </w:r>
          </w:p>
        </w:tc>
        <w:tc>
          <w:tcPr>
            <w:tcW w:w="12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2.6</w:t>
            </w:r>
          </w:p>
        </w:tc>
        <w:tc>
          <w:tcPr>
            <w:tcW w:w="5560" w:type="dxa"/>
            <w:vAlign w:val="bottom"/>
          </w:tcPr>
          <w:p>
            <w:pPr>
              <w:ind w:left="100"/>
              <w:spacing w:after="0"/>
              <w:rPr>
                <w:sz w:val="20"/>
                <w:szCs w:val="20"/>
                <w:color w:val="auto"/>
              </w:rPr>
            </w:pPr>
            <w:r>
              <w:rPr>
                <w:rFonts w:ascii="Arial" w:cs="Arial" w:eastAsia="Arial" w:hAnsi="Arial"/>
                <w:sz w:val="12"/>
                <w:szCs w:val="12"/>
                <w:color w:val="auto"/>
              </w:rPr>
              <w:t>CLOSING OF THE COMPANY’S TRANSFER BOOKS</w:t>
            </w:r>
          </w:p>
        </w:tc>
        <w:tc>
          <w:tcPr>
            <w:tcW w:w="122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2.7</w:t>
            </w:r>
          </w:p>
        </w:tc>
        <w:tc>
          <w:tcPr>
            <w:tcW w:w="5560" w:type="dxa"/>
            <w:vAlign w:val="bottom"/>
          </w:tcPr>
          <w:p>
            <w:pPr>
              <w:ind w:left="100"/>
              <w:spacing w:after="0"/>
              <w:rPr>
                <w:sz w:val="20"/>
                <w:szCs w:val="20"/>
                <w:color w:val="auto"/>
              </w:rPr>
            </w:pPr>
            <w:r>
              <w:rPr>
                <w:rFonts w:ascii="Arial" w:cs="Arial" w:eastAsia="Arial" w:hAnsi="Arial"/>
                <w:sz w:val="12"/>
                <w:szCs w:val="12"/>
                <w:color w:val="auto"/>
              </w:rPr>
              <w:t>SURRENDER OF CERTIFICATES</w:t>
            </w:r>
          </w:p>
        </w:tc>
        <w:tc>
          <w:tcPr>
            <w:tcW w:w="122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2.8</w:t>
            </w:r>
          </w:p>
        </w:tc>
        <w:tc>
          <w:tcPr>
            <w:tcW w:w="5560" w:type="dxa"/>
            <w:vAlign w:val="bottom"/>
          </w:tcPr>
          <w:p>
            <w:pPr>
              <w:ind w:left="100"/>
              <w:spacing w:after="0"/>
              <w:rPr>
                <w:sz w:val="20"/>
                <w:szCs w:val="20"/>
                <w:color w:val="auto"/>
              </w:rPr>
            </w:pPr>
            <w:r>
              <w:rPr>
                <w:rFonts w:ascii="Arial" w:cs="Arial" w:eastAsia="Arial" w:hAnsi="Arial"/>
                <w:sz w:val="12"/>
                <w:szCs w:val="12"/>
                <w:color w:val="auto"/>
              </w:rPr>
              <w:t>CALCULATION OF NET CASH</w:t>
            </w:r>
          </w:p>
        </w:tc>
        <w:tc>
          <w:tcPr>
            <w:tcW w:w="122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2.9</w:t>
            </w:r>
          </w:p>
        </w:tc>
        <w:tc>
          <w:tcPr>
            <w:tcW w:w="5560" w:type="dxa"/>
            <w:vAlign w:val="bottom"/>
          </w:tcPr>
          <w:p>
            <w:pPr>
              <w:ind w:left="100"/>
              <w:spacing w:after="0"/>
              <w:rPr>
                <w:sz w:val="20"/>
                <w:szCs w:val="20"/>
                <w:color w:val="auto"/>
              </w:rPr>
            </w:pPr>
            <w:r>
              <w:rPr>
                <w:rFonts w:ascii="Arial" w:cs="Arial" w:eastAsia="Arial" w:hAnsi="Arial"/>
                <w:sz w:val="12"/>
                <w:szCs w:val="12"/>
                <w:color w:val="auto"/>
              </w:rPr>
              <w:t>APPRAISAL RIGHTS</w:t>
            </w:r>
          </w:p>
        </w:tc>
        <w:tc>
          <w:tcPr>
            <w:tcW w:w="12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2.10</w:t>
            </w:r>
          </w:p>
        </w:tc>
        <w:tc>
          <w:tcPr>
            <w:tcW w:w="5560" w:type="dxa"/>
            <w:vAlign w:val="bottom"/>
          </w:tcPr>
          <w:p>
            <w:pPr>
              <w:ind w:left="100"/>
              <w:spacing w:after="0"/>
              <w:rPr>
                <w:sz w:val="20"/>
                <w:szCs w:val="20"/>
                <w:color w:val="auto"/>
              </w:rPr>
            </w:pPr>
            <w:r>
              <w:rPr>
                <w:rFonts w:ascii="Arial" w:cs="Arial" w:eastAsia="Arial" w:hAnsi="Arial"/>
                <w:sz w:val="12"/>
                <w:szCs w:val="12"/>
                <w:color w:val="auto"/>
              </w:rPr>
              <w:t>FURTHER ACTION</w:t>
            </w:r>
          </w:p>
        </w:tc>
        <w:tc>
          <w:tcPr>
            <w:tcW w:w="12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2.11</w:t>
            </w:r>
          </w:p>
        </w:tc>
        <w:tc>
          <w:tcPr>
            <w:tcW w:w="5560" w:type="dxa"/>
            <w:vAlign w:val="bottom"/>
          </w:tcPr>
          <w:p>
            <w:pPr>
              <w:ind w:left="100"/>
              <w:spacing w:after="0"/>
              <w:rPr>
                <w:sz w:val="20"/>
                <w:szCs w:val="20"/>
                <w:color w:val="auto"/>
              </w:rPr>
            </w:pPr>
            <w:r>
              <w:rPr>
                <w:rFonts w:ascii="Arial" w:cs="Arial" w:eastAsia="Arial" w:hAnsi="Arial"/>
                <w:sz w:val="12"/>
                <w:szCs w:val="12"/>
                <w:color w:val="auto"/>
              </w:rPr>
              <w:t>TAX CONSEQUENCES</w:t>
            </w:r>
          </w:p>
        </w:tc>
        <w:tc>
          <w:tcPr>
            <w:tcW w:w="12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17"/>
        </w:trPr>
        <w:tc>
          <w:tcPr>
            <w:tcW w:w="6100" w:type="dxa"/>
            <w:vAlign w:val="bottom"/>
            <w:gridSpan w:val="2"/>
          </w:tcPr>
          <w:p>
            <w:pPr>
              <w:spacing w:after="0"/>
              <w:rPr>
                <w:sz w:val="20"/>
                <w:szCs w:val="20"/>
                <w:color w:val="auto"/>
              </w:rPr>
            </w:pPr>
            <w:r>
              <w:rPr>
                <w:rFonts w:ascii="Arial" w:cs="Arial" w:eastAsia="Arial" w:hAnsi="Arial"/>
                <w:sz w:val="12"/>
                <w:szCs w:val="12"/>
                <w:color w:val="auto"/>
              </w:rPr>
              <w:t>SECTION 3. REPRESENTATIONS AND WARRANTIES OF THE COMPANY</w:t>
            </w:r>
          </w:p>
        </w:tc>
        <w:tc>
          <w:tcPr>
            <w:tcW w:w="12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w:t>
            </w:r>
          </w:p>
        </w:tc>
        <w:tc>
          <w:tcPr>
            <w:tcW w:w="5560" w:type="dxa"/>
            <w:vAlign w:val="bottom"/>
          </w:tcPr>
          <w:p>
            <w:pPr>
              <w:ind w:left="100"/>
              <w:spacing w:after="0"/>
              <w:rPr>
                <w:sz w:val="20"/>
                <w:szCs w:val="20"/>
                <w:color w:val="auto"/>
              </w:rPr>
            </w:pPr>
            <w:r>
              <w:rPr>
                <w:rFonts w:ascii="Arial" w:cs="Arial" w:eastAsia="Arial" w:hAnsi="Arial"/>
                <w:sz w:val="12"/>
                <w:szCs w:val="12"/>
                <w:color w:val="auto"/>
              </w:rPr>
              <w:t>DUE ORGANIZATION; SUBSIDIARIES</w:t>
            </w:r>
          </w:p>
        </w:tc>
        <w:tc>
          <w:tcPr>
            <w:tcW w:w="12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3.2</w:t>
            </w:r>
          </w:p>
        </w:tc>
        <w:tc>
          <w:tcPr>
            <w:tcW w:w="5560" w:type="dxa"/>
            <w:vAlign w:val="bottom"/>
          </w:tcPr>
          <w:p>
            <w:pPr>
              <w:ind w:left="100"/>
              <w:spacing w:after="0"/>
              <w:rPr>
                <w:sz w:val="20"/>
                <w:szCs w:val="20"/>
                <w:color w:val="auto"/>
              </w:rPr>
            </w:pPr>
            <w:r>
              <w:rPr>
                <w:rFonts w:ascii="Arial" w:cs="Arial" w:eastAsia="Arial" w:hAnsi="Arial"/>
                <w:sz w:val="12"/>
                <w:szCs w:val="12"/>
                <w:color w:val="auto"/>
              </w:rPr>
              <w:t>ORGANIZATIONAL DOCUMENTS</w:t>
            </w:r>
          </w:p>
        </w:tc>
        <w:tc>
          <w:tcPr>
            <w:tcW w:w="12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3.3</w:t>
            </w:r>
          </w:p>
        </w:tc>
        <w:tc>
          <w:tcPr>
            <w:tcW w:w="5560" w:type="dxa"/>
            <w:vAlign w:val="bottom"/>
          </w:tcPr>
          <w:p>
            <w:pPr>
              <w:ind w:left="100"/>
              <w:spacing w:after="0"/>
              <w:rPr>
                <w:sz w:val="20"/>
                <w:szCs w:val="20"/>
                <w:color w:val="auto"/>
              </w:rPr>
            </w:pPr>
            <w:r>
              <w:rPr>
                <w:rFonts w:ascii="Arial" w:cs="Arial" w:eastAsia="Arial" w:hAnsi="Arial"/>
                <w:sz w:val="12"/>
                <w:szCs w:val="12"/>
                <w:color w:val="auto"/>
              </w:rPr>
              <w:t>AUTHORITY; BINDING NATURE OF AGREEMENT</w:t>
            </w:r>
          </w:p>
        </w:tc>
        <w:tc>
          <w:tcPr>
            <w:tcW w:w="12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3.4</w:t>
            </w:r>
          </w:p>
        </w:tc>
        <w:tc>
          <w:tcPr>
            <w:tcW w:w="5560" w:type="dxa"/>
            <w:vAlign w:val="bottom"/>
          </w:tcPr>
          <w:p>
            <w:pPr>
              <w:ind w:left="100"/>
              <w:spacing w:after="0"/>
              <w:rPr>
                <w:sz w:val="20"/>
                <w:szCs w:val="20"/>
                <w:color w:val="auto"/>
              </w:rPr>
            </w:pPr>
            <w:r>
              <w:rPr>
                <w:rFonts w:ascii="Arial" w:cs="Arial" w:eastAsia="Arial" w:hAnsi="Arial"/>
                <w:sz w:val="12"/>
                <w:szCs w:val="12"/>
                <w:color w:val="auto"/>
              </w:rPr>
              <w:t>VOTE REQUIRED</w:t>
            </w:r>
          </w:p>
        </w:tc>
        <w:tc>
          <w:tcPr>
            <w:tcW w:w="12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3.5</w:t>
            </w:r>
          </w:p>
        </w:tc>
        <w:tc>
          <w:tcPr>
            <w:tcW w:w="5560" w:type="dxa"/>
            <w:vAlign w:val="bottom"/>
          </w:tcPr>
          <w:p>
            <w:pPr>
              <w:ind w:left="100"/>
              <w:spacing w:after="0"/>
              <w:rPr>
                <w:sz w:val="20"/>
                <w:szCs w:val="20"/>
                <w:color w:val="auto"/>
              </w:rPr>
            </w:pPr>
            <w:r>
              <w:rPr>
                <w:rFonts w:ascii="Arial" w:cs="Arial" w:eastAsia="Arial" w:hAnsi="Arial"/>
                <w:sz w:val="12"/>
                <w:szCs w:val="12"/>
                <w:color w:val="auto"/>
              </w:rPr>
              <w:t>NON-CONTRAVENTION; CONSENTS</w:t>
            </w:r>
          </w:p>
        </w:tc>
        <w:tc>
          <w:tcPr>
            <w:tcW w:w="12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3.6</w:t>
            </w:r>
          </w:p>
        </w:tc>
        <w:tc>
          <w:tcPr>
            <w:tcW w:w="5560" w:type="dxa"/>
            <w:vAlign w:val="bottom"/>
          </w:tcPr>
          <w:p>
            <w:pPr>
              <w:ind w:left="100"/>
              <w:spacing w:after="0"/>
              <w:rPr>
                <w:sz w:val="20"/>
                <w:szCs w:val="20"/>
                <w:color w:val="auto"/>
              </w:rPr>
            </w:pPr>
            <w:r>
              <w:rPr>
                <w:rFonts w:ascii="Arial" w:cs="Arial" w:eastAsia="Arial" w:hAnsi="Arial"/>
                <w:sz w:val="12"/>
                <w:szCs w:val="12"/>
                <w:color w:val="auto"/>
              </w:rPr>
              <w:t>CAPITALIZATION</w:t>
            </w:r>
          </w:p>
        </w:tc>
        <w:tc>
          <w:tcPr>
            <w:tcW w:w="122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3.7</w:t>
            </w:r>
          </w:p>
        </w:tc>
        <w:tc>
          <w:tcPr>
            <w:tcW w:w="5560" w:type="dxa"/>
            <w:vAlign w:val="bottom"/>
          </w:tcPr>
          <w:p>
            <w:pPr>
              <w:ind w:left="100"/>
              <w:spacing w:after="0"/>
              <w:rPr>
                <w:sz w:val="20"/>
                <w:szCs w:val="20"/>
                <w:color w:val="auto"/>
              </w:rPr>
            </w:pPr>
            <w:r>
              <w:rPr>
                <w:rFonts w:ascii="Arial" w:cs="Arial" w:eastAsia="Arial" w:hAnsi="Arial"/>
                <w:sz w:val="12"/>
                <w:szCs w:val="12"/>
                <w:color w:val="auto"/>
              </w:rPr>
              <w:t>FINANCIAL STATEMENTS</w:t>
            </w:r>
          </w:p>
        </w:tc>
        <w:tc>
          <w:tcPr>
            <w:tcW w:w="122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3.8</w:t>
            </w:r>
          </w:p>
        </w:tc>
        <w:tc>
          <w:tcPr>
            <w:tcW w:w="5560" w:type="dxa"/>
            <w:vAlign w:val="bottom"/>
          </w:tcPr>
          <w:p>
            <w:pPr>
              <w:ind w:left="100"/>
              <w:spacing w:after="0"/>
              <w:rPr>
                <w:sz w:val="20"/>
                <w:szCs w:val="20"/>
                <w:color w:val="auto"/>
              </w:rPr>
            </w:pPr>
            <w:r>
              <w:rPr>
                <w:rFonts w:ascii="Arial" w:cs="Arial" w:eastAsia="Arial" w:hAnsi="Arial"/>
                <w:sz w:val="12"/>
                <w:szCs w:val="12"/>
                <w:color w:val="auto"/>
              </w:rPr>
              <w:t>ABSENCE OF CHANGES</w:t>
            </w:r>
          </w:p>
        </w:tc>
        <w:tc>
          <w:tcPr>
            <w:tcW w:w="122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3.9</w:t>
            </w:r>
          </w:p>
        </w:tc>
        <w:tc>
          <w:tcPr>
            <w:tcW w:w="5560" w:type="dxa"/>
            <w:vAlign w:val="bottom"/>
          </w:tcPr>
          <w:p>
            <w:pPr>
              <w:ind w:left="100"/>
              <w:spacing w:after="0"/>
              <w:rPr>
                <w:sz w:val="20"/>
                <w:szCs w:val="20"/>
                <w:color w:val="auto"/>
              </w:rPr>
            </w:pPr>
            <w:r>
              <w:rPr>
                <w:rFonts w:ascii="Arial" w:cs="Arial" w:eastAsia="Arial" w:hAnsi="Arial"/>
                <w:sz w:val="12"/>
                <w:szCs w:val="12"/>
                <w:color w:val="auto"/>
              </w:rPr>
              <w:t>ABSENCE OF UNDISCLOSED LIABILITIES</w:t>
            </w:r>
          </w:p>
        </w:tc>
        <w:tc>
          <w:tcPr>
            <w:tcW w:w="122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3.10</w:t>
            </w:r>
          </w:p>
        </w:tc>
        <w:tc>
          <w:tcPr>
            <w:tcW w:w="5560" w:type="dxa"/>
            <w:vAlign w:val="bottom"/>
          </w:tcPr>
          <w:p>
            <w:pPr>
              <w:ind w:left="100"/>
              <w:spacing w:after="0"/>
              <w:rPr>
                <w:sz w:val="20"/>
                <w:szCs w:val="20"/>
                <w:color w:val="auto"/>
              </w:rPr>
            </w:pPr>
            <w:r>
              <w:rPr>
                <w:rFonts w:ascii="Arial" w:cs="Arial" w:eastAsia="Arial" w:hAnsi="Arial"/>
                <w:sz w:val="12"/>
                <w:szCs w:val="12"/>
                <w:color w:val="auto"/>
              </w:rPr>
              <w:t>TITLE TO ASSETS</w:t>
            </w:r>
          </w:p>
        </w:tc>
        <w:tc>
          <w:tcPr>
            <w:tcW w:w="122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3.11</w:t>
            </w:r>
          </w:p>
        </w:tc>
        <w:tc>
          <w:tcPr>
            <w:tcW w:w="5560" w:type="dxa"/>
            <w:vAlign w:val="bottom"/>
          </w:tcPr>
          <w:p>
            <w:pPr>
              <w:ind w:left="100"/>
              <w:spacing w:after="0"/>
              <w:rPr>
                <w:sz w:val="20"/>
                <w:szCs w:val="20"/>
                <w:color w:val="auto"/>
              </w:rPr>
            </w:pPr>
            <w:r>
              <w:rPr>
                <w:rFonts w:ascii="Arial" w:cs="Arial" w:eastAsia="Arial" w:hAnsi="Arial"/>
                <w:sz w:val="12"/>
                <w:szCs w:val="12"/>
                <w:color w:val="auto"/>
              </w:rPr>
              <w:t>REAL PROPERTY; LEASEHOLD</w:t>
            </w:r>
          </w:p>
        </w:tc>
        <w:tc>
          <w:tcPr>
            <w:tcW w:w="122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3.12</w:t>
            </w:r>
          </w:p>
        </w:tc>
        <w:tc>
          <w:tcPr>
            <w:tcW w:w="5560" w:type="dxa"/>
            <w:vAlign w:val="bottom"/>
          </w:tcPr>
          <w:p>
            <w:pPr>
              <w:ind w:left="100"/>
              <w:spacing w:after="0"/>
              <w:rPr>
                <w:sz w:val="20"/>
                <w:szCs w:val="20"/>
                <w:color w:val="auto"/>
              </w:rPr>
            </w:pPr>
            <w:r>
              <w:rPr>
                <w:rFonts w:ascii="Arial" w:cs="Arial" w:eastAsia="Arial" w:hAnsi="Arial"/>
                <w:sz w:val="12"/>
                <w:szCs w:val="12"/>
                <w:color w:val="auto"/>
              </w:rPr>
              <w:t>INTELLECTUAL PROPERTY</w:t>
            </w:r>
          </w:p>
        </w:tc>
        <w:tc>
          <w:tcPr>
            <w:tcW w:w="122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3.13</w:t>
            </w:r>
          </w:p>
        </w:tc>
        <w:tc>
          <w:tcPr>
            <w:tcW w:w="5560" w:type="dxa"/>
            <w:vAlign w:val="bottom"/>
          </w:tcPr>
          <w:p>
            <w:pPr>
              <w:ind w:left="100"/>
              <w:spacing w:after="0"/>
              <w:rPr>
                <w:sz w:val="20"/>
                <w:szCs w:val="20"/>
                <w:color w:val="auto"/>
              </w:rPr>
            </w:pPr>
            <w:r>
              <w:rPr>
                <w:rFonts w:ascii="Arial" w:cs="Arial" w:eastAsia="Arial" w:hAnsi="Arial"/>
                <w:sz w:val="12"/>
                <w:szCs w:val="12"/>
                <w:color w:val="auto"/>
              </w:rPr>
              <w:t>AGREEMENTS, CONTRACTS AND COMMITMENTS</w:t>
            </w:r>
          </w:p>
        </w:tc>
        <w:tc>
          <w:tcPr>
            <w:tcW w:w="122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3.14</w:t>
            </w:r>
          </w:p>
        </w:tc>
        <w:tc>
          <w:tcPr>
            <w:tcW w:w="5560" w:type="dxa"/>
            <w:vAlign w:val="bottom"/>
          </w:tcPr>
          <w:p>
            <w:pPr>
              <w:ind w:left="100"/>
              <w:spacing w:after="0"/>
              <w:rPr>
                <w:sz w:val="20"/>
                <w:szCs w:val="20"/>
                <w:color w:val="auto"/>
              </w:rPr>
            </w:pPr>
            <w:r>
              <w:rPr>
                <w:rFonts w:ascii="Arial" w:cs="Arial" w:eastAsia="Arial" w:hAnsi="Arial"/>
                <w:sz w:val="12"/>
                <w:szCs w:val="12"/>
                <w:color w:val="auto"/>
              </w:rPr>
              <w:t>COMPLIANCE; PERMITS; RESTRICTIONS</w:t>
            </w:r>
          </w:p>
        </w:tc>
        <w:tc>
          <w:tcPr>
            <w:tcW w:w="122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3.15</w:t>
            </w:r>
          </w:p>
        </w:tc>
        <w:tc>
          <w:tcPr>
            <w:tcW w:w="5560" w:type="dxa"/>
            <w:vAlign w:val="bottom"/>
          </w:tcPr>
          <w:p>
            <w:pPr>
              <w:ind w:left="100"/>
              <w:spacing w:after="0"/>
              <w:rPr>
                <w:sz w:val="20"/>
                <w:szCs w:val="20"/>
                <w:color w:val="auto"/>
              </w:rPr>
            </w:pPr>
            <w:r>
              <w:rPr>
                <w:rFonts w:ascii="Arial" w:cs="Arial" w:eastAsia="Arial" w:hAnsi="Arial"/>
                <w:sz w:val="12"/>
                <w:szCs w:val="12"/>
                <w:color w:val="auto"/>
              </w:rPr>
              <w:t>LEGAL PROCEEDINGS; ORDERS</w:t>
            </w:r>
          </w:p>
        </w:tc>
        <w:tc>
          <w:tcPr>
            <w:tcW w:w="122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3.16</w:t>
            </w:r>
          </w:p>
        </w:tc>
        <w:tc>
          <w:tcPr>
            <w:tcW w:w="5560" w:type="dxa"/>
            <w:vAlign w:val="bottom"/>
          </w:tcPr>
          <w:p>
            <w:pPr>
              <w:ind w:left="100"/>
              <w:spacing w:after="0"/>
              <w:rPr>
                <w:sz w:val="20"/>
                <w:szCs w:val="20"/>
                <w:color w:val="auto"/>
              </w:rPr>
            </w:pPr>
            <w:r>
              <w:rPr>
                <w:rFonts w:ascii="Arial" w:cs="Arial" w:eastAsia="Arial" w:hAnsi="Arial"/>
                <w:sz w:val="12"/>
                <w:szCs w:val="12"/>
                <w:color w:val="auto"/>
              </w:rPr>
              <w:t>TAX MATTERS</w:t>
            </w:r>
          </w:p>
        </w:tc>
        <w:tc>
          <w:tcPr>
            <w:tcW w:w="122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3.17</w:t>
            </w:r>
          </w:p>
        </w:tc>
        <w:tc>
          <w:tcPr>
            <w:tcW w:w="5560" w:type="dxa"/>
            <w:vAlign w:val="bottom"/>
          </w:tcPr>
          <w:p>
            <w:pPr>
              <w:ind w:left="100"/>
              <w:spacing w:after="0"/>
              <w:rPr>
                <w:sz w:val="20"/>
                <w:szCs w:val="20"/>
                <w:color w:val="auto"/>
              </w:rPr>
            </w:pPr>
            <w:r>
              <w:rPr>
                <w:rFonts w:ascii="Arial" w:cs="Arial" w:eastAsia="Arial" w:hAnsi="Arial"/>
                <w:sz w:val="12"/>
                <w:szCs w:val="12"/>
                <w:color w:val="auto"/>
              </w:rPr>
              <w:t>EMPLOYEE AND LABOR MATTERS; BENEFIT PLANS</w:t>
            </w:r>
          </w:p>
        </w:tc>
        <w:tc>
          <w:tcPr>
            <w:tcW w:w="1220" w:type="dxa"/>
            <w:vAlign w:val="bottom"/>
          </w:tcPr>
          <w:p>
            <w:pPr>
              <w:jc w:val="right"/>
              <w:spacing w:after="0"/>
              <w:rPr>
                <w:sz w:val="20"/>
                <w:szCs w:val="20"/>
                <w:color w:val="auto"/>
              </w:rPr>
            </w:pPr>
            <w:r>
              <w:rPr>
                <w:rFonts w:ascii="Arial" w:cs="Arial" w:eastAsia="Arial" w:hAnsi="Arial"/>
                <w:sz w:val="12"/>
                <w:szCs w:val="12"/>
                <w:color w:val="auto"/>
              </w:rPr>
              <w:t>36</w:t>
            </w:r>
          </w:p>
        </w:tc>
      </w:tr>
    </w:tbl>
    <w:p>
      <w:pPr>
        <w:jc w:val="right"/>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9" w:name="page10"/>
    <w:bookmarkEnd w:id="9"/>
    <w:tbl>
      <w:tblPr>
        <w:tblLayout w:type="fixed"/>
        <w:tblInd w:w="840" w:type="dxa"/>
        <w:tblCellMar>
          <w:top w:w="0" w:type="dxa"/>
          <w:left w:w="0" w:type="dxa"/>
          <w:bottom w:w="0" w:type="dxa"/>
          <w:right w:w="0" w:type="dxa"/>
        </w:tblCellMar>
      </w:tblPr>
      <w:tr>
        <w:trPr>
          <w:trHeight w:val="153"/>
        </w:trPr>
        <w:tc>
          <w:tcPr>
            <w:tcW w:w="540" w:type="dxa"/>
            <w:vAlign w:val="bottom"/>
          </w:tcPr>
          <w:p>
            <w:pPr>
              <w:ind w:left="240"/>
              <w:spacing w:after="0"/>
              <w:rPr>
                <w:sz w:val="20"/>
                <w:szCs w:val="20"/>
                <w:color w:val="auto"/>
              </w:rPr>
            </w:pPr>
            <w:r>
              <w:rPr>
                <w:rFonts w:ascii="Arial" w:cs="Arial" w:eastAsia="Arial" w:hAnsi="Arial"/>
                <w:sz w:val="12"/>
                <w:szCs w:val="12"/>
                <w:color w:val="auto"/>
              </w:rPr>
              <w:t>3.18</w:t>
            </w:r>
          </w:p>
        </w:tc>
        <w:tc>
          <w:tcPr>
            <w:tcW w:w="5400" w:type="dxa"/>
            <w:vAlign w:val="bottom"/>
          </w:tcPr>
          <w:p>
            <w:pPr>
              <w:ind w:left="100"/>
              <w:spacing w:after="0"/>
              <w:rPr>
                <w:sz w:val="20"/>
                <w:szCs w:val="20"/>
                <w:color w:val="auto"/>
              </w:rPr>
            </w:pPr>
            <w:r>
              <w:rPr>
                <w:rFonts w:ascii="Arial" w:cs="Arial" w:eastAsia="Arial" w:hAnsi="Arial"/>
                <w:sz w:val="12"/>
                <w:szCs w:val="12"/>
                <w:color w:val="auto"/>
              </w:rPr>
              <w:t>ENVIRONMENTAL MATTERS</w:t>
            </w:r>
          </w:p>
        </w:tc>
        <w:tc>
          <w:tcPr>
            <w:tcW w:w="13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3.19</w:t>
            </w:r>
          </w:p>
        </w:tc>
        <w:tc>
          <w:tcPr>
            <w:tcW w:w="5400" w:type="dxa"/>
            <w:vAlign w:val="bottom"/>
          </w:tcPr>
          <w:p>
            <w:pPr>
              <w:ind w:left="100"/>
              <w:spacing w:after="0"/>
              <w:rPr>
                <w:sz w:val="20"/>
                <w:szCs w:val="20"/>
                <w:color w:val="auto"/>
              </w:rPr>
            </w:pPr>
            <w:r>
              <w:rPr>
                <w:rFonts w:ascii="Arial" w:cs="Arial" w:eastAsia="Arial" w:hAnsi="Arial"/>
                <w:sz w:val="12"/>
                <w:szCs w:val="12"/>
                <w:color w:val="auto"/>
              </w:rPr>
              <w:t>INSURANCE</w:t>
            </w:r>
          </w:p>
        </w:tc>
        <w:tc>
          <w:tcPr>
            <w:tcW w:w="13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3.20</w:t>
            </w:r>
          </w:p>
        </w:tc>
        <w:tc>
          <w:tcPr>
            <w:tcW w:w="5400" w:type="dxa"/>
            <w:vAlign w:val="bottom"/>
          </w:tcPr>
          <w:p>
            <w:pPr>
              <w:ind w:left="100"/>
              <w:spacing w:after="0"/>
              <w:rPr>
                <w:sz w:val="20"/>
                <w:szCs w:val="20"/>
                <w:color w:val="auto"/>
              </w:rPr>
            </w:pPr>
            <w:r>
              <w:rPr>
                <w:rFonts w:ascii="Arial" w:cs="Arial" w:eastAsia="Arial" w:hAnsi="Arial"/>
                <w:sz w:val="12"/>
                <w:szCs w:val="12"/>
                <w:color w:val="auto"/>
              </w:rPr>
              <w:t>INTENTIONALLY OMITTED</w:t>
            </w:r>
          </w:p>
        </w:tc>
        <w:tc>
          <w:tcPr>
            <w:tcW w:w="13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3.21</w:t>
            </w:r>
          </w:p>
        </w:tc>
        <w:tc>
          <w:tcPr>
            <w:tcW w:w="5400" w:type="dxa"/>
            <w:vAlign w:val="bottom"/>
          </w:tcPr>
          <w:p>
            <w:pPr>
              <w:ind w:left="100"/>
              <w:spacing w:after="0"/>
              <w:rPr>
                <w:sz w:val="20"/>
                <w:szCs w:val="20"/>
                <w:color w:val="auto"/>
              </w:rPr>
            </w:pPr>
            <w:r>
              <w:rPr>
                <w:rFonts w:ascii="Arial" w:cs="Arial" w:eastAsia="Arial" w:hAnsi="Arial"/>
                <w:sz w:val="12"/>
                <w:szCs w:val="12"/>
                <w:color w:val="auto"/>
              </w:rPr>
              <w:t>NO FINANCIAL ADVISORS</w:t>
            </w:r>
          </w:p>
        </w:tc>
        <w:tc>
          <w:tcPr>
            <w:tcW w:w="13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3.22</w:t>
            </w:r>
          </w:p>
        </w:tc>
        <w:tc>
          <w:tcPr>
            <w:tcW w:w="5400" w:type="dxa"/>
            <w:vAlign w:val="bottom"/>
          </w:tcPr>
          <w:p>
            <w:pPr>
              <w:ind w:left="100"/>
              <w:spacing w:after="0"/>
              <w:rPr>
                <w:sz w:val="20"/>
                <w:szCs w:val="20"/>
                <w:color w:val="auto"/>
              </w:rPr>
            </w:pPr>
            <w:r>
              <w:rPr>
                <w:rFonts w:ascii="Arial" w:cs="Arial" w:eastAsia="Arial" w:hAnsi="Arial"/>
                <w:sz w:val="12"/>
                <w:szCs w:val="12"/>
                <w:color w:val="auto"/>
              </w:rPr>
              <w:t>TRANSACTIONS WITH AFFILIATES</w:t>
            </w:r>
          </w:p>
        </w:tc>
        <w:tc>
          <w:tcPr>
            <w:tcW w:w="13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3.23</w:t>
            </w:r>
          </w:p>
        </w:tc>
        <w:tc>
          <w:tcPr>
            <w:tcW w:w="5400" w:type="dxa"/>
            <w:vAlign w:val="bottom"/>
          </w:tcPr>
          <w:p>
            <w:pPr>
              <w:ind w:left="100"/>
              <w:spacing w:after="0"/>
              <w:rPr>
                <w:sz w:val="20"/>
                <w:szCs w:val="20"/>
                <w:color w:val="auto"/>
              </w:rPr>
            </w:pPr>
            <w:r>
              <w:rPr>
                <w:rFonts w:ascii="Arial" w:cs="Arial" w:eastAsia="Arial" w:hAnsi="Arial"/>
                <w:sz w:val="12"/>
                <w:szCs w:val="12"/>
                <w:color w:val="auto"/>
              </w:rPr>
              <w:t>PRIVACY AND DATA SECURITY</w:t>
            </w:r>
          </w:p>
        </w:tc>
        <w:tc>
          <w:tcPr>
            <w:tcW w:w="13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3.24</w:t>
            </w:r>
          </w:p>
        </w:tc>
        <w:tc>
          <w:tcPr>
            <w:tcW w:w="5400" w:type="dxa"/>
            <w:vAlign w:val="bottom"/>
          </w:tcPr>
          <w:p>
            <w:pPr>
              <w:ind w:left="100"/>
              <w:spacing w:after="0"/>
              <w:rPr>
                <w:sz w:val="20"/>
                <w:szCs w:val="20"/>
                <w:color w:val="auto"/>
              </w:rPr>
            </w:pPr>
            <w:r>
              <w:rPr>
                <w:rFonts w:ascii="Arial" w:cs="Arial" w:eastAsia="Arial" w:hAnsi="Arial"/>
                <w:sz w:val="12"/>
                <w:szCs w:val="12"/>
                <w:color w:val="auto"/>
              </w:rPr>
              <w:t>ACCREDITED INVESTOR STATUS</w:t>
            </w:r>
          </w:p>
        </w:tc>
        <w:tc>
          <w:tcPr>
            <w:tcW w:w="138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3.25</w:t>
            </w:r>
          </w:p>
        </w:tc>
        <w:tc>
          <w:tcPr>
            <w:tcW w:w="5400" w:type="dxa"/>
            <w:vAlign w:val="bottom"/>
          </w:tcPr>
          <w:p>
            <w:pPr>
              <w:ind w:left="100"/>
              <w:spacing w:after="0"/>
              <w:rPr>
                <w:sz w:val="20"/>
                <w:szCs w:val="20"/>
                <w:color w:val="auto"/>
              </w:rPr>
            </w:pPr>
            <w:r>
              <w:rPr>
                <w:rFonts w:ascii="Arial" w:cs="Arial" w:eastAsia="Arial" w:hAnsi="Arial"/>
                <w:sz w:val="12"/>
                <w:szCs w:val="12"/>
                <w:color w:val="auto"/>
              </w:rPr>
              <w:t>NO OTHER REPRESENTATIONS OR WARRANTIES</w:t>
            </w:r>
          </w:p>
        </w:tc>
        <w:tc>
          <w:tcPr>
            <w:tcW w:w="138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7"/>
        </w:trPr>
        <w:tc>
          <w:tcPr>
            <w:tcW w:w="5940" w:type="dxa"/>
            <w:vAlign w:val="bottom"/>
            <w:gridSpan w:val="2"/>
          </w:tcPr>
          <w:p>
            <w:pPr>
              <w:spacing w:after="0"/>
              <w:rPr>
                <w:sz w:val="20"/>
                <w:szCs w:val="20"/>
                <w:color w:val="auto"/>
              </w:rPr>
            </w:pPr>
            <w:r>
              <w:rPr>
                <w:rFonts w:ascii="Arial" w:cs="Arial" w:eastAsia="Arial" w:hAnsi="Arial"/>
                <w:sz w:val="12"/>
                <w:szCs w:val="12"/>
                <w:color w:val="auto"/>
              </w:rPr>
              <w:t>SECTION 4. REPRESENTATIONS AND WARRANTIES OF ZORDICH AND MERGER SUB</w:t>
            </w:r>
          </w:p>
        </w:tc>
        <w:tc>
          <w:tcPr>
            <w:tcW w:w="138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w:t>
            </w:r>
          </w:p>
        </w:tc>
        <w:tc>
          <w:tcPr>
            <w:tcW w:w="5400" w:type="dxa"/>
            <w:vAlign w:val="bottom"/>
          </w:tcPr>
          <w:p>
            <w:pPr>
              <w:ind w:left="100"/>
              <w:spacing w:after="0"/>
              <w:rPr>
                <w:sz w:val="20"/>
                <w:szCs w:val="20"/>
                <w:color w:val="auto"/>
              </w:rPr>
            </w:pPr>
            <w:r>
              <w:rPr>
                <w:rFonts w:ascii="Arial" w:cs="Arial" w:eastAsia="Arial" w:hAnsi="Arial"/>
                <w:sz w:val="12"/>
                <w:szCs w:val="12"/>
                <w:color w:val="auto"/>
              </w:rPr>
              <w:t>DUE ORGANIZATION; SUBSIDIARIES</w:t>
            </w:r>
          </w:p>
        </w:tc>
        <w:tc>
          <w:tcPr>
            <w:tcW w:w="138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w:t>
            </w:r>
          </w:p>
        </w:tc>
        <w:tc>
          <w:tcPr>
            <w:tcW w:w="5400" w:type="dxa"/>
            <w:vAlign w:val="bottom"/>
          </w:tcPr>
          <w:p>
            <w:pPr>
              <w:ind w:left="100"/>
              <w:spacing w:after="0"/>
              <w:rPr>
                <w:sz w:val="20"/>
                <w:szCs w:val="20"/>
                <w:color w:val="auto"/>
              </w:rPr>
            </w:pPr>
            <w:r>
              <w:rPr>
                <w:rFonts w:ascii="Arial" w:cs="Arial" w:eastAsia="Arial" w:hAnsi="Arial"/>
                <w:sz w:val="12"/>
                <w:szCs w:val="12"/>
                <w:color w:val="auto"/>
              </w:rPr>
              <w:t>ORGANIZATIONAL DOCUMENTS</w:t>
            </w:r>
          </w:p>
        </w:tc>
        <w:tc>
          <w:tcPr>
            <w:tcW w:w="13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4.3</w:t>
            </w:r>
          </w:p>
        </w:tc>
        <w:tc>
          <w:tcPr>
            <w:tcW w:w="5400" w:type="dxa"/>
            <w:vAlign w:val="bottom"/>
          </w:tcPr>
          <w:p>
            <w:pPr>
              <w:ind w:left="100"/>
              <w:spacing w:after="0"/>
              <w:rPr>
                <w:sz w:val="20"/>
                <w:szCs w:val="20"/>
                <w:color w:val="auto"/>
              </w:rPr>
            </w:pPr>
            <w:r>
              <w:rPr>
                <w:rFonts w:ascii="Arial" w:cs="Arial" w:eastAsia="Arial" w:hAnsi="Arial"/>
                <w:sz w:val="12"/>
                <w:szCs w:val="12"/>
                <w:color w:val="auto"/>
              </w:rPr>
              <w:t>AUTHORITY; BINDING NATURE OF AGREEMENT</w:t>
            </w:r>
          </w:p>
        </w:tc>
        <w:tc>
          <w:tcPr>
            <w:tcW w:w="13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4.4</w:t>
            </w:r>
          </w:p>
        </w:tc>
        <w:tc>
          <w:tcPr>
            <w:tcW w:w="5400" w:type="dxa"/>
            <w:vAlign w:val="bottom"/>
          </w:tcPr>
          <w:p>
            <w:pPr>
              <w:ind w:left="100"/>
              <w:spacing w:after="0"/>
              <w:rPr>
                <w:sz w:val="20"/>
                <w:szCs w:val="20"/>
                <w:color w:val="auto"/>
              </w:rPr>
            </w:pPr>
            <w:r>
              <w:rPr>
                <w:rFonts w:ascii="Arial" w:cs="Arial" w:eastAsia="Arial" w:hAnsi="Arial"/>
                <w:sz w:val="12"/>
                <w:szCs w:val="12"/>
                <w:color w:val="auto"/>
              </w:rPr>
              <w:t>VOTE REQUIRED</w:t>
            </w:r>
          </w:p>
        </w:tc>
        <w:tc>
          <w:tcPr>
            <w:tcW w:w="13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4.5</w:t>
            </w:r>
          </w:p>
        </w:tc>
        <w:tc>
          <w:tcPr>
            <w:tcW w:w="5400" w:type="dxa"/>
            <w:vAlign w:val="bottom"/>
          </w:tcPr>
          <w:p>
            <w:pPr>
              <w:ind w:left="100"/>
              <w:spacing w:after="0"/>
              <w:rPr>
                <w:sz w:val="20"/>
                <w:szCs w:val="20"/>
                <w:color w:val="auto"/>
              </w:rPr>
            </w:pPr>
            <w:r>
              <w:rPr>
                <w:rFonts w:ascii="Arial" w:cs="Arial" w:eastAsia="Arial" w:hAnsi="Arial"/>
                <w:sz w:val="12"/>
                <w:szCs w:val="12"/>
                <w:color w:val="auto"/>
              </w:rPr>
              <w:t>NON-CONTRAVENTION; CONSENTS</w:t>
            </w:r>
          </w:p>
        </w:tc>
        <w:tc>
          <w:tcPr>
            <w:tcW w:w="13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4.6</w:t>
            </w:r>
          </w:p>
        </w:tc>
        <w:tc>
          <w:tcPr>
            <w:tcW w:w="5400" w:type="dxa"/>
            <w:vAlign w:val="bottom"/>
          </w:tcPr>
          <w:p>
            <w:pPr>
              <w:ind w:left="100"/>
              <w:spacing w:after="0"/>
              <w:rPr>
                <w:sz w:val="20"/>
                <w:szCs w:val="20"/>
                <w:color w:val="auto"/>
              </w:rPr>
            </w:pPr>
            <w:r>
              <w:rPr>
                <w:rFonts w:ascii="Arial" w:cs="Arial" w:eastAsia="Arial" w:hAnsi="Arial"/>
                <w:sz w:val="12"/>
                <w:szCs w:val="12"/>
                <w:color w:val="auto"/>
              </w:rPr>
              <w:t>CAPITALIZATION</w:t>
            </w:r>
          </w:p>
        </w:tc>
        <w:tc>
          <w:tcPr>
            <w:tcW w:w="138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4.7</w:t>
            </w:r>
          </w:p>
        </w:tc>
        <w:tc>
          <w:tcPr>
            <w:tcW w:w="5400" w:type="dxa"/>
            <w:vAlign w:val="bottom"/>
          </w:tcPr>
          <w:p>
            <w:pPr>
              <w:ind w:left="100"/>
              <w:spacing w:after="0"/>
              <w:rPr>
                <w:sz w:val="20"/>
                <w:szCs w:val="20"/>
                <w:color w:val="auto"/>
              </w:rPr>
            </w:pPr>
            <w:r>
              <w:rPr>
                <w:rFonts w:ascii="Arial" w:cs="Arial" w:eastAsia="Arial" w:hAnsi="Arial"/>
                <w:sz w:val="12"/>
                <w:szCs w:val="12"/>
                <w:color w:val="auto"/>
              </w:rPr>
              <w:t>SEC FILINGS; FINANCIAL STATEMENTS</w:t>
            </w:r>
          </w:p>
        </w:tc>
        <w:tc>
          <w:tcPr>
            <w:tcW w:w="138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4.8</w:t>
            </w:r>
          </w:p>
        </w:tc>
        <w:tc>
          <w:tcPr>
            <w:tcW w:w="5400" w:type="dxa"/>
            <w:vAlign w:val="bottom"/>
          </w:tcPr>
          <w:p>
            <w:pPr>
              <w:ind w:left="100"/>
              <w:spacing w:after="0"/>
              <w:rPr>
                <w:sz w:val="20"/>
                <w:szCs w:val="20"/>
                <w:color w:val="auto"/>
              </w:rPr>
            </w:pPr>
            <w:r>
              <w:rPr>
                <w:rFonts w:ascii="Arial" w:cs="Arial" w:eastAsia="Arial" w:hAnsi="Arial"/>
                <w:sz w:val="12"/>
                <w:szCs w:val="12"/>
                <w:color w:val="auto"/>
              </w:rPr>
              <w:t>ABSENCE OF CHANGES</w:t>
            </w:r>
          </w:p>
        </w:tc>
        <w:tc>
          <w:tcPr>
            <w:tcW w:w="138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4.9</w:t>
            </w:r>
          </w:p>
        </w:tc>
        <w:tc>
          <w:tcPr>
            <w:tcW w:w="5400" w:type="dxa"/>
            <w:vAlign w:val="bottom"/>
          </w:tcPr>
          <w:p>
            <w:pPr>
              <w:ind w:left="100"/>
              <w:spacing w:after="0"/>
              <w:rPr>
                <w:sz w:val="20"/>
                <w:szCs w:val="20"/>
                <w:color w:val="auto"/>
              </w:rPr>
            </w:pPr>
            <w:r>
              <w:rPr>
                <w:rFonts w:ascii="Arial" w:cs="Arial" w:eastAsia="Arial" w:hAnsi="Arial"/>
                <w:sz w:val="12"/>
                <w:szCs w:val="12"/>
                <w:color w:val="auto"/>
              </w:rPr>
              <w:t>ABSENCE OF UNDISCLOSED LIABILITIES</w:t>
            </w:r>
          </w:p>
        </w:tc>
        <w:tc>
          <w:tcPr>
            <w:tcW w:w="138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4.10</w:t>
            </w:r>
          </w:p>
        </w:tc>
        <w:tc>
          <w:tcPr>
            <w:tcW w:w="5400" w:type="dxa"/>
            <w:vAlign w:val="bottom"/>
          </w:tcPr>
          <w:p>
            <w:pPr>
              <w:ind w:left="100"/>
              <w:spacing w:after="0"/>
              <w:rPr>
                <w:sz w:val="20"/>
                <w:szCs w:val="20"/>
                <w:color w:val="auto"/>
              </w:rPr>
            </w:pPr>
            <w:r>
              <w:rPr>
                <w:rFonts w:ascii="Arial" w:cs="Arial" w:eastAsia="Arial" w:hAnsi="Arial"/>
                <w:sz w:val="12"/>
                <w:szCs w:val="12"/>
                <w:color w:val="auto"/>
              </w:rPr>
              <w:t>TITLE TO ASSETS</w:t>
            </w:r>
          </w:p>
        </w:tc>
        <w:tc>
          <w:tcPr>
            <w:tcW w:w="138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4.11</w:t>
            </w:r>
          </w:p>
        </w:tc>
        <w:tc>
          <w:tcPr>
            <w:tcW w:w="5400" w:type="dxa"/>
            <w:vAlign w:val="bottom"/>
          </w:tcPr>
          <w:p>
            <w:pPr>
              <w:ind w:left="100"/>
              <w:spacing w:after="0"/>
              <w:rPr>
                <w:sz w:val="20"/>
                <w:szCs w:val="20"/>
                <w:color w:val="auto"/>
              </w:rPr>
            </w:pPr>
            <w:r>
              <w:rPr>
                <w:rFonts w:ascii="Arial" w:cs="Arial" w:eastAsia="Arial" w:hAnsi="Arial"/>
                <w:sz w:val="12"/>
                <w:szCs w:val="12"/>
                <w:color w:val="auto"/>
              </w:rPr>
              <w:t>REAL PROPERTY; LEASEHOLD</w:t>
            </w:r>
          </w:p>
        </w:tc>
        <w:tc>
          <w:tcPr>
            <w:tcW w:w="138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4.12</w:t>
            </w:r>
          </w:p>
        </w:tc>
        <w:tc>
          <w:tcPr>
            <w:tcW w:w="5400" w:type="dxa"/>
            <w:vAlign w:val="bottom"/>
          </w:tcPr>
          <w:p>
            <w:pPr>
              <w:ind w:left="100"/>
              <w:spacing w:after="0"/>
              <w:rPr>
                <w:sz w:val="20"/>
                <w:szCs w:val="20"/>
                <w:color w:val="auto"/>
              </w:rPr>
            </w:pPr>
            <w:r>
              <w:rPr>
                <w:rFonts w:ascii="Arial" w:cs="Arial" w:eastAsia="Arial" w:hAnsi="Arial"/>
                <w:sz w:val="12"/>
                <w:szCs w:val="12"/>
                <w:color w:val="auto"/>
              </w:rPr>
              <w:t>INTELLECTUAL PROPERTY</w:t>
            </w:r>
          </w:p>
        </w:tc>
        <w:tc>
          <w:tcPr>
            <w:tcW w:w="138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4.13</w:t>
            </w:r>
          </w:p>
        </w:tc>
        <w:tc>
          <w:tcPr>
            <w:tcW w:w="5400" w:type="dxa"/>
            <w:vAlign w:val="bottom"/>
          </w:tcPr>
          <w:p>
            <w:pPr>
              <w:ind w:left="100"/>
              <w:spacing w:after="0"/>
              <w:rPr>
                <w:sz w:val="20"/>
                <w:szCs w:val="20"/>
                <w:color w:val="auto"/>
              </w:rPr>
            </w:pPr>
            <w:r>
              <w:rPr>
                <w:rFonts w:ascii="Arial" w:cs="Arial" w:eastAsia="Arial" w:hAnsi="Arial"/>
                <w:sz w:val="12"/>
                <w:szCs w:val="12"/>
                <w:color w:val="auto"/>
              </w:rPr>
              <w:t>AGREEMENTS, CONTRACTS AND COMMITMENTS</w:t>
            </w:r>
          </w:p>
        </w:tc>
        <w:tc>
          <w:tcPr>
            <w:tcW w:w="138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4.14</w:t>
            </w:r>
          </w:p>
        </w:tc>
        <w:tc>
          <w:tcPr>
            <w:tcW w:w="5400" w:type="dxa"/>
            <w:vAlign w:val="bottom"/>
          </w:tcPr>
          <w:p>
            <w:pPr>
              <w:ind w:left="100"/>
              <w:spacing w:after="0"/>
              <w:rPr>
                <w:sz w:val="20"/>
                <w:szCs w:val="20"/>
                <w:color w:val="auto"/>
              </w:rPr>
            </w:pPr>
            <w:r>
              <w:rPr>
                <w:rFonts w:ascii="Arial" w:cs="Arial" w:eastAsia="Arial" w:hAnsi="Arial"/>
                <w:sz w:val="12"/>
                <w:szCs w:val="12"/>
                <w:color w:val="auto"/>
              </w:rPr>
              <w:t>COMPLIANCE; PERMITS; RESTRICTIONS.</w:t>
            </w:r>
          </w:p>
        </w:tc>
        <w:tc>
          <w:tcPr>
            <w:tcW w:w="138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4.15</w:t>
            </w:r>
          </w:p>
        </w:tc>
        <w:tc>
          <w:tcPr>
            <w:tcW w:w="5400" w:type="dxa"/>
            <w:vAlign w:val="bottom"/>
          </w:tcPr>
          <w:p>
            <w:pPr>
              <w:ind w:left="100"/>
              <w:spacing w:after="0"/>
              <w:rPr>
                <w:sz w:val="20"/>
                <w:szCs w:val="20"/>
                <w:color w:val="auto"/>
              </w:rPr>
            </w:pPr>
            <w:r>
              <w:rPr>
                <w:rFonts w:ascii="Arial" w:cs="Arial" w:eastAsia="Arial" w:hAnsi="Arial"/>
                <w:sz w:val="12"/>
                <w:szCs w:val="12"/>
                <w:color w:val="auto"/>
              </w:rPr>
              <w:t>LEGAL PROCEEDINGS; ORDERS</w:t>
            </w:r>
          </w:p>
        </w:tc>
        <w:tc>
          <w:tcPr>
            <w:tcW w:w="138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4.16</w:t>
            </w:r>
          </w:p>
        </w:tc>
        <w:tc>
          <w:tcPr>
            <w:tcW w:w="5400" w:type="dxa"/>
            <w:vAlign w:val="bottom"/>
          </w:tcPr>
          <w:p>
            <w:pPr>
              <w:ind w:left="100"/>
              <w:spacing w:after="0"/>
              <w:rPr>
                <w:sz w:val="20"/>
                <w:szCs w:val="20"/>
                <w:color w:val="auto"/>
              </w:rPr>
            </w:pPr>
            <w:r>
              <w:rPr>
                <w:rFonts w:ascii="Arial" w:cs="Arial" w:eastAsia="Arial" w:hAnsi="Arial"/>
                <w:sz w:val="12"/>
                <w:szCs w:val="12"/>
                <w:color w:val="auto"/>
              </w:rPr>
              <w:t>TAX MATTERS</w:t>
            </w:r>
          </w:p>
        </w:tc>
        <w:tc>
          <w:tcPr>
            <w:tcW w:w="138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4.17</w:t>
            </w:r>
          </w:p>
        </w:tc>
        <w:tc>
          <w:tcPr>
            <w:tcW w:w="5400" w:type="dxa"/>
            <w:vAlign w:val="bottom"/>
          </w:tcPr>
          <w:p>
            <w:pPr>
              <w:ind w:left="100"/>
              <w:spacing w:after="0"/>
              <w:rPr>
                <w:sz w:val="20"/>
                <w:szCs w:val="20"/>
                <w:color w:val="auto"/>
              </w:rPr>
            </w:pPr>
            <w:r>
              <w:rPr>
                <w:rFonts w:ascii="Arial" w:cs="Arial" w:eastAsia="Arial" w:hAnsi="Arial"/>
                <w:sz w:val="12"/>
                <w:szCs w:val="12"/>
                <w:color w:val="auto"/>
              </w:rPr>
              <w:t>EMPLOYEE AND LABOR MATTERS; BENEFIT PLANS</w:t>
            </w:r>
          </w:p>
        </w:tc>
        <w:tc>
          <w:tcPr>
            <w:tcW w:w="138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4.18</w:t>
            </w:r>
          </w:p>
        </w:tc>
        <w:tc>
          <w:tcPr>
            <w:tcW w:w="5400" w:type="dxa"/>
            <w:vAlign w:val="bottom"/>
          </w:tcPr>
          <w:p>
            <w:pPr>
              <w:ind w:left="100"/>
              <w:spacing w:after="0"/>
              <w:rPr>
                <w:sz w:val="20"/>
                <w:szCs w:val="20"/>
                <w:color w:val="auto"/>
              </w:rPr>
            </w:pPr>
            <w:r>
              <w:rPr>
                <w:rFonts w:ascii="Arial" w:cs="Arial" w:eastAsia="Arial" w:hAnsi="Arial"/>
                <w:sz w:val="12"/>
                <w:szCs w:val="12"/>
                <w:color w:val="auto"/>
              </w:rPr>
              <w:t>ENVIRONMENTAL MATTERS</w:t>
            </w:r>
          </w:p>
        </w:tc>
        <w:tc>
          <w:tcPr>
            <w:tcW w:w="138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4.19</w:t>
            </w:r>
          </w:p>
        </w:tc>
        <w:tc>
          <w:tcPr>
            <w:tcW w:w="5400" w:type="dxa"/>
            <w:vAlign w:val="bottom"/>
          </w:tcPr>
          <w:p>
            <w:pPr>
              <w:ind w:left="100"/>
              <w:spacing w:after="0"/>
              <w:rPr>
                <w:sz w:val="20"/>
                <w:szCs w:val="20"/>
                <w:color w:val="auto"/>
              </w:rPr>
            </w:pPr>
            <w:r>
              <w:rPr>
                <w:rFonts w:ascii="Arial" w:cs="Arial" w:eastAsia="Arial" w:hAnsi="Arial"/>
                <w:sz w:val="12"/>
                <w:szCs w:val="12"/>
                <w:color w:val="auto"/>
              </w:rPr>
              <w:t>INSURANCE</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4.20</w:t>
            </w:r>
          </w:p>
        </w:tc>
        <w:tc>
          <w:tcPr>
            <w:tcW w:w="5400" w:type="dxa"/>
            <w:vAlign w:val="bottom"/>
          </w:tcPr>
          <w:p>
            <w:pPr>
              <w:ind w:left="100"/>
              <w:spacing w:after="0"/>
              <w:rPr>
                <w:sz w:val="20"/>
                <w:szCs w:val="20"/>
                <w:color w:val="auto"/>
              </w:rPr>
            </w:pPr>
            <w:r>
              <w:rPr>
                <w:rFonts w:ascii="Arial" w:cs="Arial" w:eastAsia="Arial" w:hAnsi="Arial"/>
                <w:sz w:val="12"/>
                <w:szCs w:val="12"/>
                <w:color w:val="auto"/>
              </w:rPr>
              <w:t>TRANSACTIONS WITH AFFILIATES</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4.21</w:t>
            </w:r>
          </w:p>
        </w:tc>
        <w:tc>
          <w:tcPr>
            <w:tcW w:w="5400" w:type="dxa"/>
            <w:vAlign w:val="bottom"/>
          </w:tcPr>
          <w:p>
            <w:pPr>
              <w:ind w:left="100"/>
              <w:spacing w:after="0"/>
              <w:rPr>
                <w:sz w:val="20"/>
                <w:szCs w:val="20"/>
                <w:color w:val="auto"/>
              </w:rPr>
            </w:pPr>
            <w:r>
              <w:rPr>
                <w:rFonts w:ascii="Arial" w:cs="Arial" w:eastAsia="Arial" w:hAnsi="Arial"/>
                <w:sz w:val="12"/>
                <w:szCs w:val="12"/>
                <w:color w:val="auto"/>
              </w:rPr>
              <w:t>NO FINANCIAL ADVISORS</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4.22</w:t>
            </w:r>
          </w:p>
        </w:tc>
        <w:tc>
          <w:tcPr>
            <w:tcW w:w="5400" w:type="dxa"/>
            <w:vAlign w:val="bottom"/>
          </w:tcPr>
          <w:p>
            <w:pPr>
              <w:ind w:left="100"/>
              <w:spacing w:after="0"/>
              <w:rPr>
                <w:sz w:val="20"/>
                <w:szCs w:val="20"/>
                <w:color w:val="auto"/>
              </w:rPr>
            </w:pPr>
            <w:r>
              <w:rPr>
                <w:rFonts w:ascii="Arial" w:cs="Arial" w:eastAsia="Arial" w:hAnsi="Arial"/>
                <w:sz w:val="12"/>
                <w:szCs w:val="12"/>
                <w:color w:val="auto"/>
              </w:rPr>
              <w:t>VALID ISSUANCE; NO BAD ACTOR</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4.23</w:t>
            </w:r>
          </w:p>
        </w:tc>
        <w:tc>
          <w:tcPr>
            <w:tcW w:w="5400" w:type="dxa"/>
            <w:vAlign w:val="bottom"/>
          </w:tcPr>
          <w:p>
            <w:pPr>
              <w:ind w:left="100"/>
              <w:spacing w:after="0"/>
              <w:rPr>
                <w:sz w:val="20"/>
                <w:szCs w:val="20"/>
                <w:color w:val="auto"/>
              </w:rPr>
            </w:pPr>
            <w:r>
              <w:rPr>
                <w:rFonts w:ascii="Arial" w:cs="Arial" w:eastAsia="Arial" w:hAnsi="Arial"/>
                <w:sz w:val="12"/>
                <w:szCs w:val="12"/>
                <w:color w:val="auto"/>
              </w:rPr>
              <w:t>PRIVACY AND DATA SECURITY</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4.24</w:t>
            </w:r>
          </w:p>
        </w:tc>
        <w:tc>
          <w:tcPr>
            <w:tcW w:w="5400" w:type="dxa"/>
            <w:vAlign w:val="bottom"/>
          </w:tcPr>
          <w:p>
            <w:pPr>
              <w:ind w:left="100"/>
              <w:spacing w:after="0"/>
              <w:rPr>
                <w:sz w:val="20"/>
                <w:szCs w:val="20"/>
                <w:color w:val="auto"/>
              </w:rPr>
            </w:pPr>
            <w:r>
              <w:rPr>
                <w:rFonts w:ascii="Arial" w:cs="Arial" w:eastAsia="Arial" w:hAnsi="Arial"/>
                <w:sz w:val="12"/>
                <w:szCs w:val="12"/>
                <w:color w:val="auto"/>
              </w:rPr>
              <w:t>REGULATORY FILINGS</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4.25</w:t>
            </w:r>
          </w:p>
        </w:tc>
        <w:tc>
          <w:tcPr>
            <w:tcW w:w="5400" w:type="dxa"/>
            <w:vAlign w:val="bottom"/>
          </w:tcPr>
          <w:p>
            <w:pPr>
              <w:ind w:left="100"/>
              <w:spacing w:after="0"/>
              <w:rPr>
                <w:sz w:val="20"/>
                <w:szCs w:val="20"/>
                <w:color w:val="auto"/>
              </w:rPr>
            </w:pPr>
            <w:r>
              <w:rPr>
                <w:rFonts w:ascii="Arial" w:cs="Arial" w:eastAsia="Arial" w:hAnsi="Arial"/>
                <w:sz w:val="12"/>
                <w:szCs w:val="12"/>
                <w:color w:val="auto"/>
              </w:rPr>
              <w:t>EXCHANGE ACT REGISTRATION</w:t>
            </w:r>
          </w:p>
        </w:tc>
        <w:tc>
          <w:tcPr>
            <w:tcW w:w="138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4.26</w:t>
            </w:r>
          </w:p>
        </w:tc>
        <w:tc>
          <w:tcPr>
            <w:tcW w:w="5400" w:type="dxa"/>
            <w:vAlign w:val="bottom"/>
          </w:tcPr>
          <w:p>
            <w:pPr>
              <w:ind w:left="100"/>
              <w:spacing w:after="0"/>
              <w:rPr>
                <w:sz w:val="20"/>
                <w:szCs w:val="20"/>
                <w:color w:val="auto"/>
              </w:rPr>
            </w:pPr>
            <w:r>
              <w:rPr>
                <w:rFonts w:ascii="Arial" w:cs="Arial" w:eastAsia="Arial" w:hAnsi="Arial"/>
                <w:sz w:val="12"/>
                <w:szCs w:val="12"/>
                <w:color w:val="auto"/>
              </w:rPr>
              <w:t>NO OTHER REPRESENTATIONS OR WARRANTIES</w:t>
            </w:r>
          </w:p>
        </w:tc>
        <w:tc>
          <w:tcPr>
            <w:tcW w:w="138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244"/>
        </w:trPr>
        <w:tc>
          <w:tcPr>
            <w:tcW w:w="540" w:type="dxa"/>
            <w:vAlign w:val="bottom"/>
          </w:tcPr>
          <w:p>
            <w:pPr>
              <w:spacing w:after="0"/>
              <w:rPr>
                <w:sz w:val="21"/>
                <w:szCs w:val="21"/>
                <w:color w:val="auto"/>
              </w:rPr>
            </w:pPr>
          </w:p>
        </w:tc>
        <w:tc>
          <w:tcPr>
            <w:tcW w:w="5400" w:type="dxa"/>
            <w:vAlign w:val="bottom"/>
          </w:tcPr>
          <w:p>
            <w:pPr>
              <w:ind w:left="3100"/>
              <w:spacing w:after="0"/>
              <w:rPr>
                <w:sz w:val="20"/>
                <w:szCs w:val="20"/>
                <w:color w:val="auto"/>
              </w:rPr>
            </w:pPr>
            <w:r>
              <w:rPr>
                <w:rFonts w:ascii="Arial" w:cs="Arial" w:eastAsia="Arial" w:hAnsi="Arial"/>
                <w:sz w:val="12"/>
                <w:szCs w:val="12"/>
                <w:color w:val="auto"/>
              </w:rPr>
              <w:t>2</w:t>
            </w:r>
          </w:p>
        </w:tc>
        <w:tc>
          <w:tcPr>
            <w:tcW w:w="138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0" w:name="page11"/>
    <w:bookmarkEnd w:id="10"/>
    <w:tbl>
      <w:tblPr>
        <w:tblLayout w:type="fixed"/>
        <w:tblInd w:w="840" w:type="dxa"/>
        <w:tblCellMar>
          <w:top w:w="0" w:type="dxa"/>
          <w:left w:w="0" w:type="dxa"/>
          <w:bottom w:w="0" w:type="dxa"/>
          <w:right w:w="0" w:type="dxa"/>
        </w:tblCellMar>
      </w:tblPr>
      <w:tr>
        <w:trPr>
          <w:trHeight w:val="153"/>
        </w:trPr>
        <w:tc>
          <w:tcPr>
            <w:tcW w:w="5940" w:type="dxa"/>
            <w:vAlign w:val="bottom"/>
            <w:gridSpan w:val="2"/>
          </w:tcPr>
          <w:p>
            <w:pPr>
              <w:spacing w:after="0"/>
              <w:rPr>
                <w:sz w:val="20"/>
                <w:szCs w:val="20"/>
                <w:color w:val="auto"/>
              </w:rPr>
            </w:pPr>
            <w:r>
              <w:rPr>
                <w:rFonts w:ascii="Arial" w:cs="Arial" w:eastAsia="Arial" w:hAnsi="Arial"/>
                <w:sz w:val="12"/>
                <w:szCs w:val="12"/>
                <w:color w:val="auto"/>
              </w:rPr>
              <w:t>SECTION 5. CERTAIN COVENANTS OF THE PARTIES</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5.1</w:t>
            </w:r>
          </w:p>
        </w:tc>
        <w:tc>
          <w:tcPr>
            <w:tcW w:w="5400" w:type="dxa"/>
            <w:vAlign w:val="bottom"/>
          </w:tcPr>
          <w:p>
            <w:pPr>
              <w:ind w:left="100"/>
              <w:spacing w:after="0"/>
              <w:rPr>
                <w:sz w:val="20"/>
                <w:szCs w:val="20"/>
                <w:color w:val="auto"/>
              </w:rPr>
            </w:pPr>
            <w:r>
              <w:rPr>
                <w:rFonts w:ascii="Arial" w:cs="Arial" w:eastAsia="Arial" w:hAnsi="Arial"/>
                <w:sz w:val="12"/>
                <w:szCs w:val="12"/>
                <w:color w:val="auto"/>
              </w:rPr>
              <w:t>OPERATION OF ZORDICH’S BUSINESS</w:t>
            </w:r>
          </w:p>
        </w:tc>
        <w:tc>
          <w:tcPr>
            <w:tcW w:w="138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5.2</w:t>
            </w:r>
          </w:p>
        </w:tc>
        <w:tc>
          <w:tcPr>
            <w:tcW w:w="5400" w:type="dxa"/>
            <w:vAlign w:val="bottom"/>
          </w:tcPr>
          <w:p>
            <w:pPr>
              <w:ind w:left="100"/>
              <w:spacing w:after="0"/>
              <w:rPr>
                <w:sz w:val="20"/>
                <w:szCs w:val="20"/>
                <w:color w:val="auto"/>
              </w:rPr>
            </w:pPr>
            <w:r>
              <w:rPr>
                <w:rFonts w:ascii="Arial" w:cs="Arial" w:eastAsia="Arial" w:hAnsi="Arial"/>
                <w:sz w:val="12"/>
                <w:szCs w:val="12"/>
                <w:color w:val="auto"/>
              </w:rPr>
              <w:t>OPERATION OF THE COMPANY’S BUSINESS</w:t>
            </w:r>
          </w:p>
        </w:tc>
        <w:tc>
          <w:tcPr>
            <w:tcW w:w="13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5.3</w:t>
            </w:r>
          </w:p>
        </w:tc>
        <w:tc>
          <w:tcPr>
            <w:tcW w:w="5400" w:type="dxa"/>
            <w:vAlign w:val="bottom"/>
          </w:tcPr>
          <w:p>
            <w:pPr>
              <w:ind w:left="100"/>
              <w:spacing w:after="0"/>
              <w:rPr>
                <w:sz w:val="20"/>
                <w:szCs w:val="20"/>
                <w:color w:val="auto"/>
              </w:rPr>
            </w:pPr>
            <w:r>
              <w:rPr>
                <w:rFonts w:ascii="Arial" w:cs="Arial" w:eastAsia="Arial" w:hAnsi="Arial"/>
                <w:sz w:val="12"/>
                <w:szCs w:val="12"/>
                <w:color w:val="auto"/>
              </w:rPr>
              <w:t>ACCESS AND INVESTIGATION</w:t>
            </w:r>
          </w:p>
        </w:tc>
        <w:tc>
          <w:tcPr>
            <w:tcW w:w="13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5.4</w:t>
            </w:r>
          </w:p>
        </w:tc>
        <w:tc>
          <w:tcPr>
            <w:tcW w:w="5400" w:type="dxa"/>
            <w:vAlign w:val="bottom"/>
          </w:tcPr>
          <w:p>
            <w:pPr>
              <w:ind w:left="100"/>
              <w:spacing w:after="0"/>
              <w:rPr>
                <w:sz w:val="20"/>
                <w:szCs w:val="20"/>
                <w:color w:val="auto"/>
              </w:rPr>
            </w:pPr>
            <w:r>
              <w:rPr>
                <w:rFonts w:ascii="Arial" w:cs="Arial" w:eastAsia="Arial" w:hAnsi="Arial"/>
                <w:sz w:val="12"/>
                <w:szCs w:val="12"/>
                <w:color w:val="auto"/>
              </w:rPr>
              <w:t>NO SOLICITATION</w:t>
            </w:r>
          </w:p>
        </w:tc>
        <w:tc>
          <w:tcPr>
            <w:tcW w:w="13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5.5</w:t>
            </w:r>
          </w:p>
        </w:tc>
        <w:tc>
          <w:tcPr>
            <w:tcW w:w="5400" w:type="dxa"/>
            <w:vAlign w:val="bottom"/>
          </w:tcPr>
          <w:p>
            <w:pPr>
              <w:ind w:left="100"/>
              <w:spacing w:after="0"/>
              <w:rPr>
                <w:sz w:val="20"/>
                <w:szCs w:val="20"/>
                <w:color w:val="auto"/>
              </w:rPr>
            </w:pPr>
            <w:r>
              <w:rPr>
                <w:rFonts w:ascii="Arial" w:cs="Arial" w:eastAsia="Arial" w:hAnsi="Arial"/>
                <w:sz w:val="12"/>
                <w:szCs w:val="12"/>
                <w:color w:val="auto"/>
              </w:rPr>
              <w:t>NOTIFICATION OF CERTAIN MATTERS</w:t>
            </w:r>
          </w:p>
        </w:tc>
        <w:tc>
          <w:tcPr>
            <w:tcW w:w="138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217"/>
        </w:trPr>
        <w:tc>
          <w:tcPr>
            <w:tcW w:w="5940" w:type="dxa"/>
            <w:vAlign w:val="bottom"/>
            <w:gridSpan w:val="2"/>
          </w:tcPr>
          <w:p>
            <w:pPr>
              <w:spacing w:after="0"/>
              <w:rPr>
                <w:sz w:val="20"/>
                <w:szCs w:val="20"/>
                <w:color w:val="auto"/>
              </w:rPr>
            </w:pPr>
            <w:r>
              <w:rPr>
                <w:rFonts w:ascii="Arial" w:cs="Arial" w:eastAsia="Arial" w:hAnsi="Arial"/>
                <w:sz w:val="12"/>
                <w:szCs w:val="12"/>
                <w:color w:val="auto"/>
              </w:rPr>
              <w:t>SECTION 6. ADDITIONAL AGREEMENTS OF THE PARTIES</w:t>
            </w:r>
          </w:p>
        </w:tc>
        <w:tc>
          <w:tcPr>
            <w:tcW w:w="13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w:t>
            </w:r>
          </w:p>
        </w:tc>
        <w:tc>
          <w:tcPr>
            <w:tcW w:w="5400" w:type="dxa"/>
            <w:vAlign w:val="bottom"/>
          </w:tcPr>
          <w:p>
            <w:pPr>
              <w:ind w:left="100"/>
              <w:spacing w:after="0"/>
              <w:rPr>
                <w:sz w:val="20"/>
                <w:szCs w:val="20"/>
                <w:color w:val="auto"/>
              </w:rPr>
            </w:pPr>
            <w:r>
              <w:rPr>
                <w:rFonts w:ascii="Arial" w:cs="Arial" w:eastAsia="Arial" w:hAnsi="Arial"/>
                <w:sz w:val="12"/>
                <w:szCs w:val="12"/>
                <w:color w:val="auto"/>
              </w:rPr>
              <w:t>PROXY STATEMENT</w:t>
            </w:r>
          </w:p>
        </w:tc>
        <w:tc>
          <w:tcPr>
            <w:tcW w:w="13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w:t>
            </w:r>
          </w:p>
        </w:tc>
        <w:tc>
          <w:tcPr>
            <w:tcW w:w="5400" w:type="dxa"/>
            <w:vAlign w:val="bottom"/>
          </w:tcPr>
          <w:p>
            <w:pPr>
              <w:ind w:left="100"/>
              <w:spacing w:after="0"/>
              <w:rPr>
                <w:sz w:val="20"/>
                <w:szCs w:val="20"/>
                <w:color w:val="auto"/>
              </w:rPr>
            </w:pPr>
            <w:r>
              <w:rPr>
                <w:rFonts w:ascii="Arial" w:cs="Arial" w:eastAsia="Arial" w:hAnsi="Arial"/>
                <w:sz w:val="12"/>
                <w:szCs w:val="12"/>
                <w:color w:val="auto"/>
              </w:rPr>
              <w:t>INTENTIONALLY OMITTED</w:t>
            </w:r>
          </w:p>
        </w:tc>
        <w:tc>
          <w:tcPr>
            <w:tcW w:w="13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6.3</w:t>
            </w:r>
          </w:p>
        </w:tc>
        <w:tc>
          <w:tcPr>
            <w:tcW w:w="5400" w:type="dxa"/>
            <w:vAlign w:val="bottom"/>
          </w:tcPr>
          <w:p>
            <w:pPr>
              <w:ind w:left="100"/>
              <w:spacing w:after="0"/>
              <w:rPr>
                <w:sz w:val="20"/>
                <w:szCs w:val="20"/>
                <w:color w:val="auto"/>
              </w:rPr>
            </w:pPr>
            <w:r>
              <w:rPr>
                <w:rFonts w:ascii="Arial" w:cs="Arial" w:eastAsia="Arial" w:hAnsi="Arial"/>
                <w:sz w:val="12"/>
                <w:szCs w:val="12"/>
                <w:color w:val="auto"/>
              </w:rPr>
              <w:t>ZORDICH STOCKHOLDER MEETING</w:t>
            </w:r>
          </w:p>
        </w:tc>
        <w:tc>
          <w:tcPr>
            <w:tcW w:w="13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6.4</w:t>
            </w:r>
          </w:p>
        </w:tc>
        <w:tc>
          <w:tcPr>
            <w:tcW w:w="5400" w:type="dxa"/>
            <w:vAlign w:val="bottom"/>
          </w:tcPr>
          <w:p>
            <w:pPr>
              <w:ind w:left="100"/>
              <w:spacing w:after="0"/>
              <w:rPr>
                <w:sz w:val="20"/>
                <w:szCs w:val="20"/>
                <w:color w:val="auto"/>
              </w:rPr>
            </w:pPr>
            <w:r>
              <w:rPr>
                <w:rFonts w:ascii="Arial" w:cs="Arial" w:eastAsia="Arial" w:hAnsi="Arial"/>
                <w:sz w:val="12"/>
                <w:szCs w:val="12"/>
                <w:color w:val="auto"/>
              </w:rPr>
              <w:t>BEST EFFORTS; REGULATORY APPROVALS; TRANSACTION LITIGATION</w:t>
            </w:r>
          </w:p>
        </w:tc>
        <w:tc>
          <w:tcPr>
            <w:tcW w:w="138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6.5</w:t>
            </w:r>
          </w:p>
        </w:tc>
        <w:tc>
          <w:tcPr>
            <w:tcW w:w="5400" w:type="dxa"/>
            <w:vAlign w:val="bottom"/>
          </w:tcPr>
          <w:p>
            <w:pPr>
              <w:ind w:left="100"/>
              <w:spacing w:after="0"/>
              <w:rPr>
                <w:sz w:val="20"/>
                <w:szCs w:val="20"/>
                <w:color w:val="auto"/>
              </w:rPr>
            </w:pPr>
            <w:r>
              <w:rPr>
                <w:rFonts w:ascii="Arial" w:cs="Arial" w:eastAsia="Arial" w:hAnsi="Arial"/>
                <w:sz w:val="12"/>
                <w:szCs w:val="12"/>
                <w:color w:val="auto"/>
              </w:rPr>
              <w:t>HOLDINGS OPTIONS</w:t>
            </w:r>
          </w:p>
        </w:tc>
        <w:tc>
          <w:tcPr>
            <w:tcW w:w="138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6.6</w:t>
            </w:r>
          </w:p>
        </w:tc>
        <w:tc>
          <w:tcPr>
            <w:tcW w:w="5400" w:type="dxa"/>
            <w:vAlign w:val="bottom"/>
          </w:tcPr>
          <w:p>
            <w:pPr>
              <w:ind w:left="100"/>
              <w:spacing w:after="0"/>
              <w:rPr>
                <w:sz w:val="20"/>
                <w:szCs w:val="20"/>
                <w:color w:val="auto"/>
              </w:rPr>
            </w:pPr>
            <w:r>
              <w:rPr>
                <w:rFonts w:ascii="Arial" w:cs="Arial" w:eastAsia="Arial" w:hAnsi="Arial"/>
                <w:sz w:val="12"/>
                <w:szCs w:val="12"/>
                <w:color w:val="auto"/>
              </w:rPr>
              <w:t>ZORDICH OPTIONS</w:t>
            </w:r>
          </w:p>
        </w:tc>
        <w:tc>
          <w:tcPr>
            <w:tcW w:w="13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6.7</w:t>
            </w:r>
          </w:p>
        </w:tc>
        <w:tc>
          <w:tcPr>
            <w:tcW w:w="5400" w:type="dxa"/>
            <w:vAlign w:val="bottom"/>
          </w:tcPr>
          <w:p>
            <w:pPr>
              <w:ind w:left="100"/>
              <w:spacing w:after="0"/>
              <w:rPr>
                <w:sz w:val="20"/>
                <w:szCs w:val="20"/>
                <w:color w:val="auto"/>
              </w:rPr>
            </w:pPr>
            <w:r>
              <w:rPr>
                <w:rFonts w:ascii="Arial" w:cs="Arial" w:eastAsia="Arial" w:hAnsi="Arial"/>
                <w:sz w:val="12"/>
                <w:szCs w:val="12"/>
                <w:color w:val="auto"/>
              </w:rPr>
              <w:t>EMPLOYEES; EMPLOYEE BENEFITS</w:t>
            </w:r>
          </w:p>
        </w:tc>
        <w:tc>
          <w:tcPr>
            <w:tcW w:w="13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6.8</w:t>
            </w:r>
          </w:p>
        </w:tc>
        <w:tc>
          <w:tcPr>
            <w:tcW w:w="5400" w:type="dxa"/>
            <w:vAlign w:val="bottom"/>
          </w:tcPr>
          <w:p>
            <w:pPr>
              <w:ind w:left="100"/>
              <w:spacing w:after="0"/>
              <w:rPr>
                <w:sz w:val="20"/>
                <w:szCs w:val="20"/>
                <w:color w:val="auto"/>
              </w:rPr>
            </w:pPr>
            <w:r>
              <w:rPr>
                <w:rFonts w:ascii="Arial" w:cs="Arial" w:eastAsia="Arial" w:hAnsi="Arial"/>
                <w:sz w:val="12"/>
                <w:szCs w:val="12"/>
                <w:color w:val="auto"/>
              </w:rPr>
              <w:t>ZORDICH RSUS</w:t>
            </w:r>
          </w:p>
        </w:tc>
        <w:tc>
          <w:tcPr>
            <w:tcW w:w="13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6.9</w:t>
            </w:r>
          </w:p>
        </w:tc>
        <w:tc>
          <w:tcPr>
            <w:tcW w:w="5400" w:type="dxa"/>
            <w:vAlign w:val="bottom"/>
          </w:tcPr>
          <w:p>
            <w:pPr>
              <w:ind w:left="100"/>
              <w:spacing w:after="0"/>
              <w:rPr>
                <w:sz w:val="20"/>
                <w:szCs w:val="20"/>
                <w:color w:val="auto"/>
              </w:rPr>
            </w:pPr>
            <w:r>
              <w:rPr>
                <w:rFonts w:ascii="Arial" w:cs="Arial" w:eastAsia="Arial" w:hAnsi="Arial"/>
                <w:sz w:val="12"/>
                <w:szCs w:val="12"/>
                <w:color w:val="auto"/>
              </w:rPr>
              <w:t>INDEMNIFICATION OF OFFICERS AND DIRECTORS</w:t>
            </w:r>
          </w:p>
        </w:tc>
        <w:tc>
          <w:tcPr>
            <w:tcW w:w="13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6.10</w:t>
            </w:r>
          </w:p>
        </w:tc>
        <w:tc>
          <w:tcPr>
            <w:tcW w:w="5400" w:type="dxa"/>
            <w:vAlign w:val="bottom"/>
          </w:tcPr>
          <w:p>
            <w:pPr>
              <w:ind w:left="100"/>
              <w:spacing w:after="0"/>
              <w:rPr>
                <w:sz w:val="20"/>
                <w:szCs w:val="20"/>
                <w:color w:val="auto"/>
              </w:rPr>
            </w:pPr>
            <w:r>
              <w:rPr>
                <w:rFonts w:ascii="Arial" w:cs="Arial" w:eastAsia="Arial" w:hAnsi="Arial"/>
                <w:sz w:val="12"/>
                <w:szCs w:val="12"/>
                <w:color w:val="auto"/>
              </w:rPr>
              <w:t>DISCLOSURE</w:t>
            </w:r>
          </w:p>
        </w:tc>
        <w:tc>
          <w:tcPr>
            <w:tcW w:w="13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6.11</w:t>
            </w:r>
          </w:p>
        </w:tc>
        <w:tc>
          <w:tcPr>
            <w:tcW w:w="5400" w:type="dxa"/>
            <w:vAlign w:val="bottom"/>
          </w:tcPr>
          <w:p>
            <w:pPr>
              <w:ind w:left="100"/>
              <w:spacing w:after="0"/>
              <w:rPr>
                <w:sz w:val="20"/>
                <w:szCs w:val="20"/>
                <w:color w:val="auto"/>
              </w:rPr>
            </w:pPr>
            <w:r>
              <w:rPr>
                <w:rFonts w:ascii="Arial" w:cs="Arial" w:eastAsia="Arial" w:hAnsi="Arial"/>
                <w:sz w:val="12"/>
                <w:szCs w:val="12"/>
                <w:color w:val="auto"/>
              </w:rPr>
              <w:t>LISTING</w:t>
            </w:r>
          </w:p>
        </w:tc>
        <w:tc>
          <w:tcPr>
            <w:tcW w:w="13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6.12</w:t>
            </w:r>
          </w:p>
        </w:tc>
        <w:tc>
          <w:tcPr>
            <w:tcW w:w="5400" w:type="dxa"/>
            <w:vAlign w:val="bottom"/>
          </w:tcPr>
          <w:p>
            <w:pPr>
              <w:ind w:left="100"/>
              <w:spacing w:after="0"/>
              <w:rPr>
                <w:sz w:val="20"/>
                <w:szCs w:val="20"/>
                <w:color w:val="auto"/>
              </w:rPr>
            </w:pPr>
            <w:r>
              <w:rPr>
                <w:rFonts w:ascii="Arial" w:cs="Arial" w:eastAsia="Arial" w:hAnsi="Arial"/>
                <w:sz w:val="12"/>
                <w:szCs w:val="12"/>
                <w:color w:val="auto"/>
              </w:rPr>
              <w:t>TAX MATTERS</w:t>
            </w:r>
          </w:p>
        </w:tc>
        <w:tc>
          <w:tcPr>
            <w:tcW w:w="13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6.13</w:t>
            </w:r>
          </w:p>
        </w:tc>
        <w:tc>
          <w:tcPr>
            <w:tcW w:w="5400" w:type="dxa"/>
            <w:vAlign w:val="bottom"/>
          </w:tcPr>
          <w:p>
            <w:pPr>
              <w:ind w:left="100"/>
              <w:spacing w:after="0"/>
              <w:rPr>
                <w:sz w:val="20"/>
                <w:szCs w:val="20"/>
                <w:color w:val="auto"/>
              </w:rPr>
            </w:pPr>
            <w:r>
              <w:rPr>
                <w:rFonts w:ascii="Arial" w:cs="Arial" w:eastAsia="Arial" w:hAnsi="Arial"/>
                <w:sz w:val="12"/>
                <w:szCs w:val="12"/>
                <w:color w:val="auto"/>
              </w:rPr>
              <w:t>LEGENDS</w:t>
            </w:r>
          </w:p>
        </w:tc>
        <w:tc>
          <w:tcPr>
            <w:tcW w:w="13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6.14</w:t>
            </w:r>
          </w:p>
        </w:tc>
        <w:tc>
          <w:tcPr>
            <w:tcW w:w="5400" w:type="dxa"/>
            <w:vAlign w:val="bottom"/>
          </w:tcPr>
          <w:p>
            <w:pPr>
              <w:ind w:left="100"/>
              <w:spacing w:after="0"/>
              <w:rPr>
                <w:sz w:val="20"/>
                <w:szCs w:val="20"/>
                <w:color w:val="auto"/>
              </w:rPr>
            </w:pPr>
            <w:r>
              <w:rPr>
                <w:rFonts w:ascii="Arial" w:cs="Arial" w:eastAsia="Arial" w:hAnsi="Arial"/>
                <w:sz w:val="12"/>
                <w:szCs w:val="12"/>
                <w:color w:val="auto"/>
              </w:rPr>
              <w:t>DIRECTORS</w:t>
            </w:r>
          </w:p>
        </w:tc>
        <w:tc>
          <w:tcPr>
            <w:tcW w:w="13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6.15</w:t>
            </w:r>
          </w:p>
        </w:tc>
        <w:tc>
          <w:tcPr>
            <w:tcW w:w="5400" w:type="dxa"/>
            <w:vAlign w:val="bottom"/>
          </w:tcPr>
          <w:p>
            <w:pPr>
              <w:ind w:left="100"/>
              <w:spacing w:after="0"/>
              <w:rPr>
                <w:sz w:val="20"/>
                <w:szCs w:val="20"/>
                <w:color w:val="auto"/>
              </w:rPr>
            </w:pPr>
            <w:r>
              <w:rPr>
                <w:rFonts w:ascii="Arial" w:cs="Arial" w:eastAsia="Arial" w:hAnsi="Arial"/>
                <w:sz w:val="12"/>
                <w:szCs w:val="12"/>
                <w:color w:val="auto"/>
              </w:rPr>
              <w:t>TERMINATION OF CERTAIN AGREEMENTS AND RIGHTS</w:t>
            </w:r>
          </w:p>
        </w:tc>
        <w:tc>
          <w:tcPr>
            <w:tcW w:w="13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6.16</w:t>
            </w:r>
          </w:p>
        </w:tc>
        <w:tc>
          <w:tcPr>
            <w:tcW w:w="5400" w:type="dxa"/>
            <w:vAlign w:val="bottom"/>
          </w:tcPr>
          <w:p>
            <w:pPr>
              <w:ind w:left="100"/>
              <w:spacing w:after="0"/>
              <w:rPr>
                <w:sz w:val="20"/>
                <w:szCs w:val="20"/>
                <w:color w:val="auto"/>
              </w:rPr>
            </w:pPr>
            <w:r>
              <w:rPr>
                <w:rFonts w:ascii="Arial" w:cs="Arial" w:eastAsia="Arial" w:hAnsi="Arial"/>
                <w:sz w:val="12"/>
                <w:szCs w:val="12"/>
                <w:color w:val="auto"/>
              </w:rPr>
              <w:t>CORPORATE IDENTITY</w:t>
            </w:r>
          </w:p>
        </w:tc>
        <w:tc>
          <w:tcPr>
            <w:tcW w:w="13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6.17</w:t>
            </w:r>
          </w:p>
        </w:tc>
        <w:tc>
          <w:tcPr>
            <w:tcW w:w="5400" w:type="dxa"/>
            <w:vAlign w:val="bottom"/>
          </w:tcPr>
          <w:p>
            <w:pPr>
              <w:ind w:left="100"/>
              <w:spacing w:after="0"/>
              <w:rPr>
                <w:sz w:val="20"/>
                <w:szCs w:val="20"/>
                <w:color w:val="auto"/>
              </w:rPr>
            </w:pPr>
            <w:r>
              <w:rPr>
                <w:rFonts w:ascii="Arial" w:cs="Arial" w:eastAsia="Arial" w:hAnsi="Arial"/>
                <w:sz w:val="12"/>
                <w:szCs w:val="12"/>
                <w:color w:val="auto"/>
              </w:rPr>
              <w:t>SECTION 16 MATTERS</w:t>
            </w:r>
          </w:p>
        </w:tc>
        <w:tc>
          <w:tcPr>
            <w:tcW w:w="13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6.18</w:t>
            </w:r>
          </w:p>
        </w:tc>
        <w:tc>
          <w:tcPr>
            <w:tcW w:w="5400" w:type="dxa"/>
            <w:vAlign w:val="bottom"/>
          </w:tcPr>
          <w:p>
            <w:pPr>
              <w:ind w:left="100"/>
              <w:spacing w:after="0"/>
              <w:rPr>
                <w:sz w:val="20"/>
                <w:szCs w:val="20"/>
                <w:color w:val="auto"/>
              </w:rPr>
            </w:pPr>
            <w:r>
              <w:rPr>
                <w:rFonts w:ascii="Arial" w:cs="Arial" w:eastAsia="Arial" w:hAnsi="Arial"/>
                <w:sz w:val="12"/>
                <w:szCs w:val="12"/>
                <w:color w:val="auto"/>
              </w:rPr>
              <w:t>ALLOCATION CERTIFICATE</w:t>
            </w:r>
          </w:p>
        </w:tc>
        <w:tc>
          <w:tcPr>
            <w:tcW w:w="13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6.19</w:t>
            </w:r>
          </w:p>
        </w:tc>
        <w:tc>
          <w:tcPr>
            <w:tcW w:w="5400" w:type="dxa"/>
            <w:vAlign w:val="bottom"/>
          </w:tcPr>
          <w:p>
            <w:pPr>
              <w:ind w:left="100"/>
              <w:spacing w:after="0"/>
              <w:rPr>
                <w:sz w:val="20"/>
                <w:szCs w:val="20"/>
                <w:color w:val="auto"/>
              </w:rPr>
            </w:pPr>
            <w:r>
              <w:rPr>
                <w:rFonts w:ascii="Arial" w:cs="Arial" w:eastAsia="Arial" w:hAnsi="Arial"/>
                <w:sz w:val="12"/>
                <w:szCs w:val="12"/>
                <w:color w:val="auto"/>
              </w:rPr>
              <w:t>ZORDICH REVERSE STOCK SPLIT</w:t>
            </w:r>
          </w:p>
        </w:tc>
        <w:tc>
          <w:tcPr>
            <w:tcW w:w="13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6.20</w:t>
            </w:r>
          </w:p>
        </w:tc>
        <w:tc>
          <w:tcPr>
            <w:tcW w:w="5400" w:type="dxa"/>
            <w:vAlign w:val="bottom"/>
          </w:tcPr>
          <w:p>
            <w:pPr>
              <w:ind w:left="100"/>
              <w:spacing w:after="0"/>
              <w:rPr>
                <w:sz w:val="20"/>
                <w:szCs w:val="20"/>
                <w:color w:val="auto"/>
              </w:rPr>
            </w:pPr>
            <w:r>
              <w:rPr>
                <w:rFonts w:ascii="Arial" w:cs="Arial" w:eastAsia="Arial" w:hAnsi="Arial"/>
                <w:sz w:val="12"/>
                <w:szCs w:val="12"/>
                <w:color w:val="auto"/>
              </w:rPr>
              <w:t>OBLIGATIONS OF MERGER SUB</w:t>
            </w:r>
          </w:p>
        </w:tc>
        <w:tc>
          <w:tcPr>
            <w:tcW w:w="13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6.21</w:t>
            </w:r>
          </w:p>
        </w:tc>
        <w:tc>
          <w:tcPr>
            <w:tcW w:w="5400" w:type="dxa"/>
            <w:vAlign w:val="bottom"/>
          </w:tcPr>
          <w:p>
            <w:pPr>
              <w:ind w:left="100"/>
              <w:spacing w:after="0"/>
              <w:rPr>
                <w:sz w:val="20"/>
                <w:szCs w:val="20"/>
                <w:color w:val="auto"/>
              </w:rPr>
            </w:pPr>
            <w:r>
              <w:rPr>
                <w:rFonts w:ascii="Arial" w:cs="Arial" w:eastAsia="Arial" w:hAnsi="Arial"/>
                <w:sz w:val="12"/>
                <w:szCs w:val="12"/>
                <w:color w:val="auto"/>
              </w:rPr>
              <w:t>PRIVATE PLACEMENT</w:t>
            </w:r>
          </w:p>
        </w:tc>
        <w:tc>
          <w:tcPr>
            <w:tcW w:w="13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6.22</w:t>
            </w:r>
          </w:p>
        </w:tc>
        <w:tc>
          <w:tcPr>
            <w:tcW w:w="5400" w:type="dxa"/>
            <w:vAlign w:val="bottom"/>
          </w:tcPr>
          <w:p>
            <w:pPr>
              <w:ind w:left="100"/>
              <w:spacing w:after="0"/>
              <w:rPr>
                <w:sz w:val="20"/>
                <w:szCs w:val="20"/>
                <w:color w:val="auto"/>
              </w:rPr>
            </w:pPr>
            <w:r>
              <w:rPr>
                <w:rFonts w:ascii="Arial" w:cs="Arial" w:eastAsia="Arial" w:hAnsi="Arial"/>
                <w:sz w:val="12"/>
                <w:szCs w:val="12"/>
                <w:color w:val="auto"/>
              </w:rPr>
              <w:t>REGISTRATION RIGHTS</w:t>
            </w:r>
          </w:p>
        </w:tc>
        <w:tc>
          <w:tcPr>
            <w:tcW w:w="13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6.23</w:t>
            </w:r>
          </w:p>
        </w:tc>
        <w:tc>
          <w:tcPr>
            <w:tcW w:w="5400" w:type="dxa"/>
            <w:vAlign w:val="bottom"/>
          </w:tcPr>
          <w:p>
            <w:pPr>
              <w:ind w:left="100"/>
              <w:spacing w:after="0"/>
              <w:rPr>
                <w:sz w:val="20"/>
                <w:szCs w:val="20"/>
                <w:color w:val="auto"/>
              </w:rPr>
            </w:pPr>
            <w:r>
              <w:rPr>
                <w:rFonts w:ascii="Arial" w:cs="Arial" w:eastAsia="Arial" w:hAnsi="Arial"/>
                <w:sz w:val="12"/>
                <w:szCs w:val="12"/>
                <w:color w:val="auto"/>
              </w:rPr>
              <w:t>PAYOFF LETTER</w:t>
            </w:r>
          </w:p>
        </w:tc>
        <w:tc>
          <w:tcPr>
            <w:tcW w:w="13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6.24</w:t>
            </w:r>
          </w:p>
        </w:tc>
        <w:tc>
          <w:tcPr>
            <w:tcW w:w="5400" w:type="dxa"/>
            <w:vAlign w:val="bottom"/>
          </w:tcPr>
          <w:p>
            <w:pPr>
              <w:ind w:left="100"/>
              <w:spacing w:after="0"/>
              <w:rPr>
                <w:sz w:val="20"/>
                <w:szCs w:val="20"/>
                <w:color w:val="auto"/>
              </w:rPr>
            </w:pPr>
            <w:r>
              <w:rPr>
                <w:rFonts w:ascii="Arial" w:cs="Arial" w:eastAsia="Arial" w:hAnsi="Arial"/>
                <w:sz w:val="12"/>
                <w:szCs w:val="12"/>
                <w:color w:val="auto"/>
              </w:rPr>
              <w:t>STATE TAKEOVER LAWS</w:t>
            </w:r>
          </w:p>
        </w:tc>
        <w:tc>
          <w:tcPr>
            <w:tcW w:w="13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6.25</w:t>
            </w:r>
          </w:p>
        </w:tc>
        <w:tc>
          <w:tcPr>
            <w:tcW w:w="5400" w:type="dxa"/>
            <w:vAlign w:val="bottom"/>
          </w:tcPr>
          <w:p>
            <w:pPr>
              <w:ind w:left="100"/>
              <w:spacing w:after="0"/>
              <w:rPr>
                <w:sz w:val="20"/>
                <w:szCs w:val="20"/>
                <w:color w:val="auto"/>
              </w:rPr>
            </w:pPr>
            <w:r>
              <w:rPr>
                <w:rFonts w:ascii="Arial" w:cs="Arial" w:eastAsia="Arial" w:hAnsi="Arial"/>
                <w:sz w:val="12"/>
                <w:szCs w:val="12"/>
                <w:color w:val="auto"/>
              </w:rPr>
              <w:t>FURTHER ASSURANCES</w:t>
            </w:r>
          </w:p>
        </w:tc>
        <w:tc>
          <w:tcPr>
            <w:tcW w:w="13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6.26</w:t>
            </w:r>
          </w:p>
        </w:tc>
        <w:tc>
          <w:tcPr>
            <w:tcW w:w="5400" w:type="dxa"/>
            <w:vAlign w:val="bottom"/>
          </w:tcPr>
          <w:p>
            <w:pPr>
              <w:ind w:left="100"/>
              <w:spacing w:after="0"/>
              <w:rPr>
                <w:sz w:val="20"/>
                <w:szCs w:val="20"/>
                <w:color w:val="auto"/>
              </w:rPr>
            </w:pPr>
            <w:r>
              <w:rPr>
                <w:rFonts w:ascii="Arial" w:cs="Arial" w:eastAsia="Arial" w:hAnsi="Arial"/>
                <w:sz w:val="12"/>
                <w:szCs w:val="12"/>
                <w:color w:val="auto"/>
              </w:rPr>
              <w:t>ORDINARY COURSE CAPITAL CONTRIBUTIONS</w:t>
            </w:r>
          </w:p>
        </w:tc>
        <w:tc>
          <w:tcPr>
            <w:tcW w:w="138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44"/>
        </w:trPr>
        <w:tc>
          <w:tcPr>
            <w:tcW w:w="540" w:type="dxa"/>
            <w:vAlign w:val="bottom"/>
          </w:tcPr>
          <w:p>
            <w:pPr>
              <w:spacing w:after="0"/>
              <w:rPr>
                <w:sz w:val="21"/>
                <w:szCs w:val="21"/>
                <w:color w:val="auto"/>
              </w:rPr>
            </w:pPr>
          </w:p>
        </w:tc>
        <w:tc>
          <w:tcPr>
            <w:tcW w:w="5400" w:type="dxa"/>
            <w:vAlign w:val="bottom"/>
          </w:tcPr>
          <w:p>
            <w:pPr>
              <w:ind w:left="3100"/>
              <w:spacing w:after="0"/>
              <w:rPr>
                <w:sz w:val="20"/>
                <w:szCs w:val="20"/>
                <w:color w:val="auto"/>
              </w:rPr>
            </w:pPr>
            <w:r>
              <w:rPr>
                <w:rFonts w:ascii="Arial" w:cs="Arial" w:eastAsia="Arial" w:hAnsi="Arial"/>
                <w:sz w:val="12"/>
                <w:szCs w:val="12"/>
                <w:color w:val="auto"/>
              </w:rPr>
              <w:t>3</w:t>
            </w:r>
          </w:p>
        </w:tc>
        <w:tc>
          <w:tcPr>
            <w:tcW w:w="138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302"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1" w:name="page12"/>
    <w:bookmarkEnd w:id="11"/>
    <w:tbl>
      <w:tblPr>
        <w:tblLayout w:type="fixed"/>
        <w:tblInd w:w="840" w:type="dxa"/>
        <w:tblCellMar>
          <w:top w:w="0" w:type="dxa"/>
          <w:left w:w="0" w:type="dxa"/>
          <w:bottom w:w="0" w:type="dxa"/>
          <w:right w:w="0" w:type="dxa"/>
        </w:tblCellMar>
      </w:tblPr>
      <w:tr>
        <w:trPr>
          <w:trHeight w:val="153"/>
        </w:trPr>
        <w:tc>
          <w:tcPr>
            <w:tcW w:w="6460" w:type="dxa"/>
            <w:vAlign w:val="bottom"/>
            <w:gridSpan w:val="2"/>
          </w:tcPr>
          <w:p>
            <w:pPr>
              <w:spacing w:after="0"/>
              <w:rPr>
                <w:sz w:val="20"/>
                <w:szCs w:val="20"/>
                <w:color w:val="auto"/>
              </w:rPr>
            </w:pPr>
            <w:r>
              <w:rPr>
                <w:rFonts w:ascii="Arial" w:cs="Arial" w:eastAsia="Arial" w:hAnsi="Arial"/>
                <w:sz w:val="12"/>
                <w:szCs w:val="12"/>
                <w:color w:val="auto"/>
              </w:rPr>
              <w:t>SECTION 7. CONDITIONS PRECEDENT TO OBLIGATIONS OF EACH PARTY</w:t>
            </w:r>
          </w:p>
        </w:tc>
        <w:tc>
          <w:tcPr>
            <w:tcW w:w="86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7.1</w:t>
            </w:r>
          </w:p>
        </w:tc>
        <w:tc>
          <w:tcPr>
            <w:tcW w:w="5920" w:type="dxa"/>
            <w:vAlign w:val="bottom"/>
          </w:tcPr>
          <w:p>
            <w:pPr>
              <w:ind w:left="100"/>
              <w:spacing w:after="0"/>
              <w:rPr>
                <w:sz w:val="20"/>
                <w:szCs w:val="20"/>
                <w:color w:val="auto"/>
              </w:rPr>
            </w:pPr>
            <w:r>
              <w:rPr>
                <w:rFonts w:ascii="Arial" w:cs="Arial" w:eastAsia="Arial" w:hAnsi="Arial"/>
                <w:sz w:val="12"/>
                <w:szCs w:val="12"/>
                <w:color w:val="auto"/>
              </w:rPr>
              <w:t>NO RESTRAINTS</w:t>
            </w:r>
          </w:p>
        </w:tc>
        <w:tc>
          <w:tcPr>
            <w:tcW w:w="86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7.2</w:t>
            </w:r>
          </w:p>
        </w:tc>
        <w:tc>
          <w:tcPr>
            <w:tcW w:w="5920" w:type="dxa"/>
            <w:vAlign w:val="bottom"/>
          </w:tcPr>
          <w:p>
            <w:pPr>
              <w:ind w:left="100"/>
              <w:spacing w:after="0"/>
              <w:rPr>
                <w:sz w:val="20"/>
                <w:szCs w:val="20"/>
                <w:color w:val="auto"/>
              </w:rPr>
            </w:pPr>
            <w:r>
              <w:rPr>
                <w:rFonts w:ascii="Arial" w:cs="Arial" w:eastAsia="Arial" w:hAnsi="Arial"/>
                <w:sz w:val="12"/>
                <w:szCs w:val="12"/>
                <w:color w:val="auto"/>
              </w:rPr>
              <w:t>STOCKHOLDER APPROVAL</w:t>
            </w:r>
          </w:p>
        </w:tc>
        <w:tc>
          <w:tcPr>
            <w:tcW w:w="8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17"/>
        </w:trPr>
        <w:tc>
          <w:tcPr>
            <w:tcW w:w="6460" w:type="dxa"/>
            <w:vAlign w:val="bottom"/>
            <w:gridSpan w:val="2"/>
          </w:tcPr>
          <w:p>
            <w:pPr>
              <w:spacing w:after="0"/>
              <w:rPr>
                <w:sz w:val="20"/>
                <w:szCs w:val="20"/>
                <w:color w:val="auto"/>
              </w:rPr>
            </w:pPr>
            <w:r>
              <w:rPr>
                <w:rFonts w:ascii="Arial" w:cs="Arial" w:eastAsia="Arial" w:hAnsi="Arial"/>
                <w:sz w:val="12"/>
                <w:szCs w:val="12"/>
                <w:color w:val="auto"/>
              </w:rPr>
              <w:t>SECTION 8. ADDITIONAL CONDITIONS PRECEDENT TO OBLIGATIONS OF ZORDICH AND MERGER SUB</w:t>
            </w:r>
          </w:p>
        </w:tc>
        <w:tc>
          <w:tcPr>
            <w:tcW w:w="8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8.1</w:t>
            </w:r>
          </w:p>
        </w:tc>
        <w:tc>
          <w:tcPr>
            <w:tcW w:w="5920" w:type="dxa"/>
            <w:vAlign w:val="bottom"/>
          </w:tcPr>
          <w:p>
            <w:pPr>
              <w:ind w:left="100"/>
              <w:spacing w:after="0"/>
              <w:rPr>
                <w:sz w:val="20"/>
                <w:szCs w:val="20"/>
                <w:color w:val="auto"/>
              </w:rPr>
            </w:pPr>
            <w:r>
              <w:rPr>
                <w:rFonts w:ascii="Arial" w:cs="Arial" w:eastAsia="Arial" w:hAnsi="Arial"/>
                <w:sz w:val="12"/>
                <w:szCs w:val="12"/>
                <w:color w:val="auto"/>
              </w:rPr>
              <w:t>ACCURACY OF REPRESENTATIONS</w:t>
            </w:r>
          </w:p>
        </w:tc>
        <w:tc>
          <w:tcPr>
            <w:tcW w:w="8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8.2</w:t>
            </w:r>
          </w:p>
        </w:tc>
        <w:tc>
          <w:tcPr>
            <w:tcW w:w="5920" w:type="dxa"/>
            <w:vAlign w:val="bottom"/>
          </w:tcPr>
          <w:p>
            <w:pPr>
              <w:ind w:left="100"/>
              <w:spacing w:after="0"/>
              <w:rPr>
                <w:sz w:val="20"/>
                <w:szCs w:val="20"/>
                <w:color w:val="auto"/>
              </w:rPr>
            </w:pPr>
            <w:r>
              <w:rPr>
                <w:rFonts w:ascii="Arial" w:cs="Arial" w:eastAsia="Arial" w:hAnsi="Arial"/>
                <w:sz w:val="12"/>
                <w:szCs w:val="12"/>
                <w:color w:val="auto"/>
              </w:rPr>
              <w:t>PERFORMANCE OF COVENANTS</w:t>
            </w:r>
          </w:p>
        </w:tc>
        <w:tc>
          <w:tcPr>
            <w:tcW w:w="8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8.3</w:t>
            </w:r>
          </w:p>
        </w:tc>
        <w:tc>
          <w:tcPr>
            <w:tcW w:w="5920" w:type="dxa"/>
            <w:vAlign w:val="bottom"/>
          </w:tcPr>
          <w:p>
            <w:pPr>
              <w:ind w:left="100"/>
              <w:spacing w:after="0"/>
              <w:rPr>
                <w:sz w:val="20"/>
                <w:szCs w:val="20"/>
                <w:color w:val="auto"/>
              </w:rPr>
            </w:pPr>
            <w:r>
              <w:rPr>
                <w:rFonts w:ascii="Arial" w:cs="Arial" w:eastAsia="Arial" w:hAnsi="Arial"/>
                <w:sz w:val="12"/>
                <w:szCs w:val="12"/>
                <w:color w:val="auto"/>
              </w:rPr>
              <w:t>CLOSING CERTIFICATE</w:t>
            </w:r>
          </w:p>
        </w:tc>
        <w:tc>
          <w:tcPr>
            <w:tcW w:w="8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8.4</w:t>
            </w:r>
          </w:p>
        </w:tc>
        <w:tc>
          <w:tcPr>
            <w:tcW w:w="5920" w:type="dxa"/>
            <w:vAlign w:val="bottom"/>
          </w:tcPr>
          <w:p>
            <w:pPr>
              <w:ind w:left="100"/>
              <w:spacing w:after="0"/>
              <w:rPr>
                <w:sz w:val="20"/>
                <w:szCs w:val="20"/>
                <w:color w:val="auto"/>
              </w:rPr>
            </w:pPr>
            <w:r>
              <w:rPr>
                <w:rFonts w:ascii="Arial" w:cs="Arial" w:eastAsia="Arial" w:hAnsi="Arial"/>
                <w:sz w:val="12"/>
                <w:szCs w:val="12"/>
                <w:color w:val="auto"/>
              </w:rPr>
              <w:t>COMPANY FINANCING</w:t>
            </w:r>
          </w:p>
        </w:tc>
        <w:tc>
          <w:tcPr>
            <w:tcW w:w="8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8.5</w:t>
            </w:r>
          </w:p>
        </w:tc>
        <w:tc>
          <w:tcPr>
            <w:tcW w:w="5920" w:type="dxa"/>
            <w:vAlign w:val="bottom"/>
          </w:tcPr>
          <w:p>
            <w:pPr>
              <w:ind w:left="100"/>
              <w:spacing w:after="0"/>
              <w:rPr>
                <w:sz w:val="20"/>
                <w:szCs w:val="20"/>
                <w:color w:val="auto"/>
              </w:rPr>
            </w:pPr>
            <w:r>
              <w:rPr>
                <w:rFonts w:ascii="Arial" w:cs="Arial" w:eastAsia="Arial" w:hAnsi="Arial"/>
                <w:sz w:val="12"/>
                <w:szCs w:val="12"/>
                <w:color w:val="auto"/>
              </w:rPr>
              <w:t>FIRPTA CERTIFICATE</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8.6</w:t>
            </w:r>
          </w:p>
        </w:tc>
        <w:tc>
          <w:tcPr>
            <w:tcW w:w="5920" w:type="dxa"/>
            <w:vAlign w:val="bottom"/>
          </w:tcPr>
          <w:p>
            <w:pPr>
              <w:ind w:left="100"/>
              <w:spacing w:after="0"/>
              <w:rPr>
                <w:sz w:val="20"/>
                <w:szCs w:val="20"/>
                <w:color w:val="auto"/>
              </w:rPr>
            </w:pPr>
            <w:r>
              <w:rPr>
                <w:rFonts w:ascii="Arial" w:cs="Arial" w:eastAsia="Arial" w:hAnsi="Arial"/>
                <w:sz w:val="12"/>
                <w:szCs w:val="12"/>
                <w:color w:val="auto"/>
              </w:rPr>
              <w:t>NO COMPANY MATERIAL ADVERSE EFFECT</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8.7</w:t>
            </w:r>
          </w:p>
        </w:tc>
        <w:tc>
          <w:tcPr>
            <w:tcW w:w="5920" w:type="dxa"/>
            <w:vAlign w:val="bottom"/>
          </w:tcPr>
          <w:p>
            <w:pPr>
              <w:ind w:left="100"/>
              <w:spacing w:after="0"/>
              <w:rPr>
                <w:sz w:val="20"/>
                <w:szCs w:val="20"/>
                <w:color w:val="auto"/>
              </w:rPr>
            </w:pPr>
            <w:r>
              <w:rPr>
                <w:rFonts w:ascii="Arial" w:cs="Arial" w:eastAsia="Arial" w:hAnsi="Arial"/>
                <w:sz w:val="12"/>
                <w:szCs w:val="12"/>
                <w:color w:val="auto"/>
              </w:rPr>
              <w:t>COMPANY LOCK-UP AGREEMENTS</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8.8</w:t>
            </w:r>
          </w:p>
        </w:tc>
        <w:tc>
          <w:tcPr>
            <w:tcW w:w="5920" w:type="dxa"/>
            <w:vAlign w:val="bottom"/>
          </w:tcPr>
          <w:p>
            <w:pPr>
              <w:ind w:left="100"/>
              <w:spacing w:after="0"/>
              <w:rPr>
                <w:sz w:val="20"/>
                <w:szCs w:val="20"/>
                <w:color w:val="auto"/>
              </w:rPr>
            </w:pPr>
            <w:r>
              <w:rPr>
                <w:rFonts w:ascii="Arial" w:cs="Arial" w:eastAsia="Arial" w:hAnsi="Arial"/>
                <w:sz w:val="12"/>
                <w:szCs w:val="12"/>
                <w:color w:val="auto"/>
              </w:rPr>
              <w:t>TERMINATION OF INVESTOR AGREEMENTS</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8.9</w:t>
            </w:r>
          </w:p>
        </w:tc>
        <w:tc>
          <w:tcPr>
            <w:tcW w:w="5920" w:type="dxa"/>
            <w:vAlign w:val="bottom"/>
          </w:tcPr>
          <w:p>
            <w:pPr>
              <w:ind w:left="100"/>
              <w:spacing w:after="0"/>
              <w:rPr>
                <w:sz w:val="20"/>
                <w:szCs w:val="20"/>
                <w:color w:val="auto"/>
              </w:rPr>
            </w:pPr>
            <w:r>
              <w:rPr>
                <w:rFonts w:ascii="Arial" w:cs="Arial" w:eastAsia="Arial" w:hAnsi="Arial"/>
                <w:sz w:val="12"/>
                <w:szCs w:val="12"/>
                <w:color w:val="auto"/>
              </w:rPr>
              <w:t>COMPANY NET CASH REQUIREMENT</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6460" w:type="dxa"/>
            <w:vAlign w:val="bottom"/>
            <w:gridSpan w:val="2"/>
          </w:tcPr>
          <w:p>
            <w:pPr>
              <w:spacing w:after="0"/>
              <w:rPr>
                <w:sz w:val="20"/>
                <w:szCs w:val="20"/>
                <w:color w:val="auto"/>
              </w:rPr>
            </w:pPr>
            <w:r>
              <w:rPr>
                <w:rFonts w:ascii="Arial" w:cs="Arial" w:eastAsia="Arial" w:hAnsi="Arial"/>
                <w:sz w:val="12"/>
                <w:szCs w:val="12"/>
                <w:color w:val="auto"/>
              </w:rPr>
              <w:t>SECTION 9. ADDITIONAL CONDITIONS PRECEDENT TO OBLIGATION OF THE COMPANY</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9.1</w:t>
            </w:r>
          </w:p>
        </w:tc>
        <w:tc>
          <w:tcPr>
            <w:tcW w:w="5920" w:type="dxa"/>
            <w:vAlign w:val="bottom"/>
          </w:tcPr>
          <w:p>
            <w:pPr>
              <w:ind w:left="100"/>
              <w:spacing w:after="0"/>
              <w:rPr>
                <w:sz w:val="20"/>
                <w:szCs w:val="20"/>
                <w:color w:val="auto"/>
              </w:rPr>
            </w:pPr>
            <w:r>
              <w:rPr>
                <w:rFonts w:ascii="Arial" w:cs="Arial" w:eastAsia="Arial" w:hAnsi="Arial"/>
                <w:sz w:val="12"/>
                <w:szCs w:val="12"/>
                <w:color w:val="auto"/>
              </w:rPr>
              <w:t>ACCURACY OF REPRESENTATIONS</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9.2</w:t>
            </w:r>
          </w:p>
        </w:tc>
        <w:tc>
          <w:tcPr>
            <w:tcW w:w="5920" w:type="dxa"/>
            <w:vAlign w:val="bottom"/>
          </w:tcPr>
          <w:p>
            <w:pPr>
              <w:ind w:left="100"/>
              <w:spacing w:after="0"/>
              <w:rPr>
                <w:sz w:val="20"/>
                <w:szCs w:val="20"/>
                <w:color w:val="auto"/>
              </w:rPr>
            </w:pPr>
            <w:r>
              <w:rPr>
                <w:rFonts w:ascii="Arial" w:cs="Arial" w:eastAsia="Arial" w:hAnsi="Arial"/>
                <w:sz w:val="12"/>
                <w:szCs w:val="12"/>
                <w:color w:val="auto"/>
              </w:rPr>
              <w:t>PERFORMANCE OF COVENANTS</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9.3</w:t>
            </w:r>
          </w:p>
        </w:tc>
        <w:tc>
          <w:tcPr>
            <w:tcW w:w="5920" w:type="dxa"/>
            <w:vAlign w:val="bottom"/>
          </w:tcPr>
          <w:p>
            <w:pPr>
              <w:ind w:left="100"/>
              <w:spacing w:after="0"/>
              <w:rPr>
                <w:sz w:val="20"/>
                <w:szCs w:val="20"/>
                <w:color w:val="auto"/>
              </w:rPr>
            </w:pPr>
            <w:r>
              <w:rPr>
                <w:rFonts w:ascii="Arial" w:cs="Arial" w:eastAsia="Arial" w:hAnsi="Arial"/>
                <w:sz w:val="12"/>
                <w:szCs w:val="12"/>
                <w:color w:val="auto"/>
              </w:rPr>
              <w:t>DOCUMENTS</w:t>
            </w:r>
          </w:p>
        </w:tc>
        <w:tc>
          <w:tcPr>
            <w:tcW w:w="8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9.4</w:t>
            </w:r>
          </w:p>
        </w:tc>
        <w:tc>
          <w:tcPr>
            <w:tcW w:w="5920" w:type="dxa"/>
            <w:vAlign w:val="bottom"/>
          </w:tcPr>
          <w:p>
            <w:pPr>
              <w:ind w:left="100"/>
              <w:spacing w:after="0"/>
              <w:rPr>
                <w:sz w:val="20"/>
                <w:szCs w:val="20"/>
                <w:color w:val="auto"/>
              </w:rPr>
            </w:pPr>
            <w:r>
              <w:rPr>
                <w:rFonts w:ascii="Arial" w:cs="Arial" w:eastAsia="Arial" w:hAnsi="Arial"/>
                <w:sz w:val="12"/>
                <w:szCs w:val="12"/>
                <w:color w:val="auto"/>
              </w:rPr>
              <w:t>NO ZORDICH MATERIAL ADVERSE EFFECT</w:t>
            </w:r>
          </w:p>
        </w:tc>
        <w:tc>
          <w:tcPr>
            <w:tcW w:w="86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9.5</w:t>
            </w:r>
          </w:p>
        </w:tc>
        <w:tc>
          <w:tcPr>
            <w:tcW w:w="5920" w:type="dxa"/>
            <w:vAlign w:val="bottom"/>
          </w:tcPr>
          <w:p>
            <w:pPr>
              <w:ind w:left="100"/>
              <w:spacing w:after="0"/>
              <w:rPr>
                <w:sz w:val="20"/>
                <w:szCs w:val="20"/>
                <w:color w:val="auto"/>
              </w:rPr>
            </w:pPr>
            <w:r>
              <w:rPr>
                <w:rFonts w:ascii="Arial" w:cs="Arial" w:eastAsia="Arial" w:hAnsi="Arial"/>
                <w:sz w:val="12"/>
                <w:szCs w:val="12"/>
                <w:color w:val="auto"/>
              </w:rPr>
              <w:t>ZORDICH LOCK-UP AGREEMENTS</w:t>
            </w:r>
          </w:p>
        </w:tc>
        <w:tc>
          <w:tcPr>
            <w:tcW w:w="86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9.6</w:t>
            </w:r>
          </w:p>
        </w:tc>
        <w:tc>
          <w:tcPr>
            <w:tcW w:w="5920" w:type="dxa"/>
            <w:vAlign w:val="bottom"/>
          </w:tcPr>
          <w:p>
            <w:pPr>
              <w:ind w:left="100"/>
              <w:spacing w:after="0"/>
              <w:rPr>
                <w:sz w:val="20"/>
                <w:szCs w:val="20"/>
                <w:color w:val="auto"/>
              </w:rPr>
            </w:pPr>
            <w:r>
              <w:rPr>
                <w:rFonts w:ascii="Arial" w:cs="Arial" w:eastAsia="Arial" w:hAnsi="Arial"/>
                <w:sz w:val="12"/>
                <w:szCs w:val="12"/>
                <w:color w:val="auto"/>
              </w:rPr>
              <w:t>MINIMUM NET CASH REQUIREMENT</w:t>
            </w:r>
          </w:p>
        </w:tc>
        <w:tc>
          <w:tcPr>
            <w:tcW w:w="8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9.7</w:t>
            </w:r>
          </w:p>
        </w:tc>
        <w:tc>
          <w:tcPr>
            <w:tcW w:w="5920" w:type="dxa"/>
            <w:vAlign w:val="bottom"/>
          </w:tcPr>
          <w:p>
            <w:pPr>
              <w:ind w:left="100"/>
              <w:spacing w:after="0"/>
              <w:rPr>
                <w:sz w:val="20"/>
                <w:szCs w:val="20"/>
                <w:color w:val="auto"/>
              </w:rPr>
            </w:pPr>
            <w:r>
              <w:rPr>
                <w:rFonts w:ascii="Arial" w:cs="Arial" w:eastAsia="Arial" w:hAnsi="Arial"/>
                <w:sz w:val="12"/>
                <w:szCs w:val="12"/>
                <w:color w:val="auto"/>
              </w:rPr>
              <w:t>LISTING</w:t>
            </w:r>
          </w:p>
        </w:tc>
        <w:tc>
          <w:tcPr>
            <w:tcW w:w="8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9.8</w:t>
            </w:r>
          </w:p>
        </w:tc>
        <w:tc>
          <w:tcPr>
            <w:tcW w:w="5920" w:type="dxa"/>
            <w:vAlign w:val="bottom"/>
          </w:tcPr>
          <w:p>
            <w:pPr>
              <w:ind w:left="100"/>
              <w:spacing w:after="0"/>
              <w:rPr>
                <w:sz w:val="20"/>
                <w:szCs w:val="20"/>
                <w:color w:val="auto"/>
              </w:rPr>
            </w:pPr>
            <w:r>
              <w:rPr>
                <w:rFonts w:ascii="Arial" w:cs="Arial" w:eastAsia="Arial" w:hAnsi="Arial"/>
                <w:sz w:val="12"/>
                <w:szCs w:val="12"/>
                <w:color w:val="auto"/>
              </w:rPr>
              <w:t>D&amp;O POLICY</w:t>
            </w:r>
          </w:p>
        </w:tc>
        <w:tc>
          <w:tcPr>
            <w:tcW w:w="8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9.9</w:t>
            </w:r>
          </w:p>
        </w:tc>
        <w:tc>
          <w:tcPr>
            <w:tcW w:w="5920" w:type="dxa"/>
            <w:vAlign w:val="bottom"/>
          </w:tcPr>
          <w:p>
            <w:pPr>
              <w:ind w:left="100"/>
              <w:spacing w:after="0"/>
              <w:rPr>
                <w:sz w:val="20"/>
                <w:szCs w:val="20"/>
                <w:color w:val="auto"/>
              </w:rPr>
            </w:pPr>
            <w:r>
              <w:rPr>
                <w:rFonts w:ascii="Arial" w:cs="Arial" w:eastAsia="Arial" w:hAnsi="Arial"/>
                <w:sz w:val="12"/>
                <w:szCs w:val="12"/>
                <w:color w:val="auto"/>
              </w:rPr>
              <w:t>FRUSTRATION OF CLOSING CONDITIONS</w:t>
            </w:r>
          </w:p>
        </w:tc>
        <w:tc>
          <w:tcPr>
            <w:tcW w:w="8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7"/>
        </w:trPr>
        <w:tc>
          <w:tcPr>
            <w:tcW w:w="6460" w:type="dxa"/>
            <w:vAlign w:val="bottom"/>
            <w:gridSpan w:val="2"/>
          </w:tcPr>
          <w:p>
            <w:pPr>
              <w:spacing w:after="0"/>
              <w:rPr>
                <w:sz w:val="20"/>
                <w:szCs w:val="20"/>
                <w:color w:val="auto"/>
              </w:rPr>
            </w:pPr>
            <w:r>
              <w:rPr>
                <w:rFonts w:ascii="Arial" w:cs="Arial" w:eastAsia="Arial" w:hAnsi="Arial"/>
                <w:sz w:val="12"/>
                <w:szCs w:val="12"/>
                <w:color w:val="auto"/>
              </w:rPr>
              <w:t>SECTION 10. TERMINATION</w:t>
            </w:r>
          </w:p>
        </w:tc>
        <w:tc>
          <w:tcPr>
            <w:tcW w:w="8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10.1</w:t>
            </w:r>
          </w:p>
        </w:tc>
        <w:tc>
          <w:tcPr>
            <w:tcW w:w="5920" w:type="dxa"/>
            <w:vAlign w:val="bottom"/>
          </w:tcPr>
          <w:p>
            <w:pPr>
              <w:ind w:left="100"/>
              <w:spacing w:after="0"/>
              <w:rPr>
                <w:sz w:val="20"/>
                <w:szCs w:val="20"/>
                <w:color w:val="auto"/>
              </w:rPr>
            </w:pPr>
            <w:r>
              <w:rPr>
                <w:rFonts w:ascii="Arial" w:cs="Arial" w:eastAsia="Arial" w:hAnsi="Arial"/>
                <w:sz w:val="12"/>
                <w:szCs w:val="12"/>
                <w:color w:val="auto"/>
              </w:rPr>
              <w:t>TERMINATION</w:t>
            </w:r>
          </w:p>
        </w:tc>
        <w:tc>
          <w:tcPr>
            <w:tcW w:w="8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10.2</w:t>
            </w:r>
          </w:p>
        </w:tc>
        <w:tc>
          <w:tcPr>
            <w:tcW w:w="5920" w:type="dxa"/>
            <w:vAlign w:val="bottom"/>
          </w:tcPr>
          <w:p>
            <w:pPr>
              <w:ind w:left="100"/>
              <w:spacing w:after="0"/>
              <w:rPr>
                <w:sz w:val="20"/>
                <w:szCs w:val="20"/>
                <w:color w:val="auto"/>
              </w:rPr>
            </w:pPr>
            <w:r>
              <w:rPr>
                <w:rFonts w:ascii="Arial" w:cs="Arial" w:eastAsia="Arial" w:hAnsi="Arial"/>
                <w:sz w:val="12"/>
                <w:szCs w:val="12"/>
                <w:color w:val="auto"/>
              </w:rPr>
              <w:t>EFFECT OF TERMINATION</w:t>
            </w:r>
          </w:p>
        </w:tc>
        <w:tc>
          <w:tcPr>
            <w:tcW w:w="86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10.3</w:t>
            </w:r>
          </w:p>
        </w:tc>
        <w:tc>
          <w:tcPr>
            <w:tcW w:w="5920" w:type="dxa"/>
            <w:vAlign w:val="bottom"/>
          </w:tcPr>
          <w:p>
            <w:pPr>
              <w:ind w:left="100"/>
              <w:spacing w:after="0"/>
              <w:rPr>
                <w:sz w:val="20"/>
                <w:szCs w:val="20"/>
                <w:color w:val="auto"/>
              </w:rPr>
            </w:pPr>
            <w:r>
              <w:rPr>
                <w:rFonts w:ascii="Arial" w:cs="Arial" w:eastAsia="Arial" w:hAnsi="Arial"/>
                <w:sz w:val="12"/>
                <w:szCs w:val="12"/>
                <w:color w:val="auto"/>
              </w:rPr>
              <w:t>EXPENSES; TERMINATION FEES</w:t>
            </w:r>
          </w:p>
        </w:tc>
        <w:tc>
          <w:tcPr>
            <w:tcW w:w="86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7"/>
        </w:trPr>
        <w:tc>
          <w:tcPr>
            <w:tcW w:w="6460" w:type="dxa"/>
            <w:vAlign w:val="bottom"/>
            <w:gridSpan w:val="2"/>
          </w:tcPr>
          <w:p>
            <w:pPr>
              <w:spacing w:after="0"/>
              <w:rPr>
                <w:sz w:val="20"/>
                <w:szCs w:val="20"/>
                <w:color w:val="auto"/>
              </w:rPr>
            </w:pPr>
            <w:r>
              <w:rPr>
                <w:rFonts w:ascii="Arial" w:cs="Arial" w:eastAsia="Arial" w:hAnsi="Arial"/>
                <w:sz w:val="12"/>
                <w:szCs w:val="12"/>
                <w:color w:val="auto"/>
              </w:rPr>
              <w:t>SECTION 11. MISCELLANEOUS PROVISIONS</w:t>
            </w:r>
          </w:p>
        </w:tc>
        <w:tc>
          <w:tcPr>
            <w:tcW w:w="86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11.1</w:t>
            </w:r>
          </w:p>
        </w:tc>
        <w:tc>
          <w:tcPr>
            <w:tcW w:w="5920" w:type="dxa"/>
            <w:vAlign w:val="bottom"/>
          </w:tcPr>
          <w:p>
            <w:pPr>
              <w:ind w:left="100"/>
              <w:spacing w:after="0"/>
              <w:rPr>
                <w:sz w:val="20"/>
                <w:szCs w:val="20"/>
                <w:color w:val="auto"/>
              </w:rPr>
            </w:pPr>
            <w:r>
              <w:rPr>
                <w:rFonts w:ascii="Arial" w:cs="Arial" w:eastAsia="Arial" w:hAnsi="Arial"/>
                <w:sz w:val="12"/>
                <w:szCs w:val="12"/>
                <w:color w:val="auto"/>
              </w:rPr>
              <w:t>NON-SURVIVAL OF REPRESENTATIONS AND WARRANTIES</w:t>
            </w:r>
          </w:p>
        </w:tc>
        <w:tc>
          <w:tcPr>
            <w:tcW w:w="86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11.2</w:t>
            </w:r>
          </w:p>
        </w:tc>
        <w:tc>
          <w:tcPr>
            <w:tcW w:w="5920" w:type="dxa"/>
            <w:vAlign w:val="bottom"/>
          </w:tcPr>
          <w:p>
            <w:pPr>
              <w:ind w:left="100"/>
              <w:spacing w:after="0"/>
              <w:rPr>
                <w:sz w:val="20"/>
                <w:szCs w:val="20"/>
                <w:color w:val="auto"/>
              </w:rPr>
            </w:pPr>
            <w:r>
              <w:rPr>
                <w:rFonts w:ascii="Arial" w:cs="Arial" w:eastAsia="Arial" w:hAnsi="Arial"/>
                <w:sz w:val="12"/>
                <w:szCs w:val="12"/>
                <w:color w:val="auto"/>
              </w:rPr>
              <w:t>AMENDMENT</w:t>
            </w:r>
          </w:p>
        </w:tc>
        <w:tc>
          <w:tcPr>
            <w:tcW w:w="86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11.3</w:t>
            </w:r>
          </w:p>
        </w:tc>
        <w:tc>
          <w:tcPr>
            <w:tcW w:w="5920" w:type="dxa"/>
            <w:vAlign w:val="bottom"/>
          </w:tcPr>
          <w:p>
            <w:pPr>
              <w:ind w:left="100"/>
              <w:spacing w:after="0"/>
              <w:rPr>
                <w:sz w:val="20"/>
                <w:szCs w:val="20"/>
                <w:color w:val="auto"/>
              </w:rPr>
            </w:pPr>
            <w:r>
              <w:rPr>
                <w:rFonts w:ascii="Arial" w:cs="Arial" w:eastAsia="Arial" w:hAnsi="Arial"/>
                <w:sz w:val="12"/>
                <w:szCs w:val="12"/>
                <w:color w:val="auto"/>
              </w:rPr>
              <w:t>WAIVER</w:t>
            </w:r>
          </w:p>
        </w:tc>
        <w:tc>
          <w:tcPr>
            <w:tcW w:w="86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217"/>
        </w:trPr>
        <w:tc>
          <w:tcPr>
            <w:tcW w:w="540" w:type="dxa"/>
            <w:vAlign w:val="bottom"/>
          </w:tcPr>
          <w:p>
            <w:pPr>
              <w:ind w:left="240"/>
              <w:spacing w:after="0"/>
              <w:rPr>
                <w:sz w:val="20"/>
                <w:szCs w:val="20"/>
                <w:color w:val="auto"/>
              </w:rPr>
            </w:pPr>
            <w:r>
              <w:rPr>
                <w:rFonts w:ascii="Arial" w:cs="Arial" w:eastAsia="Arial" w:hAnsi="Arial"/>
                <w:sz w:val="12"/>
                <w:szCs w:val="12"/>
                <w:color w:val="auto"/>
              </w:rPr>
              <w:t>11.4</w:t>
            </w:r>
          </w:p>
        </w:tc>
        <w:tc>
          <w:tcPr>
            <w:tcW w:w="5920" w:type="dxa"/>
            <w:vAlign w:val="bottom"/>
          </w:tcPr>
          <w:p>
            <w:pPr>
              <w:ind w:left="100"/>
              <w:spacing w:after="0"/>
              <w:rPr>
                <w:sz w:val="20"/>
                <w:szCs w:val="20"/>
                <w:color w:val="auto"/>
              </w:rPr>
            </w:pPr>
            <w:r>
              <w:rPr>
                <w:rFonts w:ascii="Arial" w:cs="Arial" w:eastAsia="Arial" w:hAnsi="Arial"/>
                <w:sz w:val="12"/>
                <w:szCs w:val="12"/>
                <w:color w:val="auto"/>
              </w:rPr>
              <w:t>ENTIRE AGREEMENT; COUNTERPARTS; EXCHANGES BY FACSIMILE</w:t>
            </w:r>
          </w:p>
        </w:tc>
        <w:tc>
          <w:tcPr>
            <w:tcW w:w="86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244"/>
        </w:trPr>
        <w:tc>
          <w:tcPr>
            <w:tcW w:w="540" w:type="dxa"/>
            <w:vAlign w:val="bottom"/>
          </w:tcPr>
          <w:p>
            <w:pPr>
              <w:spacing w:after="0"/>
              <w:rPr>
                <w:sz w:val="21"/>
                <w:szCs w:val="21"/>
                <w:color w:val="auto"/>
              </w:rPr>
            </w:pPr>
          </w:p>
        </w:tc>
        <w:tc>
          <w:tcPr>
            <w:tcW w:w="5920" w:type="dxa"/>
            <w:vAlign w:val="bottom"/>
          </w:tcPr>
          <w:p>
            <w:pPr>
              <w:ind w:left="3100"/>
              <w:spacing w:after="0"/>
              <w:rPr>
                <w:sz w:val="20"/>
                <w:szCs w:val="20"/>
                <w:color w:val="auto"/>
              </w:rPr>
            </w:pPr>
            <w:r>
              <w:rPr>
                <w:rFonts w:ascii="Arial" w:cs="Arial" w:eastAsia="Arial" w:hAnsi="Arial"/>
                <w:sz w:val="12"/>
                <w:szCs w:val="12"/>
                <w:color w:val="auto"/>
              </w:rPr>
              <w:t>4</w:t>
            </w:r>
          </w:p>
        </w:tc>
        <w:tc>
          <w:tcPr>
            <w:tcW w:w="86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2" w:name="page13"/>
    <w:bookmarkEnd w:id="12"/>
    <w:tbl>
      <w:tblPr>
        <w:tblLayout w:type="fixed"/>
        <w:tblInd w:w="840" w:type="dxa"/>
        <w:tblCellMar>
          <w:top w:w="0" w:type="dxa"/>
          <w:left w:w="0" w:type="dxa"/>
          <w:bottom w:w="0" w:type="dxa"/>
          <w:right w:w="0" w:type="dxa"/>
        </w:tblCellMar>
      </w:tblPr>
      <w:tr>
        <w:trPr>
          <w:trHeight w:val="153"/>
        </w:trPr>
        <w:tc>
          <w:tcPr>
            <w:tcW w:w="560" w:type="dxa"/>
            <w:vAlign w:val="bottom"/>
          </w:tcPr>
          <w:p>
            <w:pPr>
              <w:ind w:left="240"/>
              <w:spacing w:after="0"/>
              <w:rPr>
                <w:sz w:val="20"/>
                <w:szCs w:val="20"/>
                <w:color w:val="auto"/>
              </w:rPr>
            </w:pPr>
            <w:r>
              <w:rPr>
                <w:rFonts w:ascii="Arial" w:cs="Arial" w:eastAsia="Arial" w:hAnsi="Arial"/>
                <w:sz w:val="12"/>
                <w:szCs w:val="12"/>
                <w:color w:val="auto"/>
              </w:rPr>
              <w:t>11.5</w:t>
            </w:r>
          </w:p>
        </w:tc>
        <w:tc>
          <w:tcPr>
            <w:tcW w:w="2840" w:type="dxa"/>
            <w:vAlign w:val="bottom"/>
          </w:tcPr>
          <w:p>
            <w:pPr>
              <w:ind w:left="80"/>
              <w:spacing w:after="0"/>
              <w:rPr>
                <w:sz w:val="20"/>
                <w:szCs w:val="20"/>
                <w:color w:val="auto"/>
              </w:rPr>
            </w:pPr>
            <w:r>
              <w:rPr>
                <w:rFonts w:ascii="Arial" w:cs="Arial" w:eastAsia="Arial" w:hAnsi="Arial"/>
                <w:sz w:val="12"/>
                <w:szCs w:val="12"/>
                <w:color w:val="auto"/>
              </w:rPr>
              <w:t>APPLICABLE LAW; JURISDICTION</w:t>
            </w:r>
          </w:p>
        </w:tc>
        <w:tc>
          <w:tcPr>
            <w:tcW w:w="392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17"/>
        </w:trPr>
        <w:tc>
          <w:tcPr>
            <w:tcW w:w="560" w:type="dxa"/>
            <w:vAlign w:val="bottom"/>
          </w:tcPr>
          <w:p>
            <w:pPr>
              <w:ind w:left="240"/>
              <w:spacing w:after="0"/>
              <w:rPr>
                <w:sz w:val="20"/>
                <w:szCs w:val="20"/>
                <w:color w:val="auto"/>
              </w:rPr>
            </w:pPr>
            <w:r>
              <w:rPr>
                <w:rFonts w:ascii="Arial" w:cs="Arial" w:eastAsia="Arial" w:hAnsi="Arial"/>
                <w:sz w:val="12"/>
                <w:szCs w:val="12"/>
                <w:color w:val="auto"/>
              </w:rPr>
              <w:t>11.6</w:t>
            </w:r>
          </w:p>
        </w:tc>
        <w:tc>
          <w:tcPr>
            <w:tcW w:w="2840" w:type="dxa"/>
            <w:vAlign w:val="bottom"/>
          </w:tcPr>
          <w:p>
            <w:pPr>
              <w:ind w:left="80"/>
              <w:spacing w:after="0"/>
              <w:rPr>
                <w:sz w:val="20"/>
                <w:szCs w:val="20"/>
                <w:color w:val="auto"/>
              </w:rPr>
            </w:pPr>
            <w:r>
              <w:rPr>
                <w:rFonts w:ascii="Arial" w:cs="Arial" w:eastAsia="Arial" w:hAnsi="Arial"/>
                <w:sz w:val="12"/>
                <w:szCs w:val="12"/>
                <w:color w:val="auto"/>
              </w:rPr>
              <w:t>ASSIGNABILITY</w:t>
            </w:r>
          </w:p>
        </w:tc>
        <w:tc>
          <w:tcPr>
            <w:tcW w:w="392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17"/>
        </w:trPr>
        <w:tc>
          <w:tcPr>
            <w:tcW w:w="560" w:type="dxa"/>
            <w:vAlign w:val="bottom"/>
          </w:tcPr>
          <w:p>
            <w:pPr>
              <w:ind w:left="240"/>
              <w:spacing w:after="0"/>
              <w:rPr>
                <w:sz w:val="20"/>
                <w:szCs w:val="20"/>
                <w:color w:val="auto"/>
              </w:rPr>
            </w:pPr>
            <w:r>
              <w:rPr>
                <w:rFonts w:ascii="Arial" w:cs="Arial" w:eastAsia="Arial" w:hAnsi="Arial"/>
                <w:sz w:val="12"/>
                <w:szCs w:val="12"/>
                <w:color w:val="auto"/>
              </w:rPr>
              <w:t>11.7</w:t>
            </w:r>
          </w:p>
        </w:tc>
        <w:tc>
          <w:tcPr>
            <w:tcW w:w="2840" w:type="dxa"/>
            <w:vAlign w:val="bottom"/>
          </w:tcPr>
          <w:p>
            <w:pPr>
              <w:ind w:left="80"/>
              <w:spacing w:after="0"/>
              <w:rPr>
                <w:sz w:val="20"/>
                <w:szCs w:val="20"/>
                <w:color w:val="auto"/>
              </w:rPr>
            </w:pPr>
            <w:r>
              <w:rPr>
                <w:rFonts w:ascii="Arial" w:cs="Arial" w:eastAsia="Arial" w:hAnsi="Arial"/>
                <w:sz w:val="12"/>
                <w:szCs w:val="12"/>
                <w:color w:val="auto"/>
              </w:rPr>
              <w:t>NOTICES</w:t>
            </w:r>
          </w:p>
        </w:tc>
        <w:tc>
          <w:tcPr>
            <w:tcW w:w="392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17"/>
        </w:trPr>
        <w:tc>
          <w:tcPr>
            <w:tcW w:w="560" w:type="dxa"/>
            <w:vAlign w:val="bottom"/>
          </w:tcPr>
          <w:p>
            <w:pPr>
              <w:ind w:left="240"/>
              <w:spacing w:after="0"/>
              <w:rPr>
                <w:sz w:val="20"/>
                <w:szCs w:val="20"/>
                <w:color w:val="auto"/>
              </w:rPr>
            </w:pPr>
            <w:r>
              <w:rPr>
                <w:rFonts w:ascii="Arial" w:cs="Arial" w:eastAsia="Arial" w:hAnsi="Arial"/>
                <w:sz w:val="12"/>
                <w:szCs w:val="12"/>
                <w:color w:val="auto"/>
              </w:rPr>
              <w:t>11.8</w:t>
            </w:r>
          </w:p>
        </w:tc>
        <w:tc>
          <w:tcPr>
            <w:tcW w:w="2840" w:type="dxa"/>
            <w:vAlign w:val="bottom"/>
          </w:tcPr>
          <w:p>
            <w:pPr>
              <w:ind w:left="80"/>
              <w:spacing w:after="0"/>
              <w:rPr>
                <w:sz w:val="20"/>
                <w:szCs w:val="20"/>
                <w:color w:val="auto"/>
              </w:rPr>
            </w:pPr>
            <w:r>
              <w:rPr>
                <w:rFonts w:ascii="Arial" w:cs="Arial" w:eastAsia="Arial" w:hAnsi="Arial"/>
                <w:sz w:val="12"/>
                <w:szCs w:val="12"/>
                <w:color w:val="auto"/>
              </w:rPr>
              <w:t>COOPERATION</w:t>
            </w:r>
          </w:p>
        </w:tc>
        <w:tc>
          <w:tcPr>
            <w:tcW w:w="392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17"/>
        </w:trPr>
        <w:tc>
          <w:tcPr>
            <w:tcW w:w="560" w:type="dxa"/>
            <w:vAlign w:val="bottom"/>
          </w:tcPr>
          <w:p>
            <w:pPr>
              <w:ind w:left="240"/>
              <w:spacing w:after="0"/>
              <w:rPr>
                <w:sz w:val="20"/>
                <w:szCs w:val="20"/>
                <w:color w:val="auto"/>
              </w:rPr>
            </w:pPr>
            <w:r>
              <w:rPr>
                <w:rFonts w:ascii="Arial" w:cs="Arial" w:eastAsia="Arial" w:hAnsi="Arial"/>
                <w:sz w:val="12"/>
                <w:szCs w:val="12"/>
                <w:color w:val="auto"/>
              </w:rPr>
              <w:t>11.9</w:t>
            </w:r>
          </w:p>
        </w:tc>
        <w:tc>
          <w:tcPr>
            <w:tcW w:w="2840" w:type="dxa"/>
            <w:vAlign w:val="bottom"/>
          </w:tcPr>
          <w:p>
            <w:pPr>
              <w:ind w:left="80"/>
              <w:spacing w:after="0"/>
              <w:rPr>
                <w:sz w:val="20"/>
                <w:szCs w:val="20"/>
                <w:color w:val="auto"/>
              </w:rPr>
            </w:pPr>
            <w:r>
              <w:rPr>
                <w:rFonts w:ascii="Arial" w:cs="Arial" w:eastAsia="Arial" w:hAnsi="Arial"/>
                <w:sz w:val="12"/>
                <w:szCs w:val="12"/>
                <w:color w:val="auto"/>
              </w:rPr>
              <w:t>SEVERABILITY</w:t>
            </w:r>
          </w:p>
        </w:tc>
        <w:tc>
          <w:tcPr>
            <w:tcW w:w="392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17"/>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11.10</w:t>
            </w:r>
          </w:p>
        </w:tc>
        <w:tc>
          <w:tcPr>
            <w:tcW w:w="2840" w:type="dxa"/>
            <w:vAlign w:val="bottom"/>
          </w:tcPr>
          <w:p>
            <w:pPr>
              <w:ind w:left="80"/>
              <w:spacing w:after="0"/>
              <w:rPr>
                <w:sz w:val="20"/>
                <w:szCs w:val="20"/>
                <w:color w:val="auto"/>
              </w:rPr>
            </w:pPr>
            <w:r>
              <w:rPr>
                <w:rFonts w:ascii="Arial" w:cs="Arial" w:eastAsia="Arial" w:hAnsi="Arial"/>
                <w:sz w:val="12"/>
                <w:szCs w:val="12"/>
                <w:color w:val="auto"/>
              </w:rPr>
              <w:t>OTHER REMEDIES; SPECIFIC PERFORMANCE</w:t>
            </w:r>
          </w:p>
        </w:tc>
        <w:tc>
          <w:tcPr>
            <w:tcW w:w="392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17"/>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11.11</w:t>
            </w:r>
          </w:p>
        </w:tc>
        <w:tc>
          <w:tcPr>
            <w:tcW w:w="2840" w:type="dxa"/>
            <w:vAlign w:val="bottom"/>
          </w:tcPr>
          <w:p>
            <w:pPr>
              <w:ind w:left="80"/>
              <w:spacing w:after="0"/>
              <w:rPr>
                <w:sz w:val="20"/>
                <w:szCs w:val="20"/>
                <w:color w:val="auto"/>
              </w:rPr>
            </w:pPr>
            <w:r>
              <w:rPr>
                <w:rFonts w:ascii="Arial" w:cs="Arial" w:eastAsia="Arial" w:hAnsi="Arial"/>
                <w:sz w:val="12"/>
                <w:szCs w:val="12"/>
                <w:color w:val="auto"/>
              </w:rPr>
              <w:t>NO THIRD PARTY BENEFICIARIES</w:t>
            </w:r>
          </w:p>
        </w:tc>
        <w:tc>
          <w:tcPr>
            <w:tcW w:w="392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17"/>
        </w:trPr>
        <w:tc>
          <w:tcPr>
            <w:tcW w:w="560" w:type="dxa"/>
            <w:vAlign w:val="bottom"/>
          </w:tcPr>
          <w:p>
            <w:pPr>
              <w:ind w:left="240"/>
              <w:spacing w:after="0"/>
              <w:rPr>
                <w:sz w:val="20"/>
                <w:szCs w:val="20"/>
                <w:color w:val="auto"/>
              </w:rPr>
            </w:pPr>
            <w:r>
              <w:rPr>
                <w:rFonts w:ascii="Arial" w:cs="Arial" w:eastAsia="Arial" w:hAnsi="Arial"/>
                <w:sz w:val="12"/>
                <w:szCs w:val="12"/>
                <w:color w:val="auto"/>
                <w:w w:val="99"/>
              </w:rPr>
              <w:t>11.12</w:t>
            </w:r>
          </w:p>
        </w:tc>
        <w:tc>
          <w:tcPr>
            <w:tcW w:w="2840" w:type="dxa"/>
            <w:vAlign w:val="bottom"/>
          </w:tcPr>
          <w:p>
            <w:pPr>
              <w:ind w:left="80"/>
              <w:spacing w:after="0"/>
              <w:rPr>
                <w:sz w:val="20"/>
                <w:szCs w:val="20"/>
                <w:color w:val="auto"/>
              </w:rPr>
            </w:pPr>
            <w:r>
              <w:rPr>
                <w:rFonts w:ascii="Arial" w:cs="Arial" w:eastAsia="Arial" w:hAnsi="Arial"/>
                <w:sz w:val="12"/>
                <w:szCs w:val="12"/>
                <w:color w:val="auto"/>
              </w:rPr>
              <w:t>HOLDINGS’ GUARANTEE</w:t>
            </w:r>
          </w:p>
        </w:tc>
        <w:tc>
          <w:tcPr>
            <w:tcW w:w="392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307"/>
        </w:trPr>
        <w:tc>
          <w:tcPr>
            <w:tcW w:w="560" w:type="dxa"/>
            <w:vAlign w:val="bottom"/>
          </w:tcPr>
          <w:p>
            <w:pPr>
              <w:spacing w:after="0"/>
              <w:rPr>
                <w:sz w:val="20"/>
                <w:szCs w:val="20"/>
                <w:color w:val="auto"/>
              </w:rPr>
            </w:pPr>
            <w:r>
              <w:rPr>
                <w:rFonts w:ascii="Arial" w:cs="Arial" w:eastAsia="Arial" w:hAnsi="Arial"/>
                <w:sz w:val="12"/>
                <w:szCs w:val="12"/>
                <w:b w:val="1"/>
                <w:bCs w:val="1"/>
                <w:color w:val="auto"/>
              </w:rPr>
              <w:t>Exhibits:</w:t>
            </w:r>
          </w:p>
        </w:tc>
        <w:tc>
          <w:tcPr>
            <w:tcW w:w="28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7"/>
        </w:trPr>
        <w:tc>
          <w:tcPr>
            <w:tcW w:w="560" w:type="dxa"/>
            <w:vAlign w:val="bottom"/>
          </w:tcPr>
          <w:p>
            <w:pPr>
              <w:spacing w:after="0"/>
              <w:rPr>
                <w:sz w:val="20"/>
                <w:szCs w:val="20"/>
                <w:color w:val="auto"/>
              </w:rPr>
            </w:pPr>
            <w:r>
              <w:rPr>
                <w:rFonts w:ascii="Arial" w:cs="Arial" w:eastAsia="Arial" w:hAnsi="Arial"/>
                <w:sz w:val="12"/>
                <w:szCs w:val="12"/>
                <w:color w:val="auto"/>
              </w:rPr>
              <w:t>Exhibit A</w:t>
            </w:r>
          </w:p>
        </w:tc>
        <w:tc>
          <w:tcPr>
            <w:tcW w:w="2840" w:type="dxa"/>
            <w:vAlign w:val="bottom"/>
          </w:tcPr>
          <w:p>
            <w:pPr>
              <w:ind w:left="180"/>
              <w:spacing w:after="0"/>
              <w:rPr>
                <w:sz w:val="20"/>
                <w:szCs w:val="20"/>
                <w:color w:val="auto"/>
              </w:rPr>
            </w:pPr>
            <w:r>
              <w:rPr>
                <w:rFonts w:ascii="Arial" w:cs="Arial" w:eastAsia="Arial" w:hAnsi="Arial"/>
                <w:sz w:val="12"/>
                <w:szCs w:val="12"/>
                <w:color w:val="auto"/>
              </w:rPr>
              <w:t>Form of Zordich Stockholder Support Agreement</w:t>
            </w:r>
          </w:p>
        </w:tc>
        <w:tc>
          <w:tcPr>
            <w:tcW w:w="3920" w:type="dxa"/>
            <w:vAlign w:val="bottom"/>
          </w:tcPr>
          <w:p>
            <w:pPr>
              <w:spacing w:after="0"/>
              <w:rPr>
                <w:sz w:val="18"/>
                <w:szCs w:val="18"/>
                <w:color w:val="auto"/>
              </w:rPr>
            </w:pPr>
          </w:p>
        </w:tc>
      </w:tr>
      <w:tr>
        <w:trPr>
          <w:trHeight w:val="217"/>
        </w:trPr>
        <w:tc>
          <w:tcPr>
            <w:tcW w:w="560" w:type="dxa"/>
            <w:vAlign w:val="bottom"/>
          </w:tcPr>
          <w:p>
            <w:pPr>
              <w:spacing w:after="0"/>
              <w:rPr>
                <w:sz w:val="20"/>
                <w:szCs w:val="20"/>
                <w:color w:val="auto"/>
              </w:rPr>
            </w:pPr>
            <w:r>
              <w:rPr>
                <w:rFonts w:ascii="Arial" w:cs="Arial" w:eastAsia="Arial" w:hAnsi="Arial"/>
                <w:sz w:val="12"/>
                <w:szCs w:val="12"/>
                <w:color w:val="auto"/>
              </w:rPr>
              <w:t>Exhibit B</w:t>
            </w:r>
          </w:p>
        </w:tc>
        <w:tc>
          <w:tcPr>
            <w:tcW w:w="2840" w:type="dxa"/>
            <w:vAlign w:val="bottom"/>
          </w:tcPr>
          <w:p>
            <w:pPr>
              <w:ind w:left="180"/>
              <w:spacing w:after="0"/>
              <w:rPr>
                <w:sz w:val="20"/>
                <w:szCs w:val="20"/>
                <w:color w:val="auto"/>
              </w:rPr>
            </w:pPr>
            <w:r>
              <w:rPr>
                <w:rFonts w:ascii="Arial" w:cs="Arial" w:eastAsia="Arial" w:hAnsi="Arial"/>
                <w:sz w:val="12"/>
                <w:szCs w:val="12"/>
                <w:color w:val="auto"/>
              </w:rPr>
              <w:t>Form of Lock-Up Agreement</w:t>
            </w:r>
          </w:p>
        </w:tc>
        <w:tc>
          <w:tcPr>
            <w:tcW w:w="3920" w:type="dxa"/>
            <w:vAlign w:val="bottom"/>
          </w:tcPr>
          <w:p>
            <w:pPr>
              <w:spacing w:after="0"/>
              <w:rPr>
                <w:sz w:val="18"/>
                <w:szCs w:val="18"/>
                <w:color w:val="auto"/>
              </w:rPr>
            </w:pPr>
          </w:p>
        </w:tc>
      </w:tr>
      <w:tr>
        <w:trPr>
          <w:trHeight w:val="244"/>
        </w:trPr>
        <w:tc>
          <w:tcPr>
            <w:tcW w:w="5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920" w:type="dxa"/>
            <w:vAlign w:val="bottom"/>
          </w:tcPr>
          <w:p>
            <w:pPr>
              <w:jc w:val="right"/>
              <w:ind w:right="3560"/>
              <w:spacing w:after="0"/>
              <w:rPr>
                <w:sz w:val="20"/>
                <w:szCs w:val="20"/>
                <w:color w:val="auto"/>
              </w:rPr>
            </w:pPr>
            <w:r>
              <w:rPr>
                <w:rFonts w:ascii="Arial" w:cs="Arial" w:eastAsia="Arial" w:hAnsi="Arial"/>
                <w:sz w:val="12"/>
                <w:szCs w:val="12"/>
                <w:color w:val="auto"/>
              </w:rPr>
              <w:t>5</w:t>
            </w:r>
          </w:p>
        </w:tc>
      </w:tr>
    </w:tbl>
    <w:p>
      <w:pPr>
        <w:jc w:val="right"/>
        <w:ind w:right="3560"/>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13" w:name="page14"/>
    <w:bookmarkEnd w:id="13"/>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AGREEMENT AND PLAN OF MERGER</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1"/>
          <w:szCs w:val="11"/>
          <w:b w:val="1"/>
          <w:bCs w:val="1"/>
          <w:color w:val="auto"/>
        </w:rPr>
        <w:t>T</w:t>
      </w:r>
      <w:r>
        <w:rPr>
          <w:rFonts w:ascii="Arial" w:cs="Arial" w:eastAsia="Arial" w:hAnsi="Arial"/>
          <w:sz w:val="9"/>
          <w:szCs w:val="9"/>
          <w:b w:val="1"/>
          <w:bCs w:val="1"/>
          <w:color w:val="auto"/>
        </w:rPr>
        <w:t>HIS</w:t>
      </w:r>
      <w:r>
        <w:rPr>
          <w:rFonts w:ascii="Arial" w:cs="Arial" w:eastAsia="Arial" w:hAnsi="Arial"/>
          <w:sz w:val="11"/>
          <w:szCs w:val="11"/>
          <w:b w:val="1"/>
          <w:bCs w:val="1"/>
          <w:color w:val="auto"/>
        </w:rPr>
        <w:t xml:space="preserve"> A</w:t>
      </w:r>
      <w:r>
        <w:rPr>
          <w:rFonts w:ascii="Arial" w:cs="Arial" w:eastAsia="Arial" w:hAnsi="Arial"/>
          <w:sz w:val="9"/>
          <w:szCs w:val="9"/>
          <w:b w:val="1"/>
          <w:bCs w:val="1"/>
          <w:color w:val="auto"/>
        </w:rPr>
        <w:t>GREEMENT AND</w:t>
      </w:r>
      <w:r>
        <w:rPr>
          <w:rFonts w:ascii="Arial" w:cs="Arial" w:eastAsia="Arial" w:hAnsi="Arial"/>
          <w:sz w:val="11"/>
          <w:szCs w:val="11"/>
          <w:b w:val="1"/>
          <w:bCs w:val="1"/>
          <w:color w:val="auto"/>
        </w:rPr>
        <w:t xml:space="preserve"> P</w:t>
      </w:r>
      <w:r>
        <w:rPr>
          <w:rFonts w:ascii="Arial" w:cs="Arial" w:eastAsia="Arial" w:hAnsi="Arial"/>
          <w:sz w:val="9"/>
          <w:szCs w:val="9"/>
          <w:b w:val="1"/>
          <w:bCs w:val="1"/>
          <w:color w:val="auto"/>
        </w:rPr>
        <w:t>LAN OF</w:t>
      </w:r>
      <w:r>
        <w:rPr>
          <w:rFonts w:ascii="Arial" w:cs="Arial" w:eastAsia="Arial" w:hAnsi="Arial"/>
          <w:sz w:val="11"/>
          <w:szCs w:val="11"/>
          <w:b w:val="1"/>
          <w:bCs w:val="1"/>
          <w:color w:val="auto"/>
        </w:rPr>
        <w:t xml:space="preserve"> M</w:t>
      </w:r>
      <w:r>
        <w:rPr>
          <w:rFonts w:ascii="Arial" w:cs="Arial" w:eastAsia="Arial" w:hAnsi="Arial"/>
          <w:sz w:val="9"/>
          <w:szCs w:val="9"/>
          <w:b w:val="1"/>
          <w:bCs w:val="1"/>
          <w:color w:val="auto"/>
        </w:rPr>
        <w:t>ERGER</w:t>
      </w:r>
      <w:r>
        <w:rPr>
          <w:rFonts w:ascii="Arial" w:cs="Arial" w:eastAsia="Arial" w:hAnsi="Arial"/>
          <w:sz w:val="11"/>
          <w:szCs w:val="11"/>
          <w:b w:val="1"/>
          <w:bCs w:val="1"/>
          <w:color w:val="auto"/>
        </w:rPr>
        <w:t xml:space="preserve"> </w:t>
      </w:r>
      <w:r>
        <w:rPr>
          <w:rFonts w:ascii="Arial" w:cs="Arial" w:eastAsia="Arial" w:hAnsi="Arial"/>
          <w:sz w:val="11"/>
          <w:szCs w:val="11"/>
          <w:color w:val="auto"/>
        </w:rPr>
        <w:t>(this “</w:t>
      </w:r>
      <w:r>
        <w:rPr>
          <w:rFonts w:ascii="Arial" w:cs="Arial" w:eastAsia="Arial" w:hAnsi="Arial"/>
          <w:sz w:val="11"/>
          <w:szCs w:val="11"/>
          <w:b w:val="1"/>
          <w:bCs w:val="1"/>
          <w:color w:val="auto"/>
        </w:rPr>
        <w:t>Agreement</w:t>
      </w:r>
      <w:r>
        <w:rPr>
          <w:rFonts w:ascii="Arial" w:cs="Arial" w:eastAsia="Arial" w:hAnsi="Arial"/>
          <w:sz w:val="11"/>
          <w:szCs w:val="11"/>
          <w:color w:val="auto"/>
        </w:rPr>
        <w:t>”) is made and entered into as of December 17, 2019, by and among</w:t>
      </w:r>
      <w:r>
        <w:rPr>
          <w:rFonts w:ascii="Arial" w:cs="Arial" w:eastAsia="Arial" w:hAnsi="Arial"/>
          <w:sz w:val="11"/>
          <w:szCs w:val="11"/>
          <w:b w:val="1"/>
          <w:bCs w:val="1"/>
          <w:color w:val="auto"/>
        </w:rPr>
        <w:t xml:space="preserve"> Z</w:t>
      </w:r>
      <w:r>
        <w:rPr>
          <w:rFonts w:ascii="Arial" w:cs="Arial" w:eastAsia="Arial" w:hAnsi="Arial"/>
          <w:sz w:val="9"/>
          <w:szCs w:val="9"/>
          <w:b w:val="1"/>
          <w:bCs w:val="1"/>
          <w:color w:val="auto"/>
        </w:rPr>
        <w:t>AFGEN</w:t>
      </w:r>
      <w:r>
        <w:rPr>
          <w:rFonts w:ascii="Arial" w:cs="Arial" w:eastAsia="Arial" w:hAnsi="Arial"/>
          <w:sz w:val="11"/>
          <w:szCs w:val="11"/>
          <w:b w:val="1"/>
          <w:bCs w:val="1"/>
          <w:color w:val="auto"/>
        </w:rPr>
        <w:t>,</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I</w:t>
      </w:r>
      <w:r>
        <w:rPr>
          <w:rFonts w:ascii="Arial" w:cs="Arial" w:eastAsia="Arial" w:hAnsi="Arial"/>
          <w:sz w:val="9"/>
          <w:szCs w:val="9"/>
          <w:b w:val="1"/>
          <w:bCs w:val="1"/>
          <w:color w:val="auto"/>
        </w:rPr>
        <w:t>NC</w:t>
      </w:r>
      <w:r>
        <w:rPr>
          <w:rFonts w:ascii="Arial" w:cs="Arial" w:eastAsia="Arial" w:hAnsi="Arial"/>
          <w:sz w:val="11"/>
          <w:szCs w:val="11"/>
          <w:b w:val="1"/>
          <w:bCs w:val="1"/>
          <w:color w:val="auto"/>
        </w:rPr>
        <w:t>.</w:t>
      </w:r>
      <w:r>
        <w:rPr>
          <w:rFonts w:ascii="Arial" w:cs="Arial" w:eastAsia="Arial" w:hAnsi="Arial"/>
          <w:sz w:val="11"/>
          <w:szCs w:val="11"/>
          <w:color w:val="auto"/>
        </w:rPr>
        <w:t>, a Delaware corporation (“</w:t>
      </w:r>
      <w:r>
        <w:rPr>
          <w:rFonts w:ascii="Arial" w:cs="Arial" w:eastAsia="Arial" w:hAnsi="Arial"/>
          <w:sz w:val="11"/>
          <w:szCs w:val="11"/>
          <w:b w:val="1"/>
          <w:bCs w:val="1"/>
          <w:color w:val="auto"/>
        </w:rPr>
        <w:t>Zordich</w:t>
      </w:r>
      <w:r>
        <w:rPr>
          <w:rFonts w:ascii="Arial" w:cs="Arial" w:eastAsia="Arial" w:hAnsi="Arial"/>
          <w:sz w:val="11"/>
          <w:szCs w:val="11"/>
          <w:color w:val="auto"/>
        </w:rPr>
        <w:t>”);</w:t>
      </w:r>
      <w:r>
        <w:rPr>
          <w:rFonts w:ascii="Arial" w:cs="Arial" w:eastAsia="Arial" w:hAnsi="Arial"/>
          <w:sz w:val="11"/>
          <w:szCs w:val="11"/>
          <w:b w:val="1"/>
          <w:bCs w:val="1"/>
          <w:color w:val="auto"/>
        </w:rPr>
        <w:t xml:space="preserve"> Z</w:t>
      </w:r>
      <w:r>
        <w:rPr>
          <w:rFonts w:ascii="Arial" w:cs="Arial" w:eastAsia="Arial" w:hAnsi="Arial"/>
          <w:sz w:val="9"/>
          <w:szCs w:val="9"/>
          <w:b w:val="1"/>
          <w:bCs w:val="1"/>
          <w:color w:val="auto"/>
        </w:rPr>
        <w:t>ORDICH</w:t>
      </w:r>
      <w:r>
        <w:rPr>
          <w:rFonts w:ascii="Arial" w:cs="Arial" w:eastAsia="Arial" w:hAnsi="Arial"/>
          <w:sz w:val="11"/>
          <w:szCs w:val="11"/>
          <w:b w:val="1"/>
          <w:bCs w:val="1"/>
          <w:color w:val="auto"/>
        </w:rPr>
        <w:t xml:space="preserve"> M</w:t>
      </w:r>
      <w:r>
        <w:rPr>
          <w:rFonts w:ascii="Arial" w:cs="Arial" w:eastAsia="Arial" w:hAnsi="Arial"/>
          <w:sz w:val="9"/>
          <w:szCs w:val="9"/>
          <w:b w:val="1"/>
          <w:bCs w:val="1"/>
          <w:color w:val="auto"/>
        </w:rPr>
        <w:t>ERGER</w:t>
      </w:r>
      <w:r>
        <w:rPr>
          <w:rFonts w:ascii="Arial" w:cs="Arial" w:eastAsia="Arial" w:hAnsi="Arial"/>
          <w:sz w:val="11"/>
          <w:szCs w:val="11"/>
          <w:b w:val="1"/>
          <w:bCs w:val="1"/>
          <w:color w:val="auto"/>
        </w:rPr>
        <w:t xml:space="preserve"> S</w:t>
      </w:r>
      <w:r>
        <w:rPr>
          <w:rFonts w:ascii="Arial" w:cs="Arial" w:eastAsia="Arial" w:hAnsi="Arial"/>
          <w:sz w:val="9"/>
          <w:szCs w:val="9"/>
          <w:b w:val="1"/>
          <w:bCs w:val="1"/>
          <w:color w:val="auto"/>
        </w:rPr>
        <w:t>UB</w:t>
      </w:r>
      <w:r>
        <w:rPr>
          <w:rFonts w:ascii="Arial" w:cs="Arial" w:eastAsia="Arial" w:hAnsi="Arial"/>
          <w:sz w:val="11"/>
          <w:szCs w:val="11"/>
          <w:b w:val="1"/>
          <w:bCs w:val="1"/>
          <w:color w:val="auto"/>
        </w:rPr>
        <w:t>, I</w:t>
      </w:r>
      <w:r>
        <w:rPr>
          <w:rFonts w:ascii="Arial" w:cs="Arial" w:eastAsia="Arial" w:hAnsi="Arial"/>
          <w:sz w:val="9"/>
          <w:szCs w:val="9"/>
          <w:b w:val="1"/>
          <w:bCs w:val="1"/>
          <w:color w:val="auto"/>
        </w:rPr>
        <w:t>NC</w:t>
      </w:r>
      <w:r>
        <w:rPr>
          <w:rFonts w:ascii="Arial" w:cs="Arial" w:eastAsia="Arial" w:hAnsi="Arial"/>
          <w:sz w:val="11"/>
          <w:szCs w:val="11"/>
          <w:b w:val="1"/>
          <w:bCs w:val="1"/>
          <w:color w:val="auto"/>
        </w:rPr>
        <w:t>.</w:t>
      </w:r>
      <w:r>
        <w:rPr>
          <w:rFonts w:ascii="Arial" w:cs="Arial" w:eastAsia="Arial" w:hAnsi="Arial"/>
          <w:sz w:val="11"/>
          <w:szCs w:val="11"/>
          <w:color w:val="auto"/>
        </w:rPr>
        <w:t>, a Delaware corporation and wholly owned subsidiary of Zordich (“</w:t>
      </w:r>
      <w:r>
        <w:rPr>
          <w:rFonts w:ascii="Arial" w:cs="Arial" w:eastAsia="Arial" w:hAnsi="Arial"/>
          <w:sz w:val="11"/>
          <w:szCs w:val="11"/>
          <w:b w:val="1"/>
          <w:bCs w:val="1"/>
          <w:color w:val="auto"/>
        </w:rPr>
        <w:t>Merger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Sub</w:t>
      </w:r>
      <w:r>
        <w:rPr>
          <w:rFonts w:ascii="Arial" w:cs="Arial" w:eastAsia="Arial" w:hAnsi="Arial"/>
          <w:sz w:val="12"/>
          <w:szCs w:val="12"/>
          <w:color w:val="auto"/>
        </w:rPr>
        <w:t>”);</w:t>
      </w:r>
      <w:r>
        <w:rPr>
          <w:rFonts w:ascii="Arial" w:cs="Arial" w:eastAsia="Arial" w:hAnsi="Arial"/>
          <w:sz w:val="12"/>
          <w:szCs w:val="12"/>
          <w:b w:val="1"/>
          <w:bCs w:val="1"/>
          <w:color w:val="auto"/>
        </w:rPr>
        <w:t xml:space="preserve"> C</w:t>
      </w:r>
      <w:r>
        <w:rPr>
          <w:rFonts w:ascii="Arial" w:cs="Arial" w:eastAsia="Arial" w:hAnsi="Arial"/>
          <w:sz w:val="10"/>
          <w:szCs w:val="10"/>
          <w:b w:val="1"/>
          <w:bCs w:val="1"/>
          <w:color w:val="auto"/>
        </w:rPr>
        <w:t>HONDRIAL</w:t>
      </w:r>
      <w:r>
        <w:rPr>
          <w:rFonts w:ascii="Arial" w:cs="Arial" w:eastAsia="Arial" w:hAnsi="Arial"/>
          <w:sz w:val="12"/>
          <w:szCs w:val="12"/>
          <w:b w:val="1"/>
          <w:bCs w:val="1"/>
          <w:color w:val="auto"/>
        </w:rPr>
        <w:t xml:space="preserve"> T</w:t>
      </w:r>
      <w:r>
        <w:rPr>
          <w:rFonts w:ascii="Arial" w:cs="Arial" w:eastAsia="Arial" w:hAnsi="Arial"/>
          <w:sz w:val="10"/>
          <w:szCs w:val="10"/>
          <w:b w:val="1"/>
          <w:bCs w:val="1"/>
          <w:color w:val="auto"/>
        </w:rPr>
        <w:t>HERAPEUTICS</w:t>
      </w:r>
      <w:r>
        <w:rPr>
          <w:rFonts w:ascii="Arial" w:cs="Arial" w:eastAsia="Arial" w:hAnsi="Arial"/>
          <w:sz w:val="12"/>
          <w:szCs w:val="12"/>
          <w:b w:val="1"/>
          <w:bCs w:val="1"/>
          <w:color w:val="auto"/>
        </w:rPr>
        <w:t>, I</w:t>
      </w:r>
      <w:r>
        <w:rPr>
          <w:rFonts w:ascii="Arial" w:cs="Arial" w:eastAsia="Arial" w:hAnsi="Arial"/>
          <w:sz w:val="10"/>
          <w:szCs w:val="10"/>
          <w:b w:val="1"/>
          <w:bCs w:val="1"/>
          <w:color w:val="auto"/>
        </w:rPr>
        <w:t>NC</w:t>
      </w:r>
      <w:r>
        <w:rPr>
          <w:rFonts w:ascii="Arial" w:cs="Arial" w:eastAsia="Arial" w:hAnsi="Arial"/>
          <w:sz w:val="12"/>
          <w:szCs w:val="12"/>
          <w:b w:val="1"/>
          <w:bCs w:val="1"/>
          <w:color w:val="auto"/>
        </w:rPr>
        <w:t>.</w:t>
      </w:r>
      <w:r>
        <w:rPr>
          <w:rFonts w:ascii="Arial" w:cs="Arial" w:eastAsia="Arial" w:hAnsi="Arial"/>
          <w:sz w:val="12"/>
          <w:szCs w:val="12"/>
          <w:color w:val="auto"/>
        </w:rPr>
        <w:t>,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w:t>
      </w:r>
      <w:r>
        <w:rPr>
          <w:rFonts w:ascii="Arial" w:cs="Arial" w:eastAsia="Arial" w:hAnsi="Arial"/>
          <w:sz w:val="12"/>
          <w:szCs w:val="12"/>
          <w:b w:val="1"/>
          <w:bCs w:val="1"/>
          <w:color w:val="auto"/>
        </w:rPr>
        <w:t xml:space="preserve"> C</w:t>
      </w:r>
      <w:r>
        <w:rPr>
          <w:rFonts w:ascii="Arial" w:cs="Arial" w:eastAsia="Arial" w:hAnsi="Arial"/>
          <w:sz w:val="10"/>
          <w:szCs w:val="10"/>
          <w:b w:val="1"/>
          <w:bCs w:val="1"/>
          <w:color w:val="auto"/>
        </w:rPr>
        <w:t>HONDRIAL</w:t>
      </w:r>
      <w:r>
        <w:rPr>
          <w:rFonts w:ascii="Arial" w:cs="Arial" w:eastAsia="Arial" w:hAnsi="Arial"/>
          <w:sz w:val="12"/>
          <w:szCs w:val="12"/>
          <w:b w:val="1"/>
          <w:bCs w:val="1"/>
          <w:color w:val="auto"/>
        </w:rPr>
        <w:t xml:space="preserve"> T</w:t>
      </w:r>
      <w:r>
        <w:rPr>
          <w:rFonts w:ascii="Arial" w:cs="Arial" w:eastAsia="Arial" w:hAnsi="Arial"/>
          <w:sz w:val="10"/>
          <w:szCs w:val="10"/>
          <w:b w:val="1"/>
          <w:bCs w:val="1"/>
          <w:color w:val="auto"/>
        </w:rPr>
        <w:t>HERAPEUTICS</w:t>
      </w:r>
      <w:r>
        <w:rPr>
          <w:rFonts w:ascii="Arial" w:cs="Arial" w:eastAsia="Arial" w:hAnsi="Arial"/>
          <w:sz w:val="12"/>
          <w:szCs w:val="12"/>
          <w:b w:val="1"/>
          <w:bCs w:val="1"/>
          <w:color w:val="auto"/>
        </w:rPr>
        <w:t xml:space="preserve"> H</w:t>
      </w:r>
      <w:r>
        <w:rPr>
          <w:rFonts w:ascii="Arial" w:cs="Arial" w:eastAsia="Arial" w:hAnsi="Arial"/>
          <w:sz w:val="10"/>
          <w:szCs w:val="10"/>
          <w:b w:val="1"/>
          <w:bCs w:val="1"/>
          <w:color w:val="auto"/>
        </w:rPr>
        <w:t>OLDINGS</w:t>
      </w:r>
      <w:r>
        <w:rPr>
          <w:rFonts w:ascii="Arial" w:cs="Arial" w:eastAsia="Arial" w:hAnsi="Arial"/>
          <w:sz w:val="12"/>
          <w:szCs w:val="12"/>
          <w:b w:val="1"/>
          <w:bCs w:val="1"/>
          <w:color w:val="auto"/>
        </w:rPr>
        <w:t>, LLC</w:t>
      </w:r>
      <w:r>
        <w:rPr>
          <w:rFonts w:ascii="Arial" w:cs="Arial" w:eastAsia="Arial" w:hAnsi="Arial"/>
          <w:sz w:val="12"/>
          <w:szCs w:val="12"/>
          <w:color w:val="auto"/>
        </w:rPr>
        <w:t>, a</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Delaware limited liability company (“</w:t>
      </w:r>
      <w:r>
        <w:rPr>
          <w:rFonts w:ascii="Arial" w:cs="Arial" w:eastAsia="Arial" w:hAnsi="Arial"/>
          <w:sz w:val="12"/>
          <w:szCs w:val="12"/>
          <w:b w:val="1"/>
          <w:bCs w:val="1"/>
          <w:color w:val="auto"/>
        </w:rPr>
        <w:t>Holdings</w:t>
      </w:r>
      <w:r>
        <w:rPr>
          <w:rFonts w:ascii="Arial" w:cs="Arial" w:eastAsia="Arial" w:hAnsi="Arial"/>
          <w:sz w:val="12"/>
          <w:szCs w:val="12"/>
          <w:color w:val="auto"/>
        </w:rPr>
        <w:t xml:space="preserve">”). Certain capitalized terms used in this Agreement are defined in </w:t>
      </w:r>
      <w:r>
        <w:rPr>
          <w:rFonts w:ascii="Arial" w:cs="Arial" w:eastAsia="Arial" w:hAnsi="Arial"/>
          <w:sz w:val="12"/>
          <w:szCs w:val="12"/>
          <w:u w:val="single" w:color="auto"/>
          <w:color w:val="auto"/>
        </w:rPr>
        <w:t>Section 1</w:t>
      </w:r>
      <w:r>
        <w:rPr>
          <w:rFonts w:ascii="Arial" w:cs="Arial" w:eastAsia="Arial" w:hAnsi="Arial"/>
          <w:sz w:val="12"/>
          <w:szCs w:val="12"/>
          <w:color w:val="auto"/>
        </w:rPr>
        <w:t>.</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w:t>
      </w:r>
      <w:r>
        <w:rPr>
          <w:rFonts w:ascii="Arial" w:cs="Arial" w:eastAsia="Arial" w:hAnsi="Arial"/>
          <w:sz w:val="10"/>
          <w:szCs w:val="10"/>
          <w:b w:val="1"/>
          <w:bCs w:val="1"/>
          <w:color w:val="auto"/>
        </w:rPr>
        <w:t>ECITALS</w:t>
      </w:r>
    </w:p>
    <w:p>
      <w:pPr>
        <w:spacing w:after="0" w:line="151" w:lineRule="exact"/>
        <w:rPr>
          <w:sz w:val="20"/>
          <w:szCs w:val="20"/>
          <w:color w:val="auto"/>
        </w:rPr>
      </w:pPr>
    </w:p>
    <w:p>
      <w:pPr>
        <w:ind w:left="840" w:right="819" w:firstLine="285"/>
        <w:spacing w:after="0" w:line="267" w:lineRule="auto"/>
        <w:tabs>
          <w:tab w:leader="none" w:pos="1372" w:val="left"/>
        </w:tabs>
        <w:numPr>
          <w:ilvl w:val="0"/>
          <w:numId w:val="6"/>
        </w:numPr>
        <w:rPr>
          <w:rFonts w:ascii="Arial" w:cs="Arial" w:eastAsia="Arial" w:hAnsi="Arial"/>
          <w:sz w:val="12"/>
          <w:szCs w:val="12"/>
          <w:color w:val="auto"/>
        </w:rPr>
      </w:pPr>
      <w:r>
        <w:rPr>
          <w:rFonts w:ascii="Arial" w:cs="Arial" w:eastAsia="Arial" w:hAnsi="Arial"/>
          <w:sz w:val="12"/>
          <w:szCs w:val="12"/>
          <w:color w:val="auto"/>
        </w:rPr>
        <w:t>Zordich and the Company intend to effect a merger of Merger Sub with and into the Company (the “</w:t>
      </w:r>
      <w:r>
        <w:rPr>
          <w:rFonts w:ascii="Arial" w:cs="Arial" w:eastAsia="Arial" w:hAnsi="Arial"/>
          <w:sz w:val="12"/>
          <w:szCs w:val="12"/>
          <w:b w:val="1"/>
          <w:bCs w:val="1"/>
          <w:color w:val="auto"/>
        </w:rPr>
        <w:t>Merger</w:t>
      </w:r>
      <w:r>
        <w:rPr>
          <w:rFonts w:ascii="Arial" w:cs="Arial" w:eastAsia="Arial" w:hAnsi="Arial"/>
          <w:sz w:val="12"/>
          <w:szCs w:val="12"/>
          <w:color w:val="auto"/>
        </w:rPr>
        <w:t>”) in accordance with this Agreement and the DGCL. Upon consummation of the Merger, Merger Sub will cease to exist and the Company will become a wholly owned subsidiary of Zordich.</w:t>
      </w:r>
    </w:p>
    <w:p>
      <w:pPr>
        <w:spacing w:after="0" w:line="121" w:lineRule="exact"/>
        <w:rPr>
          <w:rFonts w:ascii="Arial" w:cs="Arial" w:eastAsia="Arial" w:hAnsi="Arial"/>
          <w:sz w:val="12"/>
          <w:szCs w:val="12"/>
          <w:color w:val="auto"/>
        </w:rPr>
      </w:pPr>
    </w:p>
    <w:p>
      <w:pPr>
        <w:ind w:left="1360" w:hanging="235"/>
        <w:spacing w:after="0"/>
        <w:tabs>
          <w:tab w:leader="none" w:pos="1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Parties intend that the Merger qualify as a “reorganization” within the meaning of Section 368(a) of the Code.</w:t>
      </w:r>
    </w:p>
    <w:p>
      <w:pPr>
        <w:spacing w:after="0" w:line="150" w:lineRule="exact"/>
        <w:rPr>
          <w:rFonts w:ascii="Arial" w:cs="Arial" w:eastAsia="Arial" w:hAnsi="Arial"/>
          <w:sz w:val="12"/>
          <w:szCs w:val="12"/>
          <w:color w:val="auto"/>
        </w:rPr>
      </w:pPr>
    </w:p>
    <w:p>
      <w:pPr>
        <w:ind w:left="840" w:right="979" w:firstLine="285"/>
        <w:spacing w:after="0" w:line="317" w:lineRule="auto"/>
        <w:tabs>
          <w:tab w:leader="none" w:pos="1363" w:val="left"/>
        </w:tabs>
        <w:numPr>
          <w:ilvl w:val="0"/>
          <w:numId w:val="6"/>
        </w:numPr>
        <w:rPr>
          <w:rFonts w:ascii="Arial" w:cs="Arial" w:eastAsia="Arial" w:hAnsi="Arial"/>
          <w:sz w:val="10"/>
          <w:szCs w:val="10"/>
          <w:color w:val="auto"/>
        </w:rPr>
      </w:pPr>
      <w:r>
        <w:rPr>
          <w:rFonts w:ascii="Arial" w:cs="Arial" w:eastAsia="Arial" w:hAnsi="Arial"/>
          <w:sz w:val="10"/>
          <w:szCs w:val="10"/>
          <w:color w:val="auto"/>
        </w:rPr>
        <w:t>The Zordich Board has (i) determined that the Contemplated Transactions are fair to, advisable and in the best interests of Zordich and its stockholders, (ii) approved and declared advisable this Agreement and the Contemplated Transactions, including the issuance of shares of Zordich Common Stock to the stockholders of the Company pursuant to the terms of this Agreement and (iii)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and, if deemed necessary by the Parties, an amendment to Zordich’s certificate of incorporation to effect the Zordich Reverse Stock Split.</w:t>
      </w:r>
    </w:p>
    <w:p>
      <w:pPr>
        <w:spacing w:after="0" w:line="99" w:lineRule="exact"/>
        <w:rPr>
          <w:rFonts w:ascii="Arial" w:cs="Arial" w:eastAsia="Arial" w:hAnsi="Arial"/>
          <w:sz w:val="10"/>
          <w:szCs w:val="10"/>
          <w:color w:val="auto"/>
        </w:rPr>
      </w:pPr>
    </w:p>
    <w:p>
      <w:pPr>
        <w:jc w:val="both"/>
        <w:ind w:left="840" w:right="979" w:firstLine="285"/>
        <w:spacing w:after="0" w:line="260" w:lineRule="auto"/>
        <w:tabs>
          <w:tab w:leader="none" w:pos="137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pacing w:after="0" w:line="124" w:lineRule="exact"/>
        <w:rPr>
          <w:rFonts w:ascii="Arial" w:cs="Arial" w:eastAsia="Arial" w:hAnsi="Arial"/>
          <w:sz w:val="12"/>
          <w:szCs w:val="12"/>
          <w:color w:val="auto"/>
        </w:rPr>
      </w:pPr>
    </w:p>
    <w:p>
      <w:pPr>
        <w:ind w:left="840" w:right="839" w:firstLine="285"/>
        <w:spacing w:after="0" w:line="260" w:lineRule="auto"/>
        <w:tabs>
          <w:tab w:leader="none" w:pos="1356"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 Board has (i) determined that the Contemplated Transactions are fair to, advisable and in the best interests of the Company and its stockholder, (ii) approved and declared advisable this Agreement and the Contemplated Transactions and (iii) determined to recommend, upon the terms and subject to the conditions set forth in this Agreement, that the stockholder of the Company vote to adopt this Agreement and thereby approve the Contemplated Transactions.</w:t>
      </w:r>
    </w:p>
    <w:p>
      <w:pPr>
        <w:spacing w:after="0" w:line="124" w:lineRule="exact"/>
        <w:rPr>
          <w:rFonts w:ascii="Arial" w:cs="Arial" w:eastAsia="Arial" w:hAnsi="Arial"/>
          <w:sz w:val="12"/>
          <w:szCs w:val="12"/>
          <w:color w:val="auto"/>
        </w:rPr>
      </w:pPr>
    </w:p>
    <w:p>
      <w:pPr>
        <w:ind w:left="840" w:right="839" w:firstLine="285"/>
        <w:spacing w:after="0" w:line="256" w:lineRule="auto"/>
        <w:tabs>
          <w:tab w:leader="none" w:pos="1342"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Concurrently with the execution and delivery of this Agreement and as a condition and inducement to the Company’s willingness to enter into this Agreement, the officers and directors of Zordich (solely in their capacity as stockholders of Zordich) and Zordich’s largest holder of Zordich Common Stock are executing support agreements in favor of the Company in substantially the form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(the “</w:t>
      </w:r>
      <w:r>
        <w:rPr>
          <w:rFonts w:ascii="Arial" w:cs="Arial" w:eastAsia="Arial" w:hAnsi="Arial"/>
          <w:sz w:val="12"/>
          <w:szCs w:val="12"/>
          <w:b w:val="1"/>
          <w:bCs w:val="1"/>
          <w:color w:val="auto"/>
        </w:rPr>
        <w:t>Zordich</w:t>
      </w:r>
      <w:r>
        <w:rPr>
          <w:rFonts w:ascii="Arial" w:cs="Arial" w:eastAsia="Arial" w:hAnsi="Arial"/>
          <w:sz w:val="12"/>
          <w:szCs w:val="12"/>
          <w:color w:val="auto"/>
        </w:rPr>
        <w:t xml:space="preserve"> </w:t>
      </w:r>
      <w:r>
        <w:rPr>
          <w:rFonts w:ascii="Arial" w:cs="Arial" w:eastAsia="Arial" w:hAnsi="Arial"/>
          <w:sz w:val="12"/>
          <w:szCs w:val="12"/>
          <w:b w:val="1"/>
          <w:bCs w:val="1"/>
          <w:color w:val="auto"/>
        </w:rPr>
        <w:t>Stockholder Support Agreement</w:t>
      </w:r>
      <w:r>
        <w:rPr>
          <w:rFonts w:ascii="Arial" w:cs="Arial" w:eastAsia="Arial" w:hAnsi="Arial"/>
          <w:sz w:val="12"/>
          <w:szCs w:val="12"/>
          <w:color w:val="auto"/>
        </w:rPr>
        <w:t>”), pursuant to which such Persons have, subject to the terms and conditions set forth therein, agreed to vote all of</w:t>
      </w:r>
      <w:r>
        <w:rPr>
          <w:rFonts w:ascii="Arial" w:cs="Arial" w:eastAsia="Arial" w:hAnsi="Arial"/>
          <w:sz w:val="12"/>
          <w:szCs w:val="12"/>
          <w:b w:val="1"/>
          <w:bCs w:val="1"/>
          <w:color w:val="auto"/>
        </w:rPr>
        <w:t xml:space="preserve"> </w:t>
      </w:r>
      <w:r>
        <w:rPr>
          <w:rFonts w:ascii="Arial" w:cs="Arial" w:eastAsia="Arial" w:hAnsi="Arial"/>
          <w:sz w:val="12"/>
          <w:szCs w:val="12"/>
          <w:color w:val="auto"/>
        </w:rPr>
        <w:t>their shares of capital stock of Zordich in favor of the approval of this Agreement and thereby approve the Contemplated Transactions and against any competing proposals.</w:t>
      </w:r>
    </w:p>
    <w:p>
      <w:pPr>
        <w:sectPr>
          <w:pgSz w:w="11900" w:h="16838" w:orient="portrait"/>
          <w:cols w:equalWidth="0" w:num="1">
            <w:col w:w="9019"/>
          </w:cols>
          <w:pgMar w:left="1440" w:top="226" w:right="1440" w:bottom="1440" w:gutter="0" w:footer="0" w:header="0"/>
        </w:sectPr>
      </w:pPr>
    </w:p>
    <w:bookmarkStart w:id="14" w:name="page15"/>
    <w:bookmarkEnd w:id="14"/>
    <w:p>
      <w:pPr>
        <w:ind w:left="840" w:right="879" w:firstLine="285"/>
        <w:spacing w:after="0" w:line="260" w:lineRule="auto"/>
        <w:tabs>
          <w:tab w:leader="none" w:pos="1372" w:val="left"/>
        </w:tabs>
        <w:numPr>
          <w:ilvl w:val="0"/>
          <w:numId w:val="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Concurrently with the execution and delivery of this Agreement and as a condition and inducement to Zordich’s willingness to enter into this Agreement, the officers, directors and sole stockholder of the Company are executing lock-up agreements in substantially the form attached hereto as Exhibit B (collectively, the “</w:t>
      </w:r>
      <w:r>
        <w:rPr>
          <w:rFonts w:ascii="Arial" w:cs="Arial" w:eastAsia="Arial" w:hAnsi="Arial"/>
          <w:sz w:val="12"/>
          <w:szCs w:val="12"/>
          <w:b w:val="1"/>
          <w:bCs w:val="1"/>
          <w:color w:val="auto"/>
        </w:rPr>
        <w:t>Company Lock-Up Agreements”</w:t>
      </w:r>
      <w:r>
        <w:rPr>
          <w:rFonts w:ascii="Arial" w:cs="Arial" w:eastAsia="Arial" w:hAnsi="Arial"/>
          <w:sz w:val="12"/>
          <w:szCs w:val="12"/>
          <w:color w:val="auto"/>
        </w:rPr>
        <w:t>), and, at the Closing, the members of Holdings listed on Section A of the Company Disclosure Schedule shall execute Company Lock-Up Agreements.</w:t>
      </w:r>
    </w:p>
    <w:p>
      <w:pPr>
        <w:spacing w:after="0" w:line="124" w:lineRule="exact"/>
        <w:rPr>
          <w:rFonts w:ascii="Arial" w:cs="Arial" w:eastAsia="Arial" w:hAnsi="Arial"/>
          <w:sz w:val="12"/>
          <w:szCs w:val="12"/>
          <w:color w:val="auto"/>
        </w:rPr>
      </w:pPr>
    </w:p>
    <w:p>
      <w:pPr>
        <w:ind w:left="840" w:right="1019" w:firstLine="285"/>
        <w:spacing w:after="0" w:line="264" w:lineRule="auto"/>
        <w:tabs>
          <w:tab w:leader="none" w:pos="1372"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Concurrently with the execution and delivery of this Agreement and as a condition and inducement to the Company’s willingness to enter into this Agreement, the officers and directors of Zordich are executing lock-up agreements in substantially the form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(collectively, the “</w:t>
      </w:r>
      <w:r>
        <w:rPr>
          <w:rFonts w:ascii="Arial" w:cs="Arial" w:eastAsia="Arial" w:hAnsi="Arial"/>
          <w:sz w:val="12"/>
          <w:szCs w:val="12"/>
          <w:b w:val="1"/>
          <w:bCs w:val="1"/>
          <w:color w:val="auto"/>
        </w:rPr>
        <w:t>Zordich Lock-Up Agreements</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jc w:val="both"/>
        <w:ind w:left="840" w:right="819" w:firstLine="285"/>
        <w:spacing w:after="0" w:line="260" w:lineRule="auto"/>
        <w:tabs>
          <w:tab w:leader="none" w:pos="1325" w:val="left"/>
        </w:tabs>
        <w:numPr>
          <w:ilvl w:val="0"/>
          <w:numId w:val="7"/>
        </w:numPr>
        <w:rPr>
          <w:rFonts w:ascii="Arial" w:cs="Arial" w:eastAsia="Arial" w:hAnsi="Arial"/>
          <w:sz w:val="12"/>
          <w:szCs w:val="12"/>
          <w:color w:val="auto"/>
        </w:rPr>
      </w:pPr>
      <w:r>
        <w:rPr>
          <w:rFonts w:ascii="Arial" w:cs="Arial" w:eastAsia="Arial" w:hAnsi="Arial"/>
          <w:sz w:val="12"/>
          <w:szCs w:val="12"/>
          <w:color w:val="auto"/>
        </w:rPr>
        <w:t>It is expected that concurrently with the execution of this Agreement, the holders of shares of Company Common Stock sufficient to adopt and approve this Agreement and the Merger as required under the DGCL and the Company’s certificate of incorporation and bylaws will execute and deliver an action by written consent adopting this Agreement, in form and substance reasonably acceptable to Zordich, in order to obtain the Required Company Stockholder Vote (the “</w:t>
      </w:r>
      <w:r>
        <w:rPr>
          <w:rFonts w:ascii="Arial" w:cs="Arial" w:eastAsia="Arial" w:hAnsi="Arial"/>
          <w:sz w:val="12"/>
          <w:szCs w:val="12"/>
          <w:b w:val="1"/>
          <w:bCs w:val="1"/>
          <w:color w:val="auto"/>
        </w:rPr>
        <w:t>Company Stockholder Written Consent</w:t>
      </w:r>
      <w:r>
        <w:rPr>
          <w:rFonts w:ascii="Arial" w:cs="Arial" w:eastAsia="Arial" w:hAnsi="Arial"/>
          <w:sz w:val="12"/>
          <w:szCs w:val="12"/>
          <w:color w:val="auto"/>
        </w:rPr>
        <w:t>”).</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10"/>
          <w:szCs w:val="10"/>
          <w:b w:val="1"/>
          <w:bCs w:val="1"/>
          <w:color w:val="auto"/>
        </w:rPr>
        <w:t>GREEMENT</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The Parties, intending to be legally bound, agree as follows:</w:t>
      </w:r>
    </w:p>
    <w:p>
      <w:pPr>
        <w:spacing w:after="0" w:line="223"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2"/>
          <w:szCs w:val="12"/>
          <w:color w:val="auto"/>
        </w:rPr>
        <w:t>Section 1.</w:t>
      </w:r>
      <w:r>
        <w:rPr>
          <w:sz w:val="20"/>
          <w:szCs w:val="20"/>
          <w:color w:val="auto"/>
        </w:rPr>
        <w:tab/>
      </w:r>
      <w:r>
        <w:rPr>
          <w:rFonts w:ascii="Arial" w:cs="Arial" w:eastAsia="Arial" w:hAnsi="Arial"/>
          <w:sz w:val="11"/>
          <w:szCs w:val="11"/>
          <w:u w:val="single" w:color="auto"/>
          <w:color w:val="auto"/>
        </w:rPr>
        <w:t>Definitions and Interpretative Provisions.</w:t>
      </w:r>
    </w:p>
    <w:p>
      <w:pPr>
        <w:spacing w:after="0" w:line="79"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1"/>
          <w:szCs w:val="11"/>
          <w:u w:val="single" w:color="auto"/>
          <w:color w:val="auto"/>
        </w:rPr>
        <w:t>Definitions.</w:t>
      </w:r>
    </w:p>
    <w:p>
      <w:pPr>
        <w:spacing w:after="0" w:line="79" w:lineRule="exact"/>
        <w:rPr>
          <w:sz w:val="20"/>
          <w:szCs w:val="20"/>
          <w:color w:val="auto"/>
        </w:rPr>
      </w:pPr>
    </w:p>
    <w:p>
      <w:pPr>
        <w:ind w:left="1700" w:hanging="206"/>
        <w:spacing w:after="0"/>
        <w:tabs>
          <w:tab w:leader="none" w:pos="170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For purposes of the Agreement (including this </w:t>
      </w:r>
      <w:r>
        <w:rPr>
          <w:rFonts w:ascii="Arial" w:cs="Arial" w:eastAsia="Arial" w:hAnsi="Arial"/>
          <w:sz w:val="12"/>
          <w:szCs w:val="12"/>
          <w:u w:val="single" w:color="auto"/>
          <w:color w:val="auto"/>
        </w:rPr>
        <w:t>Section 1</w:t>
      </w:r>
      <w:r>
        <w:rPr>
          <w:rFonts w:ascii="Arial" w:cs="Arial" w:eastAsia="Arial" w:hAnsi="Arial"/>
          <w:sz w:val="12"/>
          <w:szCs w:val="12"/>
          <w:color w:val="auto"/>
        </w:rPr>
        <w:t>):</w:t>
      </w:r>
    </w:p>
    <w:p>
      <w:pPr>
        <w:spacing w:after="0" w:line="75" w:lineRule="exact"/>
        <w:rPr>
          <w:sz w:val="20"/>
          <w:szCs w:val="20"/>
          <w:color w:val="auto"/>
        </w:rPr>
      </w:pPr>
    </w:p>
    <w:p>
      <w:pPr>
        <w:ind w:left="840" w:right="859" w:firstLine="663"/>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Acceptable Confidentiality Agreement</w:t>
      </w:r>
      <w:r>
        <w:rPr>
          <w:rFonts w:ascii="Arial" w:cs="Arial" w:eastAsia="Arial" w:hAnsi="Arial"/>
          <w:sz w:val="12"/>
          <w:szCs w:val="12"/>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Zordich relating to a potential Acquisition Proposal shall not be required to enter into a new or revised confidentiality agreement, and such existing confidentiality agreement shall be deemed to be an Acceptable Confidentiality Agreement.</w:t>
      </w:r>
    </w:p>
    <w:p>
      <w:pPr>
        <w:spacing w:after="0" w:line="122" w:lineRule="exact"/>
        <w:rPr>
          <w:sz w:val="20"/>
          <w:szCs w:val="20"/>
          <w:color w:val="auto"/>
        </w:rPr>
      </w:pPr>
    </w:p>
    <w:p>
      <w:pPr>
        <w:jc w:val="both"/>
        <w:ind w:left="840" w:right="93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Acquisition Inquiry</w:t>
      </w:r>
      <w:r>
        <w:rPr>
          <w:rFonts w:ascii="Arial" w:cs="Arial" w:eastAsia="Arial" w:hAnsi="Arial"/>
          <w:sz w:val="12"/>
          <w:szCs w:val="12"/>
          <w:color w:val="auto"/>
        </w:rPr>
        <w:t>” means, with respect to a Party, an inquiry, indication of interest or request for information (other than an inquiry, indication of interest or request for information made or submitted by the Company, on the one hand, or Zordich, on the other hand, to the other Party) that could reasonably be expected to lead to an Acquisition Proposal.</w:t>
      </w:r>
    </w:p>
    <w:p>
      <w:pPr>
        <w:spacing w:after="0" w:line="117" w:lineRule="exact"/>
        <w:rPr>
          <w:sz w:val="20"/>
          <w:szCs w:val="20"/>
          <w:color w:val="auto"/>
        </w:rPr>
      </w:pPr>
    </w:p>
    <w:p>
      <w:pPr>
        <w:ind w:left="840" w:right="89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Acquisition Proposal</w:t>
      </w:r>
      <w:r>
        <w:rPr>
          <w:rFonts w:ascii="Arial" w:cs="Arial" w:eastAsia="Arial" w:hAnsi="Arial"/>
          <w:sz w:val="12"/>
          <w:szCs w:val="12"/>
          <w:color w:val="auto"/>
        </w:rPr>
        <w:t>” means, with respect to a Party, any offer or proposal, whether written or oral (other than an offer or proposal made or submitted by or on behalf of the Company or any of its Affiliates, on the one hand, or by or on behalf of Zordich or any of its Affiliates, on the other hand, to the other Party) contemplating or otherwise relating to any Acquisition Transaction with such Party.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Acquisition Transaction</w:t>
      </w:r>
      <w:r>
        <w:rPr>
          <w:rFonts w:ascii="Arial" w:cs="Arial" w:eastAsia="Arial" w:hAnsi="Arial"/>
          <w:sz w:val="12"/>
          <w:szCs w:val="12"/>
          <w:color w:val="auto"/>
        </w:rPr>
        <w:t>” means any transaction or series of related transactions involving:</w:t>
      </w:r>
    </w:p>
    <w:p>
      <w:pPr>
        <w:spacing w:after="0" w:line="155" w:lineRule="exact"/>
        <w:rPr>
          <w:sz w:val="20"/>
          <w:szCs w:val="20"/>
          <w:color w:val="auto"/>
        </w:rPr>
      </w:pPr>
    </w:p>
    <w:p>
      <w:pPr>
        <w:ind w:left="840" w:right="1079" w:firstLine="654"/>
        <w:spacing w:after="0" w:line="277" w:lineRule="auto"/>
        <w:tabs>
          <w:tab w:leader="none" w:pos="1757" w:val="left"/>
        </w:tabs>
        <w:numPr>
          <w:ilvl w:val="0"/>
          <w:numId w:val="9"/>
        </w:numPr>
        <w:rPr>
          <w:rFonts w:ascii="Arial" w:cs="Arial" w:eastAsia="Arial" w:hAnsi="Arial"/>
          <w:sz w:val="12"/>
          <w:szCs w:val="12"/>
          <w:color w:val="auto"/>
        </w:rPr>
      </w:pPr>
      <w:r>
        <w:rPr>
          <w:rFonts w:ascii="Arial" w:cs="Arial" w:eastAsia="Arial" w:hAnsi="Arial"/>
          <w:sz w:val="12"/>
          <w:szCs w:val="12"/>
          <w:color w:val="auto"/>
        </w:rPr>
        <w:t>any merger, consolidation, amalgamation, share exchange, business combination, issuance of securities, acquisition of securities, reorganization, recapitalization, tender</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15" w:name="page16"/>
    <w:bookmarkEnd w:id="15"/>
    <w:p>
      <w:pPr>
        <w:ind w:left="840" w:right="91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provided, however, no shares issued in connection with any Ordinary Course Capital Contribution shall constitute an Acquisition Transaction; or</w:t>
      </w:r>
    </w:p>
    <w:p>
      <w:pPr>
        <w:spacing w:after="0" w:line="128" w:lineRule="exact"/>
        <w:rPr>
          <w:sz w:val="20"/>
          <w:szCs w:val="20"/>
          <w:color w:val="auto"/>
        </w:rPr>
      </w:pPr>
    </w:p>
    <w:p>
      <w:pPr>
        <w:ind w:left="840" w:right="839" w:firstLine="654"/>
        <w:spacing w:after="0" w:line="324" w:lineRule="auto"/>
        <w:tabs>
          <w:tab w:leader="none" w:pos="1764" w:val="left"/>
        </w:tabs>
        <w:numPr>
          <w:ilvl w:val="0"/>
          <w:numId w:val="10"/>
        </w:numPr>
        <w:rPr>
          <w:rFonts w:ascii="Arial" w:cs="Arial" w:eastAsia="Arial" w:hAnsi="Arial"/>
          <w:sz w:val="11"/>
          <w:szCs w:val="11"/>
          <w:color w:val="auto"/>
        </w:rPr>
      </w:pPr>
      <w:r>
        <w:rPr>
          <w:rFonts w:ascii="Arial" w:cs="Arial" w:eastAsia="Arial" w:hAnsi="Arial"/>
          <w:sz w:val="11"/>
          <w:szCs w:val="11"/>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8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shall have the meaning given to such term in Rule 145 under the Securities Act.</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Allocation Certificate</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6.18.</w:t>
      </w:r>
    </w:p>
    <w:p>
      <w:pPr>
        <w:spacing w:after="0" w:line="151" w:lineRule="exact"/>
        <w:rPr>
          <w:sz w:val="20"/>
          <w:szCs w:val="20"/>
          <w:color w:val="auto"/>
        </w:rPr>
      </w:pPr>
    </w:p>
    <w:p>
      <w:pPr>
        <w:ind w:left="840" w:right="97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Anticipated Closing Date</w:t>
      </w:r>
      <w:r>
        <w:rPr>
          <w:rFonts w:ascii="Arial" w:cs="Arial" w:eastAsia="Arial" w:hAnsi="Arial"/>
          <w:sz w:val="12"/>
          <w:szCs w:val="12"/>
          <w:color w:val="auto"/>
        </w:rPr>
        <w:t>” means the anticipated Closing Date, as agreed upon by Zordich and the Company at least fifteen (15) days prior to the Zordich Stockholder Meeting (the “</w:t>
      </w:r>
      <w:r>
        <w:rPr>
          <w:rFonts w:ascii="Arial" w:cs="Arial" w:eastAsia="Arial" w:hAnsi="Arial"/>
          <w:sz w:val="12"/>
          <w:szCs w:val="12"/>
          <w:b w:val="1"/>
          <w:bCs w:val="1"/>
          <w:color w:val="auto"/>
        </w:rPr>
        <w:t>Determination Date</w:t>
      </w:r>
      <w:r>
        <w:rPr>
          <w:rFonts w:ascii="Arial" w:cs="Arial" w:eastAsia="Arial" w:hAnsi="Arial"/>
          <w:sz w:val="12"/>
          <w:szCs w:val="12"/>
          <w:color w:val="auto"/>
        </w:rPr>
        <w:t>”).</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Business Day</w:t>
      </w:r>
      <w:r>
        <w:rPr>
          <w:rFonts w:ascii="Arial" w:cs="Arial" w:eastAsia="Arial" w:hAnsi="Arial"/>
          <w:sz w:val="11"/>
          <w:szCs w:val="11"/>
          <w:color w:val="auto"/>
        </w:rPr>
        <w:t>” means any day other than a day on which banks in the State of New York are authorized or obligated to be closed.</w:t>
      </w:r>
    </w:p>
    <w:p>
      <w:pPr>
        <w:spacing w:after="0" w:line="162" w:lineRule="exact"/>
        <w:rPr>
          <w:sz w:val="20"/>
          <w:szCs w:val="20"/>
          <w:color w:val="auto"/>
        </w:rPr>
      </w:pPr>
    </w:p>
    <w:p>
      <w:pPr>
        <w:ind w:left="840" w:right="93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Bridge Unit Purchase Agreement</w:t>
      </w:r>
      <w:r>
        <w:rPr>
          <w:rFonts w:ascii="Arial" w:cs="Arial" w:eastAsia="Arial" w:hAnsi="Arial"/>
          <w:sz w:val="12"/>
          <w:szCs w:val="12"/>
          <w:color w:val="auto"/>
        </w:rPr>
        <w:t>” means the Bridge Unit Purchase Agreement, dated November 21, 2019 (as may be amended, modified and/or amended and restated), by and among Holdings, Deerfield Private Design Fund III, L.P., Deerfield Healthcare Innovations Fund, L.P., Deerfield Private Design Fund IV, L.P., and the investors listed on Exhibit A thereto.</w:t>
      </w:r>
    </w:p>
    <w:p>
      <w:pPr>
        <w:spacing w:after="0" w:line="117" w:lineRule="exact"/>
        <w:rPr>
          <w:sz w:val="20"/>
          <w:szCs w:val="20"/>
          <w:color w:val="auto"/>
        </w:rPr>
      </w:pPr>
    </w:p>
    <w:p>
      <w:pPr>
        <w:ind w:left="840" w:right="105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Cash and Cash Equivalents</w:t>
      </w:r>
      <w:r>
        <w:rPr>
          <w:rFonts w:ascii="Arial" w:cs="Arial" w:eastAsia="Arial" w:hAnsi="Arial"/>
          <w:sz w:val="12"/>
          <w:szCs w:val="12"/>
          <w:color w:val="auto"/>
        </w:rPr>
        <w:t>” means all (a) cash and cash equivalents, (b) marketable securities, (c) accounts, interest and other cash receivables (to the extent determined to be collectible) and (d) deposits (to the extent refundable).</w:t>
      </w:r>
    </w:p>
    <w:p>
      <w:pPr>
        <w:spacing w:after="0" w:line="107" w:lineRule="exact"/>
        <w:rPr>
          <w:sz w:val="20"/>
          <w:szCs w:val="20"/>
          <w:color w:val="auto"/>
        </w:rPr>
      </w:pPr>
    </w:p>
    <w:p>
      <w:pPr>
        <w:ind w:left="840" w:right="91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COBRA</w:t>
      </w:r>
      <w:r>
        <w:rPr>
          <w:rFonts w:ascii="Arial" w:cs="Arial" w:eastAsia="Arial" w:hAnsi="Arial"/>
          <w:sz w:val="12"/>
          <w:szCs w:val="12"/>
          <w:color w:val="auto"/>
        </w:rPr>
        <w:t>” means the Consolidated Omnibus Budget Reconciliation Act of 1985, as set forth in Section 4980B of the Code and Part 6 of Title I of ERISA.</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Code</w:t>
      </w:r>
      <w:r>
        <w:rPr>
          <w:rFonts w:ascii="Arial" w:cs="Arial" w:eastAsia="Arial" w:hAnsi="Arial"/>
          <w:sz w:val="12"/>
          <w:szCs w:val="12"/>
          <w:color w:val="auto"/>
        </w:rPr>
        <w:t>” means the Internal Revenue Code of 1986.</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Associate</w:t>
      </w:r>
      <w:r>
        <w:rPr>
          <w:rFonts w:ascii="Arial" w:cs="Arial" w:eastAsia="Arial" w:hAnsi="Arial"/>
          <w:sz w:val="11"/>
          <w:szCs w:val="11"/>
          <w:color w:val="auto"/>
        </w:rPr>
        <w:t>” means any current or former employee, independent contractor, officer or director of the Company or any of its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Subsidiaries.</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Board</w:t>
      </w:r>
      <w:r>
        <w:rPr>
          <w:rFonts w:ascii="Arial" w:cs="Arial" w:eastAsia="Arial" w:hAnsi="Arial"/>
          <w:sz w:val="12"/>
          <w:szCs w:val="12"/>
          <w:color w:val="auto"/>
        </w:rPr>
        <w:t>” means the board of directors of the Company.</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Budget</w:t>
      </w:r>
      <w:r>
        <w:rPr>
          <w:rFonts w:ascii="Arial" w:cs="Arial" w:eastAsia="Arial" w:hAnsi="Arial"/>
          <w:sz w:val="11"/>
          <w:szCs w:val="11"/>
          <w:color w:val="auto"/>
        </w:rPr>
        <w:t>” means the quarterly budget for fiscal year 2020, attached as Section 1.1(a) of the Company Disclosure Schedule.</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Capitalization Representations</w:t>
      </w:r>
      <w:r>
        <w:rPr>
          <w:rFonts w:ascii="Arial" w:cs="Arial" w:eastAsia="Arial" w:hAnsi="Arial"/>
          <w:sz w:val="11"/>
          <w:szCs w:val="11"/>
          <w:color w:val="auto"/>
        </w:rPr>
        <w:t xml:space="preserve">” means the representations and warranties of the Company set forth in </w:t>
      </w:r>
      <w:r>
        <w:rPr>
          <w:rFonts w:ascii="Arial" w:cs="Arial" w:eastAsia="Arial" w:hAnsi="Arial"/>
          <w:sz w:val="11"/>
          <w:szCs w:val="11"/>
          <w:u w:val="single" w:color="auto"/>
          <w:color w:val="auto"/>
        </w:rPr>
        <w:t>Sections 3.6(a)</w:t>
      </w:r>
      <w:r>
        <w:rPr>
          <w:rFonts w:ascii="Arial" w:cs="Arial" w:eastAsia="Arial" w:hAnsi="Arial"/>
          <w:sz w:val="11"/>
          <w:szCs w:val="11"/>
          <w:color w:val="auto"/>
        </w:rPr>
        <w:t xml:space="preserve"> and</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3.6(d)</w:t>
      </w:r>
      <w:r>
        <w:rPr>
          <w:rFonts w:ascii="Arial" w:cs="Arial" w:eastAsia="Arial" w:hAnsi="Arial"/>
          <w:sz w:val="12"/>
          <w:szCs w:val="12"/>
          <w:color w:val="auto"/>
        </w:rPr>
        <w:t>.</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Common Stock</w:t>
      </w:r>
      <w:r>
        <w:rPr>
          <w:rFonts w:ascii="Arial" w:cs="Arial" w:eastAsia="Arial" w:hAnsi="Arial"/>
          <w:sz w:val="12"/>
          <w:szCs w:val="12"/>
          <w:color w:val="auto"/>
        </w:rPr>
        <w:t>” means the common stock, $0.01 par value per share, of the Company.</w:t>
      </w:r>
    </w:p>
    <w:p>
      <w:pPr>
        <w:spacing w:after="0" w:line="110"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16" w:name="page17"/>
    <w:bookmarkEnd w:id="16"/>
    <w:p>
      <w:pPr>
        <w:ind w:left="840" w:right="879" w:firstLine="663"/>
        <w:spacing w:after="0" w:line="26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color w:val="auto"/>
        </w:rPr>
        <w:t>Company Contract</w:t>
      </w:r>
      <w:r>
        <w:rPr>
          <w:rFonts w:ascii="Arial" w:cs="Arial" w:eastAsia="Arial" w:hAnsi="Arial"/>
          <w:sz w:val="12"/>
          <w:szCs w:val="12"/>
          <w:color w:val="auto"/>
        </w:rPr>
        <w:t>” means any Contract: (a) to which the Company or any of its Subsidiaries is a Party, (b) by which the Company or any of its Subsidiaries or any Company IP Rights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20" w:lineRule="exact"/>
        <w:rPr>
          <w:sz w:val="20"/>
          <w:szCs w:val="20"/>
          <w:color w:val="auto"/>
        </w:rPr>
      </w:pPr>
    </w:p>
    <w:p>
      <w:pPr>
        <w:ind w:left="840" w:right="919" w:firstLine="663"/>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Employee Plan</w:t>
      </w:r>
      <w:r>
        <w:rPr>
          <w:rFonts w:ascii="Arial" w:cs="Arial" w:eastAsia="Arial" w:hAnsi="Arial"/>
          <w:sz w:val="12"/>
          <w:szCs w:val="12"/>
          <w:color w:val="auto"/>
        </w:rPr>
        <w:t>” means any Employee Plan that the Company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of its Subsidiaries (or their spouses, dependents, or beneficiaries).</w:t>
      </w:r>
    </w:p>
    <w:p>
      <w:pPr>
        <w:spacing w:after="0" w:line="120" w:lineRule="exact"/>
        <w:rPr>
          <w:sz w:val="20"/>
          <w:szCs w:val="20"/>
          <w:color w:val="auto"/>
        </w:rPr>
      </w:pPr>
    </w:p>
    <w:p>
      <w:pPr>
        <w:ind w:left="840" w:right="83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Fundamental Representations</w:t>
      </w:r>
      <w:r>
        <w:rPr>
          <w:rFonts w:ascii="Arial" w:cs="Arial" w:eastAsia="Arial" w:hAnsi="Arial"/>
          <w:sz w:val="12"/>
          <w:szCs w:val="12"/>
          <w:color w:val="auto"/>
        </w:rPr>
        <w:t xml:space="preserve">” means the representations and warranties of the Company set forth in </w:t>
      </w:r>
      <w:r>
        <w:rPr>
          <w:rFonts w:ascii="Arial" w:cs="Arial" w:eastAsia="Arial" w:hAnsi="Arial"/>
          <w:sz w:val="12"/>
          <w:szCs w:val="12"/>
          <w:u w:val="single" w:color="auto"/>
          <w:color w:val="auto"/>
        </w:rPr>
        <w:t>Sections 3.1(a)</w:t>
      </w:r>
      <w:r>
        <w:rPr>
          <w:rFonts w:ascii="Arial" w:cs="Arial" w:eastAsia="Arial" w:hAnsi="Arial"/>
          <w:sz w:val="12"/>
          <w:szCs w:val="12"/>
          <w:color w:val="auto"/>
        </w:rPr>
        <w:t xml:space="preserve">, </w:t>
      </w:r>
      <w:r>
        <w:rPr>
          <w:rFonts w:ascii="Arial" w:cs="Arial" w:eastAsia="Arial" w:hAnsi="Arial"/>
          <w:sz w:val="12"/>
          <w:szCs w:val="12"/>
          <w:u w:val="single" w:color="auto"/>
          <w:color w:val="auto"/>
        </w:rPr>
        <w:t>3.1(b)</w:t>
      </w:r>
      <w:r>
        <w:rPr>
          <w:rFonts w:ascii="Arial" w:cs="Arial" w:eastAsia="Arial" w:hAnsi="Arial"/>
          <w:sz w:val="12"/>
          <w:szCs w:val="12"/>
          <w:color w:val="auto"/>
        </w:rPr>
        <w:t xml:space="preserve">, </w:t>
      </w:r>
      <w:r>
        <w:rPr>
          <w:rFonts w:ascii="Arial" w:cs="Arial" w:eastAsia="Arial" w:hAnsi="Arial"/>
          <w:sz w:val="12"/>
          <w:szCs w:val="12"/>
          <w:u w:val="single" w:color="auto"/>
          <w:color w:val="auto"/>
        </w:rPr>
        <w:t>3.2</w:t>
      </w:r>
      <w:r>
        <w:rPr>
          <w:rFonts w:ascii="Arial" w:cs="Arial" w:eastAsia="Arial" w:hAnsi="Arial"/>
          <w:sz w:val="12"/>
          <w:szCs w:val="12"/>
          <w:color w:val="auto"/>
        </w:rPr>
        <w:t xml:space="preserve">, </w:t>
      </w:r>
      <w:r>
        <w:rPr>
          <w:rFonts w:ascii="Arial" w:cs="Arial" w:eastAsia="Arial" w:hAnsi="Arial"/>
          <w:sz w:val="12"/>
          <w:szCs w:val="12"/>
          <w:u w:val="single" w:color="auto"/>
          <w:color w:val="auto"/>
        </w:rPr>
        <w:t>3.3</w:t>
      </w:r>
      <w:r>
        <w:rPr>
          <w:rFonts w:ascii="Arial" w:cs="Arial" w:eastAsia="Arial" w:hAnsi="Arial"/>
          <w:sz w:val="12"/>
          <w:szCs w:val="12"/>
          <w:color w:val="auto"/>
        </w:rPr>
        <w:t xml:space="preserve">, </w:t>
      </w:r>
      <w:r>
        <w:rPr>
          <w:rFonts w:ascii="Arial" w:cs="Arial" w:eastAsia="Arial" w:hAnsi="Arial"/>
          <w:sz w:val="12"/>
          <w:szCs w:val="12"/>
          <w:u w:val="single" w:color="auto"/>
          <w:color w:val="auto"/>
        </w:rPr>
        <w:t>3.4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3.21</w:t>
      </w:r>
      <w:r>
        <w:rPr>
          <w:rFonts w:ascii="Arial" w:cs="Arial" w:eastAsia="Arial" w:hAnsi="Arial"/>
          <w:sz w:val="12"/>
          <w:szCs w:val="12"/>
          <w:color w:val="auto"/>
        </w:rPr>
        <w:t>.</w:t>
      </w:r>
    </w:p>
    <w:p>
      <w:pPr>
        <w:spacing w:after="0" w:line="107" w:lineRule="exact"/>
        <w:rPr>
          <w:sz w:val="20"/>
          <w:szCs w:val="20"/>
          <w:color w:val="auto"/>
        </w:rPr>
      </w:pPr>
    </w:p>
    <w:p>
      <w:pPr>
        <w:ind w:left="840" w:right="87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IP Rights</w:t>
      </w:r>
      <w:r>
        <w:rPr>
          <w:rFonts w:ascii="Arial" w:cs="Arial" w:eastAsia="Arial" w:hAnsi="Arial"/>
          <w:sz w:val="12"/>
          <w:szCs w:val="12"/>
          <w:color w:val="auto"/>
        </w:rPr>
        <w:t>” means all Intellectual Property owned, licensed, or controlled by the Company or its Subsidiaries that is necessary for or used in the operation of the business of the Company and its Subsidiaries as presently conducted.</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IP Rights Agreement</w:t>
      </w:r>
      <w:r>
        <w:rPr>
          <w:rFonts w:ascii="Arial" w:cs="Arial" w:eastAsia="Arial" w:hAnsi="Arial"/>
          <w:sz w:val="11"/>
          <w:szCs w:val="11"/>
          <w:color w:val="auto"/>
        </w:rPr>
        <w:t>” means any instrument or agreement governing, related to or pertaining to any Company IP Rights.</w:t>
      </w:r>
    </w:p>
    <w:p>
      <w:pPr>
        <w:spacing w:after="0" w:line="162" w:lineRule="exact"/>
        <w:rPr>
          <w:sz w:val="20"/>
          <w:szCs w:val="20"/>
          <w:color w:val="auto"/>
        </w:rPr>
      </w:pPr>
    </w:p>
    <w:p>
      <w:pPr>
        <w:ind w:left="840" w:right="859" w:firstLine="663"/>
        <w:spacing w:after="0" w:line="278"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Material Adverse Effect</w:t>
      </w:r>
      <w:r>
        <w:rPr>
          <w:rFonts w:ascii="Arial" w:cs="Arial" w:eastAsia="Arial" w:hAnsi="Arial"/>
          <w:sz w:val="11"/>
          <w:szCs w:val="11"/>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(d) any change in GAAP or applicable Law or the interpretation thereof; (e) general economic or political conditions or conditions generally affecting the industries in which the Company and its Subsidiaries operate or (f) any change in the cash position of the Company and its Subsidiaries which results from operations in the Ordinary Course of Business; except in each case with respect to clauses (c), (d) and (e), to the extent disproportionately affecting the Company and its Subsidiaries, taken as a whole, relative to other similarly situated companies in the industries in which the Company and its Subsidiaries operate. Notwithstanding anything to the contrary contained herein, failure of a Funding Counterparty to fund as specified in </w:t>
      </w:r>
      <w:r>
        <w:rPr>
          <w:rFonts w:ascii="Arial" w:cs="Arial" w:eastAsia="Arial" w:hAnsi="Arial"/>
          <w:sz w:val="11"/>
          <w:szCs w:val="11"/>
          <w:u w:val="single" w:color="auto"/>
          <w:color w:val="auto"/>
        </w:rPr>
        <w:t>Section 6.26</w:t>
      </w:r>
      <w:r>
        <w:rPr>
          <w:rFonts w:ascii="Arial" w:cs="Arial" w:eastAsia="Arial" w:hAnsi="Arial"/>
          <w:sz w:val="11"/>
          <w:szCs w:val="11"/>
          <w:color w:val="auto"/>
        </w:rPr>
        <w:t xml:space="preserve"> shall constitute a Company Material Adverse Effect.</w:t>
      </w:r>
    </w:p>
    <w:p>
      <w:pPr>
        <w:spacing w:after="0" w:line="116" w:lineRule="exact"/>
        <w:rPr>
          <w:sz w:val="20"/>
          <w:szCs w:val="20"/>
          <w:color w:val="auto"/>
        </w:rPr>
      </w:pPr>
    </w:p>
    <w:p>
      <w:pPr>
        <w:ind w:left="840" w:right="879" w:firstLine="663"/>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Net Cash</w:t>
      </w:r>
      <w:r>
        <w:rPr>
          <w:rFonts w:ascii="Arial" w:cs="Arial" w:eastAsia="Arial" w:hAnsi="Arial"/>
          <w:sz w:val="11"/>
          <w:szCs w:val="11"/>
          <w:color w:val="auto"/>
        </w:rPr>
        <w:t xml:space="preserve">” means (a) the Company’s Cash and Cash Equivalents as of the Anticipated Closing Date, determined in a manner substantially consistent with the manner in which such items were determined for the Company Financials,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the sum of (without duplication) (i) the Company’s accounts payable and accrued expenses (including accrued tax liabilities, but excluding accrued expenses which are Transaction Costs of the Company) and the Company’s other current liabilities payable in cash, in each case as of the Anticipated Closing Date and determined in a manner substantially consistent with the manner in which such items were determined for the Company Financials, (ii) any Transaction Costs of the Company or for which the Company is liable, and (iii) any indebtedness for borrowed money of the Company.</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26" w:right="1440" w:bottom="1440" w:gutter="0" w:footer="0" w:header="0"/>
        </w:sectPr>
      </w:pPr>
    </w:p>
    <w:bookmarkStart w:id="17" w:name="page18"/>
    <w:bookmarkEnd w:id="17"/>
    <w:p>
      <w:pPr>
        <w:ind w:left="840" w:right="859" w:firstLine="663"/>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color w:val="auto"/>
        </w:rPr>
        <w:t>Company Registered IP</w:t>
      </w:r>
      <w:r>
        <w:rPr>
          <w:rFonts w:ascii="Arial" w:cs="Arial" w:eastAsia="Arial" w:hAnsi="Arial"/>
          <w:sz w:val="12"/>
          <w:szCs w:val="12"/>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Stockholder Written Consent</w:t>
      </w:r>
      <w:r>
        <w:rPr>
          <w:rFonts w:ascii="Arial" w:cs="Arial" w:eastAsia="Arial" w:hAnsi="Arial"/>
          <w:sz w:val="12"/>
          <w:szCs w:val="12"/>
          <w:color w:val="auto"/>
        </w:rPr>
        <w:t>” shall have the meaning set forth in the recitals.</w:t>
      </w:r>
    </w:p>
    <w:p>
      <w:pPr>
        <w:spacing w:after="0" w:line="151" w:lineRule="exact"/>
        <w:rPr>
          <w:sz w:val="20"/>
          <w:szCs w:val="20"/>
          <w:color w:val="auto"/>
        </w:rPr>
      </w:pPr>
    </w:p>
    <w:p>
      <w:pPr>
        <w:ind w:left="840" w:right="105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Triggering Event</w:t>
      </w:r>
      <w:r>
        <w:rPr>
          <w:rFonts w:ascii="Arial" w:cs="Arial" w:eastAsia="Arial" w:hAnsi="Arial"/>
          <w:sz w:val="12"/>
          <w:szCs w:val="12"/>
          <w:color w:val="auto"/>
        </w:rPr>
        <w:t>” shall be deemed to have occurred if the Company shall have entered into any letter of intent or similar document or any Contract relating to any Acquisition Proposal.</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Unaudited Interim Balance Sheet</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3.7</w:t>
      </w:r>
      <w:r>
        <w:rPr>
          <w:rFonts w:ascii="Arial" w:cs="Arial" w:eastAsia="Arial" w:hAnsi="Arial"/>
          <w:sz w:val="12"/>
          <w:szCs w:val="12"/>
          <w:color w:val="auto"/>
        </w:rPr>
        <w:t>.</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Confidentiality Agreement</w:t>
      </w:r>
      <w:r>
        <w:rPr>
          <w:rFonts w:ascii="Arial" w:cs="Arial" w:eastAsia="Arial" w:hAnsi="Arial"/>
          <w:sz w:val="11"/>
          <w:szCs w:val="11"/>
          <w:color w:val="auto"/>
        </w:rPr>
        <w:t>” means the Confidentiality Agreement, dated September 23, 2019, between the Company and Zordich.</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Consent</w:t>
      </w:r>
      <w:r>
        <w:rPr>
          <w:rFonts w:ascii="Arial" w:cs="Arial" w:eastAsia="Arial" w:hAnsi="Arial"/>
          <w:sz w:val="11"/>
          <w:szCs w:val="11"/>
          <w:color w:val="auto"/>
        </w:rPr>
        <w:t>” means any approval, consent, ratification, permission, waiver or authorization (including any Governmental Authorization).</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Contemplated Transactions</w:t>
      </w:r>
      <w:r>
        <w:rPr>
          <w:rFonts w:ascii="Arial" w:cs="Arial" w:eastAsia="Arial" w:hAnsi="Arial"/>
          <w:sz w:val="12"/>
          <w:szCs w:val="12"/>
          <w:color w:val="auto"/>
        </w:rPr>
        <w:t>” means the Merger and the other transactions contemplated by the Agreement.</w:t>
      </w:r>
    </w:p>
    <w:p>
      <w:pPr>
        <w:spacing w:after="0" w:line="151" w:lineRule="exact"/>
        <w:rPr>
          <w:sz w:val="20"/>
          <w:szCs w:val="20"/>
          <w:color w:val="auto"/>
        </w:rPr>
      </w:pPr>
    </w:p>
    <w:p>
      <w:pPr>
        <w:jc w:val="both"/>
        <w:ind w:left="840" w:right="87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Contract</w:t>
      </w:r>
      <w:r>
        <w:rPr>
          <w:rFonts w:ascii="Arial" w:cs="Arial" w:eastAsia="Arial" w:hAnsi="Arial"/>
          <w:sz w:val="12"/>
          <w:szCs w:val="12"/>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Determination Date</w:t>
      </w:r>
      <w:r>
        <w:rPr>
          <w:rFonts w:ascii="Arial" w:cs="Arial" w:eastAsia="Arial" w:hAnsi="Arial"/>
          <w:sz w:val="12"/>
          <w:szCs w:val="12"/>
          <w:color w:val="auto"/>
        </w:rPr>
        <w:t>” has the meaning set forth in the definition of “Anticipated Closing Date.”</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DGCL</w:t>
      </w:r>
      <w:r>
        <w:rPr>
          <w:rFonts w:ascii="Arial" w:cs="Arial" w:eastAsia="Arial" w:hAnsi="Arial"/>
          <w:sz w:val="12"/>
          <w:szCs w:val="12"/>
          <w:color w:val="auto"/>
        </w:rPr>
        <w:t>” means the General Corporation Law of the State of Delaware.</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w:t>
      </w:r>
      <w:r>
        <w:rPr>
          <w:rFonts w:ascii="Arial" w:cs="Arial" w:eastAsia="Arial" w:hAnsi="Arial"/>
          <w:sz w:val="12"/>
          <w:szCs w:val="12"/>
          <w:color w:val="auto"/>
        </w:rPr>
        <w:t>” means any effect, change, event, circumstance, or development.</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Employee Plan</w:t>
      </w:r>
      <w:r>
        <w:rPr>
          <w:rFonts w:ascii="Arial" w:cs="Arial" w:eastAsia="Arial" w:hAnsi="Arial"/>
          <w:sz w:val="11"/>
          <w:szCs w:val="11"/>
          <w:color w:val="auto"/>
        </w:rPr>
        <w:t>” means (A) an employee benefit plan within the meaning of Section 3(3) of ERISA whether or not subject to ERISA;</w:t>
      </w:r>
    </w:p>
    <w:p>
      <w:pPr>
        <w:spacing w:after="0" w:line="31" w:lineRule="exact"/>
        <w:rPr>
          <w:sz w:val="20"/>
          <w:szCs w:val="20"/>
          <w:color w:val="auto"/>
        </w:rPr>
      </w:pPr>
    </w:p>
    <w:p>
      <w:pPr>
        <w:ind w:left="840" w:right="959" w:hanging="9"/>
        <w:spacing w:after="0" w:line="254" w:lineRule="auto"/>
        <w:tabs>
          <w:tab w:leader="none" w:pos="103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24" w:lineRule="exact"/>
        <w:rPr>
          <w:sz w:val="20"/>
          <w:szCs w:val="20"/>
          <w:color w:val="auto"/>
        </w:rPr>
      </w:pPr>
    </w:p>
    <w:p>
      <w:pPr>
        <w:ind w:left="840" w:right="899" w:firstLine="663"/>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Encumbrance</w:t>
      </w:r>
      <w:r>
        <w:rPr>
          <w:rFonts w:ascii="Arial" w:cs="Arial" w:eastAsia="Arial" w:hAnsi="Arial"/>
          <w:sz w:val="12"/>
          <w:szCs w:val="12"/>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26" w:right="1440" w:bottom="1440" w:gutter="0" w:footer="0" w:header="0"/>
        </w:sectPr>
      </w:pPr>
    </w:p>
    <w:bookmarkStart w:id="18" w:name="page19"/>
    <w:bookmarkEnd w:id="18"/>
    <w:p>
      <w:pPr>
        <w:ind w:left="840" w:right="999" w:firstLine="663"/>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color w:val="auto"/>
        </w:rPr>
        <w:t>Enforceability Exceptions</w:t>
      </w:r>
      <w:r>
        <w:rPr>
          <w:rFonts w:ascii="Arial" w:cs="Arial" w:eastAsia="Arial" w:hAnsi="Arial"/>
          <w:sz w:val="12"/>
          <w:szCs w:val="12"/>
          <w:color w:val="auto"/>
        </w:rPr>
        <w:t>” means the (a) Laws of general application relating to bankruptcy, insolvency and the relief of debtors and (b) rules of law governing specific performance, injunctive relief and other equitable remedies.</w:t>
      </w:r>
    </w:p>
    <w:p>
      <w:pPr>
        <w:spacing w:after="0" w:line="107" w:lineRule="exact"/>
        <w:rPr>
          <w:sz w:val="20"/>
          <w:szCs w:val="20"/>
          <w:color w:val="auto"/>
        </w:rPr>
      </w:pPr>
    </w:p>
    <w:p>
      <w:pPr>
        <w:ind w:left="840" w:right="83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Entity</w:t>
      </w:r>
      <w:r>
        <w:rPr>
          <w:rFonts w:ascii="Arial" w:cs="Arial" w:eastAsia="Arial" w:hAnsi="Arial"/>
          <w:sz w:val="12"/>
          <w:szCs w:val="12"/>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17" w:lineRule="exact"/>
        <w:rPr>
          <w:sz w:val="20"/>
          <w:szCs w:val="20"/>
          <w:color w:val="auto"/>
        </w:rPr>
      </w:pPr>
    </w:p>
    <w:p>
      <w:pPr>
        <w:ind w:left="840" w:right="1039" w:firstLine="663"/>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 Law</w:t>
      </w:r>
      <w:r>
        <w:rPr>
          <w:rFonts w:ascii="Arial" w:cs="Arial" w:eastAsia="Arial" w:hAnsi="Arial"/>
          <w:sz w:val="12"/>
          <w:szCs w:val="12"/>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ERISA</w:t>
      </w:r>
      <w:r>
        <w:rPr>
          <w:rFonts w:ascii="Arial" w:cs="Arial" w:eastAsia="Arial" w:hAnsi="Arial"/>
          <w:sz w:val="12"/>
          <w:szCs w:val="12"/>
          <w:color w:val="auto"/>
        </w:rPr>
        <w:t>” means the Employee Retirement Income Security Act of 1974.</w:t>
      </w:r>
    </w:p>
    <w:p>
      <w:pPr>
        <w:spacing w:after="0" w:line="151" w:lineRule="exact"/>
        <w:rPr>
          <w:sz w:val="20"/>
          <w:szCs w:val="20"/>
          <w:color w:val="auto"/>
        </w:rPr>
      </w:pPr>
    </w:p>
    <w:p>
      <w:pPr>
        <w:ind w:left="840" w:right="1059" w:firstLine="663"/>
        <w:spacing w:after="0" w:line="33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ERISA Affiliate</w:t>
      </w:r>
      <w:r>
        <w:rPr>
          <w:rFonts w:ascii="Arial" w:cs="Arial" w:eastAsia="Arial" w:hAnsi="Arial"/>
          <w:sz w:val="11"/>
          <w:szCs w:val="11"/>
          <w:color w:val="auto"/>
        </w:rPr>
        <w:t>” means, with respect to any Entity, any other Person that is, or within the past 6 years, would be considered a single employer with such Entity or part of the same “controlled group” as such Entity under Sections 414(b),(c),(m) or (o) of the Code.</w:t>
      </w:r>
    </w:p>
    <w:p>
      <w:pPr>
        <w:spacing w:after="0" w:line="8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Securities Exchange Act of 1934.</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Exchange Ratio</w:t>
      </w:r>
      <w:r>
        <w:rPr>
          <w:rFonts w:ascii="Arial" w:cs="Arial" w:eastAsia="Arial" w:hAnsi="Arial"/>
          <w:sz w:val="11"/>
          <w:szCs w:val="11"/>
          <w:color w:val="auto"/>
        </w:rPr>
        <w:t xml:space="preserve">” means, subject to </w:t>
      </w:r>
      <w:r>
        <w:rPr>
          <w:rFonts w:ascii="Arial" w:cs="Arial" w:eastAsia="Arial" w:hAnsi="Arial"/>
          <w:sz w:val="11"/>
          <w:szCs w:val="11"/>
          <w:u w:val="single" w:color="auto"/>
          <w:color w:val="auto"/>
        </w:rPr>
        <w:t>Section 2.5(f)</w:t>
      </w:r>
      <w:r>
        <w:rPr>
          <w:rFonts w:ascii="Arial" w:cs="Arial" w:eastAsia="Arial" w:hAnsi="Arial"/>
          <w:sz w:val="11"/>
          <w:szCs w:val="11"/>
          <w:color w:val="auto"/>
        </w:rPr>
        <w:t>, the following ratio (rounded to four decimal places): the quotient obtained by dividing</w:t>
      </w:r>
    </w:p>
    <w:p>
      <w:pPr>
        <w:spacing w:after="0" w:line="31" w:lineRule="exact"/>
        <w:rPr>
          <w:sz w:val="20"/>
          <w:szCs w:val="20"/>
          <w:color w:val="auto"/>
        </w:rPr>
      </w:pPr>
    </w:p>
    <w:p>
      <w:pPr>
        <w:ind w:left="1000" w:hanging="169"/>
        <w:spacing w:after="0"/>
        <w:tabs>
          <w:tab w:leader="none" w:pos="10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Company Merger Shares by (b) the Company Outstanding Shares, in which:</w:t>
      </w:r>
    </w:p>
    <w:p>
      <w:pPr>
        <w:spacing w:after="0" w:line="65" w:lineRule="exact"/>
        <w:rPr>
          <w:rFonts w:ascii="Arial" w:cs="Arial" w:eastAsia="Arial" w:hAnsi="Arial"/>
          <w:sz w:val="12"/>
          <w:szCs w:val="12"/>
          <w:color w:val="auto"/>
        </w:rPr>
      </w:pPr>
    </w:p>
    <w:p>
      <w:pPr>
        <w:ind w:left="1580" w:hanging="101"/>
        <w:spacing w:after="0"/>
        <w:tabs>
          <w:tab w:leader="none" w:pos="1580" w:val="left"/>
        </w:tabs>
        <w:numPr>
          <w:ilvl w:val="1"/>
          <w:numId w:val="1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Aggregate Valuation</w:t>
      </w:r>
      <w:r>
        <w:rPr>
          <w:rFonts w:ascii="Arial" w:cs="Arial" w:eastAsia="Arial" w:hAnsi="Arial"/>
          <w:sz w:val="12"/>
          <w:szCs w:val="12"/>
          <w:color w:val="auto"/>
        </w:rPr>
        <w:t>” means the sum of (i) the Company Valuation, plus (ii) the Zordich Valuation.</w:t>
      </w:r>
    </w:p>
    <w:p>
      <w:pPr>
        <w:spacing w:after="0" w:line="78" w:lineRule="exact"/>
        <w:rPr>
          <w:rFonts w:ascii="Arial" w:cs="Arial" w:eastAsia="Arial" w:hAnsi="Arial"/>
          <w:sz w:val="12"/>
          <w:szCs w:val="12"/>
          <w:color w:val="auto"/>
        </w:rPr>
      </w:pPr>
    </w:p>
    <w:p>
      <w:pPr>
        <w:ind w:left="1120" w:right="1179" w:firstLine="359"/>
        <w:spacing w:after="0" w:line="284" w:lineRule="auto"/>
        <w:tabs>
          <w:tab w:leader="none" w:pos="1576" w:val="left"/>
        </w:tabs>
        <w:numPr>
          <w:ilvl w:val="1"/>
          <w:numId w:val="1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Allocation Percentage</w:t>
      </w:r>
      <w:r>
        <w:rPr>
          <w:rFonts w:ascii="Arial" w:cs="Arial" w:eastAsia="Arial" w:hAnsi="Arial"/>
          <w:sz w:val="12"/>
          <w:szCs w:val="12"/>
          <w:color w:val="auto"/>
        </w:rPr>
        <w:t>” means the quotient (rounded to two decimal places) determined by dividing (i) the Company Valuation by (ii) the Aggregate Valuation.</w:t>
      </w:r>
    </w:p>
    <w:p>
      <w:pPr>
        <w:spacing w:after="0" w:line="34" w:lineRule="exact"/>
        <w:rPr>
          <w:rFonts w:ascii="Arial" w:cs="Arial" w:eastAsia="Arial" w:hAnsi="Arial"/>
          <w:sz w:val="12"/>
          <w:szCs w:val="12"/>
          <w:color w:val="auto"/>
        </w:rPr>
      </w:pPr>
    </w:p>
    <w:p>
      <w:pPr>
        <w:ind w:left="1120" w:right="1079" w:firstLine="359"/>
        <w:spacing w:after="0" w:line="284" w:lineRule="auto"/>
        <w:tabs>
          <w:tab w:leader="none" w:pos="1576" w:val="left"/>
        </w:tabs>
        <w:numPr>
          <w:ilvl w:val="1"/>
          <w:numId w:val="1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Merger Shares</w:t>
      </w:r>
      <w:r>
        <w:rPr>
          <w:rFonts w:ascii="Arial" w:cs="Arial" w:eastAsia="Arial" w:hAnsi="Arial"/>
          <w:sz w:val="12"/>
          <w:szCs w:val="12"/>
          <w:color w:val="auto"/>
        </w:rPr>
        <w:t>” means the product determined by multiplying (i) the Post-Closing Zordich Shares by (ii) the Company Allocation Percentage.</w:t>
      </w:r>
    </w:p>
    <w:p>
      <w:pPr>
        <w:spacing w:after="0" w:line="34" w:lineRule="exact"/>
        <w:rPr>
          <w:rFonts w:ascii="Arial" w:cs="Arial" w:eastAsia="Arial" w:hAnsi="Arial"/>
          <w:sz w:val="12"/>
          <w:szCs w:val="12"/>
          <w:color w:val="auto"/>
        </w:rPr>
      </w:pPr>
    </w:p>
    <w:p>
      <w:pPr>
        <w:ind w:left="1120" w:right="899" w:firstLine="359"/>
        <w:spacing w:after="0" w:line="293" w:lineRule="auto"/>
        <w:tabs>
          <w:tab w:leader="none" w:pos="1576" w:val="left"/>
        </w:tabs>
        <w:numPr>
          <w:ilvl w:val="1"/>
          <w:numId w:val="1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 Outstanding Shares</w:t>
      </w:r>
      <w:r>
        <w:rPr>
          <w:rFonts w:ascii="Arial" w:cs="Arial" w:eastAsia="Arial" w:hAnsi="Arial"/>
          <w:sz w:val="11"/>
          <w:szCs w:val="11"/>
          <w:color w:val="auto"/>
        </w:rPr>
        <w:t>” means the total number of shares of Company Common Stock outstanding immediately prior to the Effective Time expressed on a fully-diluted and as-converted to Company Common Stock basis, and assuming, without limitation or duplication, the issuance of shares of Company Common Stock in respect of all Holdings Options and any other options, warrants or other rights to receive shares of Company Common Stock that will be outstanding immediately after the Effective Time.</w:t>
      </w:r>
    </w:p>
    <w:p>
      <w:pPr>
        <w:spacing w:after="0" w:line="32" w:lineRule="exact"/>
        <w:rPr>
          <w:rFonts w:ascii="Arial" w:cs="Arial" w:eastAsia="Arial" w:hAnsi="Arial"/>
          <w:sz w:val="11"/>
          <w:szCs w:val="11"/>
          <w:color w:val="auto"/>
        </w:rPr>
      </w:pPr>
    </w:p>
    <w:p>
      <w:pPr>
        <w:ind w:left="1120" w:right="939" w:firstLine="359"/>
        <w:spacing w:after="0" w:line="284" w:lineRule="auto"/>
        <w:tabs>
          <w:tab w:leader="none" w:pos="1576" w:val="left"/>
        </w:tabs>
        <w:numPr>
          <w:ilvl w:val="1"/>
          <w:numId w:val="1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 Valuation</w:t>
      </w:r>
      <w:r>
        <w:rPr>
          <w:rFonts w:ascii="Arial" w:cs="Arial" w:eastAsia="Arial" w:hAnsi="Arial"/>
          <w:sz w:val="12"/>
          <w:szCs w:val="12"/>
          <w:color w:val="auto"/>
        </w:rPr>
        <w:t>” means the sum of (i) $67,500,000, plus $111,656 per day for each day that the Anticipated Closing occurs after March 31, 2020.</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26" w:right="1440" w:bottom="1440" w:gutter="0" w:footer="0" w:header="0"/>
        </w:sectPr>
      </w:pPr>
    </w:p>
    <w:bookmarkStart w:id="19" w:name="page20"/>
    <w:bookmarkEnd w:id="19"/>
    <w:p>
      <w:pPr>
        <w:ind w:left="1120" w:right="101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color w:val="auto"/>
        </w:rPr>
        <w:t>Lower Net Cash Amount</w:t>
      </w:r>
      <w:r>
        <w:rPr>
          <w:rFonts w:ascii="Arial" w:cs="Arial" w:eastAsia="Arial" w:hAnsi="Arial"/>
          <w:sz w:val="12"/>
          <w:szCs w:val="12"/>
          <w:color w:val="auto"/>
        </w:rPr>
        <w:t>” means, if Net Cash is less than the Lower Target Net Cash, then the amount, if any, that Net Cash is less than the Target Net Cash.</w:t>
      </w:r>
    </w:p>
    <w:p>
      <w:pPr>
        <w:spacing w:after="0" w:line="34" w:lineRule="exact"/>
        <w:rPr>
          <w:rFonts w:ascii="Arial" w:cs="Arial" w:eastAsia="Arial" w:hAnsi="Arial"/>
          <w:sz w:val="12"/>
          <w:szCs w:val="12"/>
          <w:color w:val="auto"/>
        </w:rPr>
      </w:pPr>
    </w:p>
    <w:p>
      <w:pPr>
        <w:ind w:left="1120" w:right="103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Lower Target Net Cash</w:t>
      </w:r>
      <w:r>
        <w:rPr>
          <w:rFonts w:ascii="Arial" w:cs="Arial" w:eastAsia="Arial" w:hAnsi="Arial"/>
          <w:sz w:val="12"/>
          <w:szCs w:val="12"/>
          <w:color w:val="auto"/>
        </w:rPr>
        <w:t>” means $39,500,000; provided that such amount shall be reduced by $21,311 for each day the Anticipated Closing Date is after March 31, 2020.</w:t>
      </w:r>
    </w:p>
    <w:p>
      <w:pPr>
        <w:spacing w:after="0" w:line="34" w:lineRule="exact"/>
        <w:rPr>
          <w:rFonts w:ascii="Arial" w:cs="Arial" w:eastAsia="Arial" w:hAnsi="Arial"/>
          <w:sz w:val="12"/>
          <w:szCs w:val="12"/>
          <w:color w:val="auto"/>
        </w:rPr>
      </w:pPr>
    </w:p>
    <w:p>
      <w:pPr>
        <w:ind w:left="1120" w:right="119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Post-Closing Zordich Shares</w:t>
      </w:r>
      <w:r>
        <w:rPr>
          <w:rFonts w:ascii="Arial" w:cs="Arial" w:eastAsia="Arial" w:hAnsi="Arial"/>
          <w:sz w:val="12"/>
          <w:szCs w:val="12"/>
          <w:color w:val="auto"/>
        </w:rPr>
        <w:t>” mean the quotient determined by dividing (i) the Zordich Outstanding Shares by (ii) the Zordich Allocation Percentage.</w:t>
      </w:r>
    </w:p>
    <w:p>
      <w:pPr>
        <w:spacing w:after="0" w:line="34" w:lineRule="exact"/>
        <w:rPr>
          <w:rFonts w:ascii="Arial" w:cs="Arial" w:eastAsia="Arial" w:hAnsi="Arial"/>
          <w:sz w:val="12"/>
          <w:szCs w:val="12"/>
          <w:color w:val="auto"/>
        </w:rPr>
      </w:pPr>
    </w:p>
    <w:p>
      <w:pPr>
        <w:ind w:left="1120" w:right="99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Target Net Cash</w:t>
      </w:r>
      <w:r>
        <w:rPr>
          <w:rFonts w:ascii="Arial" w:cs="Arial" w:eastAsia="Arial" w:hAnsi="Arial"/>
          <w:sz w:val="12"/>
          <w:szCs w:val="12"/>
          <w:color w:val="auto"/>
        </w:rPr>
        <w:t>” means $40,000,000; provided that such amount shall be reduced by $21,311 for each day the Anticipated Closing Date is after March 31, 2020.</w:t>
      </w:r>
    </w:p>
    <w:p>
      <w:pPr>
        <w:spacing w:after="0" w:line="34" w:lineRule="exact"/>
        <w:rPr>
          <w:rFonts w:ascii="Arial" w:cs="Arial" w:eastAsia="Arial" w:hAnsi="Arial"/>
          <w:sz w:val="12"/>
          <w:szCs w:val="12"/>
          <w:color w:val="auto"/>
        </w:rPr>
      </w:pPr>
    </w:p>
    <w:p>
      <w:pPr>
        <w:ind w:left="1120" w:right="107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Upper Net Cash Amount</w:t>
      </w:r>
      <w:r>
        <w:rPr>
          <w:rFonts w:ascii="Arial" w:cs="Arial" w:eastAsia="Arial" w:hAnsi="Arial"/>
          <w:sz w:val="12"/>
          <w:szCs w:val="12"/>
          <w:color w:val="auto"/>
        </w:rPr>
        <w:t>” means, if Net Cash is greater than the Upper Target Net Cash, then the amount, if any, that Net Cash is greater than the Target Net Cash.</w:t>
      </w:r>
    </w:p>
    <w:p>
      <w:pPr>
        <w:spacing w:after="0" w:line="34" w:lineRule="exact"/>
        <w:rPr>
          <w:rFonts w:ascii="Arial" w:cs="Arial" w:eastAsia="Arial" w:hAnsi="Arial"/>
          <w:sz w:val="12"/>
          <w:szCs w:val="12"/>
          <w:color w:val="auto"/>
        </w:rPr>
      </w:pPr>
    </w:p>
    <w:p>
      <w:pPr>
        <w:ind w:left="1120" w:right="105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Upper Target Net Cash</w:t>
      </w:r>
      <w:r>
        <w:rPr>
          <w:rFonts w:ascii="Arial" w:cs="Arial" w:eastAsia="Arial" w:hAnsi="Arial"/>
          <w:sz w:val="12"/>
          <w:szCs w:val="12"/>
          <w:color w:val="auto"/>
        </w:rPr>
        <w:t>” means $40,500,000; provided that such amount shall be reduced by $21,311 for each day the Anticipated Closing Date is after March 31, 2020.</w:t>
      </w:r>
    </w:p>
    <w:p>
      <w:pPr>
        <w:spacing w:after="0" w:line="34" w:lineRule="exact"/>
        <w:rPr>
          <w:rFonts w:ascii="Arial" w:cs="Arial" w:eastAsia="Arial" w:hAnsi="Arial"/>
          <w:sz w:val="12"/>
          <w:szCs w:val="12"/>
          <w:color w:val="auto"/>
        </w:rPr>
      </w:pPr>
    </w:p>
    <w:p>
      <w:pPr>
        <w:ind w:left="1120" w:right="85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Allocation Percentage</w:t>
      </w:r>
      <w:r>
        <w:rPr>
          <w:rFonts w:ascii="Arial" w:cs="Arial" w:eastAsia="Arial" w:hAnsi="Arial"/>
          <w:sz w:val="12"/>
          <w:szCs w:val="12"/>
          <w:color w:val="auto"/>
        </w:rPr>
        <w:t>” means the quotient (rounded to two decimal places) determined by dividing (i) the Zordich Valuation by (ii) the Aggregate Valuation.</w:t>
      </w:r>
    </w:p>
    <w:p>
      <w:pPr>
        <w:spacing w:after="0" w:line="34" w:lineRule="exact"/>
        <w:rPr>
          <w:rFonts w:ascii="Arial" w:cs="Arial" w:eastAsia="Arial" w:hAnsi="Arial"/>
          <w:sz w:val="12"/>
          <w:szCs w:val="12"/>
          <w:color w:val="auto"/>
        </w:rPr>
      </w:pPr>
    </w:p>
    <w:p>
      <w:pPr>
        <w:ind w:left="1120" w:right="859" w:firstLine="359"/>
        <w:spacing w:after="0" w:line="256"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Outstanding Shares</w:t>
      </w:r>
      <w:r>
        <w:rPr>
          <w:rFonts w:ascii="Arial" w:cs="Arial" w:eastAsia="Arial" w:hAnsi="Arial"/>
          <w:sz w:val="12"/>
          <w:szCs w:val="12"/>
          <w:color w:val="auto"/>
        </w:rPr>
        <w:t xml:space="preserve">” means, subject to </w:t>
      </w:r>
      <w:r>
        <w:rPr>
          <w:rFonts w:ascii="Arial" w:cs="Arial" w:eastAsia="Arial" w:hAnsi="Arial"/>
          <w:sz w:val="12"/>
          <w:szCs w:val="12"/>
          <w:u w:val="single" w:color="auto"/>
          <w:color w:val="auto"/>
        </w:rPr>
        <w:t>Section 2.5(f)</w:t>
      </w:r>
      <w:r>
        <w:rPr>
          <w:rFonts w:ascii="Arial" w:cs="Arial" w:eastAsia="Arial" w:hAnsi="Arial"/>
          <w:sz w:val="12"/>
          <w:szCs w:val="12"/>
          <w:color w:val="auto"/>
        </w:rPr>
        <w:t xml:space="preserve">, the total number of shares of Zordich Common Stock outstanding immediately prior to the Effective Time expressed on a fully-diluted and as-converted to Zordich Common Stock basis, and assuming, without limitation or duplication, (i) the issuance of shares of Zordich Common Stock in respect of all Zordich Options, warrants or other rights to receive such shares that will be outstanding immediately after the Effective Time, (ii) the settlement in shares of each Zordich RSU outstanding as of the Effective Time pursuant to </w:t>
      </w:r>
      <w:r>
        <w:rPr>
          <w:rFonts w:ascii="Arial" w:cs="Arial" w:eastAsia="Arial" w:hAnsi="Arial"/>
          <w:sz w:val="12"/>
          <w:szCs w:val="12"/>
          <w:u w:val="single" w:color="auto"/>
          <w:color w:val="auto"/>
        </w:rPr>
        <w:t>Section 6.8</w:t>
      </w:r>
      <w:r>
        <w:rPr>
          <w:rFonts w:ascii="Arial" w:cs="Arial" w:eastAsia="Arial" w:hAnsi="Arial"/>
          <w:sz w:val="12"/>
          <w:szCs w:val="12"/>
          <w:color w:val="auto"/>
        </w:rPr>
        <w:t>, solely to the extent such Zordich RSUs are not settled prior thereto and (iii) the issuance of shares of Zordich Common Stock pursuant to the letter agreement between Zordich and MTS Health Partners, L.P., dated September 3, 2019 (to the extent authorized by Zordich).</w:t>
      </w:r>
    </w:p>
    <w:p>
      <w:pPr>
        <w:spacing w:after="0" w:line="53" w:lineRule="exact"/>
        <w:rPr>
          <w:rFonts w:ascii="Arial" w:cs="Arial" w:eastAsia="Arial" w:hAnsi="Arial"/>
          <w:sz w:val="12"/>
          <w:szCs w:val="12"/>
          <w:color w:val="auto"/>
        </w:rPr>
      </w:pPr>
    </w:p>
    <w:p>
      <w:pPr>
        <w:ind w:left="1120" w:right="939" w:firstLine="359"/>
        <w:spacing w:after="0" w:line="284" w:lineRule="auto"/>
        <w:tabs>
          <w:tab w:leader="none" w:pos="15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Valuation</w:t>
      </w:r>
      <w:r>
        <w:rPr>
          <w:rFonts w:ascii="Arial" w:cs="Arial" w:eastAsia="Arial" w:hAnsi="Arial"/>
          <w:sz w:val="12"/>
          <w:szCs w:val="12"/>
          <w:color w:val="auto"/>
        </w:rPr>
        <w:t xml:space="preserve">” means the sum of (i) $45,000,000,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(ii) the Lower Net Cash Amount (if any),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(iii) the Upper Net Cash Amount (if any).</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Set forth on Section 1.1(a)(i) of the Zordich Disclosure Schedule is an illustrative example of Exchange Ratio calculations.</w:t>
      </w:r>
    </w:p>
    <w:p>
      <w:pPr>
        <w:spacing w:after="0" w:line="147" w:lineRule="exact"/>
        <w:rPr>
          <w:sz w:val="20"/>
          <w:szCs w:val="20"/>
          <w:color w:val="auto"/>
        </w:rPr>
      </w:pPr>
    </w:p>
    <w:p>
      <w:pPr>
        <w:ind w:left="840" w:right="1079" w:firstLine="663"/>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Authority</w:t>
      </w:r>
      <w:r>
        <w:rPr>
          <w:rFonts w:ascii="Arial" w:cs="Arial" w:eastAsia="Arial" w:hAnsi="Arial"/>
          <w:sz w:val="12"/>
          <w:szCs w:val="12"/>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22" w:lineRule="exact"/>
        <w:rPr>
          <w:sz w:val="20"/>
          <w:szCs w:val="20"/>
          <w:color w:val="auto"/>
        </w:rPr>
      </w:pPr>
    </w:p>
    <w:p>
      <w:pPr>
        <w:jc w:val="both"/>
        <w:ind w:left="840" w:right="93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Authorization</w:t>
      </w:r>
      <w:r>
        <w:rPr>
          <w:rFonts w:ascii="Arial" w:cs="Arial" w:eastAsia="Arial" w:hAnsi="Arial"/>
          <w:sz w:val="12"/>
          <w:szCs w:val="12"/>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26" w:right="1440" w:bottom="1440" w:gutter="0" w:footer="0" w:header="0"/>
        </w:sectPr>
      </w:pPr>
    </w:p>
    <w:bookmarkStart w:id="20" w:name="page21"/>
    <w:bookmarkEnd w:id="20"/>
    <w:p>
      <w:pPr>
        <w:jc w:val="both"/>
        <w:ind w:left="840" w:right="839" w:firstLine="663"/>
        <w:spacing w:after="0" w:line="345"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0"/>
          <w:szCs w:val="10"/>
          <w:b w:val="1"/>
          <w:bCs w:val="1"/>
          <w:color w:val="auto"/>
        </w:rPr>
        <w:t>Hazardous Materials</w:t>
      </w:r>
      <w:r>
        <w:rPr>
          <w:rFonts w:ascii="Arial" w:cs="Arial" w:eastAsia="Arial" w:hAnsi="Arial"/>
          <w:sz w:val="10"/>
          <w:szCs w:val="10"/>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82"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“Holdings</w:t>
      </w:r>
      <w:r>
        <w:rPr>
          <w:rFonts w:ascii="Arial" w:cs="Arial" w:eastAsia="Arial" w:hAnsi="Arial"/>
          <w:sz w:val="12"/>
          <w:szCs w:val="12"/>
          <w:color w:val="auto"/>
        </w:rPr>
        <w:t>” means Chondrial Therapeutics Holdings, LLC.</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“Holdings Options</w:t>
      </w:r>
      <w:r>
        <w:rPr>
          <w:rFonts w:ascii="Arial" w:cs="Arial" w:eastAsia="Arial" w:hAnsi="Arial"/>
          <w:sz w:val="12"/>
          <w:szCs w:val="12"/>
          <w:color w:val="auto"/>
        </w:rPr>
        <w:t>” means options to purchase units of Holdings issued pursuant to the Holdings Plan.</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Holdings Plan</w:t>
      </w:r>
      <w:r>
        <w:rPr>
          <w:rFonts w:ascii="Arial" w:cs="Arial" w:eastAsia="Arial" w:hAnsi="Arial"/>
          <w:sz w:val="12"/>
          <w:szCs w:val="12"/>
          <w:color w:val="auto"/>
        </w:rPr>
        <w:t>” means the Chondrial Therapeutics Holdings, LLC 2016 Equity Incentive Plan, adopted November 30, 2016.</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“Holdings Units</w:t>
      </w:r>
      <w:r>
        <w:rPr>
          <w:rFonts w:ascii="Arial" w:cs="Arial" w:eastAsia="Arial" w:hAnsi="Arial"/>
          <w:sz w:val="12"/>
          <w:szCs w:val="12"/>
          <w:color w:val="auto"/>
        </w:rPr>
        <w:t>” means common units of Holdings.</w:t>
      </w:r>
    </w:p>
    <w:p>
      <w:pPr>
        <w:spacing w:after="0" w:line="151" w:lineRule="exact"/>
        <w:rPr>
          <w:sz w:val="20"/>
          <w:szCs w:val="20"/>
          <w:color w:val="auto"/>
        </w:rPr>
      </w:pPr>
    </w:p>
    <w:p>
      <w:pPr>
        <w:ind w:left="840" w:right="959" w:firstLine="663"/>
        <w:spacing w:after="0" w:line="28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Intellectual Property</w:t>
      </w:r>
      <w:r>
        <w:rPr>
          <w:rFonts w:ascii="Arial" w:cs="Arial" w:eastAsia="Arial" w:hAnsi="Arial"/>
          <w:sz w:val="11"/>
          <w:szCs w:val="11"/>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IRS</w:t>
      </w:r>
      <w:r>
        <w:rPr>
          <w:rFonts w:ascii="Arial" w:cs="Arial" w:eastAsia="Arial" w:hAnsi="Arial"/>
          <w:sz w:val="12"/>
          <w:szCs w:val="12"/>
          <w:color w:val="auto"/>
        </w:rPr>
        <w:t>” means the United States Internal Revenue Service.</w:t>
      </w:r>
    </w:p>
    <w:p>
      <w:pPr>
        <w:spacing w:after="0" w:line="151" w:lineRule="exact"/>
        <w:rPr>
          <w:sz w:val="20"/>
          <w:szCs w:val="20"/>
          <w:color w:val="auto"/>
        </w:rPr>
      </w:pPr>
    </w:p>
    <w:p>
      <w:pPr>
        <w:ind w:left="840" w:right="959" w:firstLine="663"/>
        <w:spacing w:after="0" w:line="33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Key Employee</w:t>
      </w:r>
      <w:r>
        <w:rPr>
          <w:rFonts w:ascii="Arial" w:cs="Arial" w:eastAsia="Arial" w:hAnsi="Arial"/>
          <w:sz w:val="11"/>
          <w:szCs w:val="11"/>
          <w:color w:val="auto"/>
        </w:rPr>
        <w:t>” means, with respect to the Company or Zordich, an executive officer of such Party or any employee of such Party that reports directly to the board of directors of such Party or to the Chief Executive Officer or Chief Accounting/Financial Officer of such Party.</w:t>
      </w:r>
    </w:p>
    <w:p>
      <w:pPr>
        <w:spacing w:after="0" w:line="83" w:lineRule="exact"/>
        <w:rPr>
          <w:sz w:val="20"/>
          <w:szCs w:val="20"/>
          <w:color w:val="auto"/>
        </w:rPr>
      </w:pPr>
    </w:p>
    <w:p>
      <w:pPr>
        <w:ind w:left="840" w:right="839" w:firstLine="663"/>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Knowledge</w:t>
      </w:r>
      <w:r>
        <w:rPr>
          <w:rFonts w:ascii="Arial" w:cs="Arial" w:eastAsia="Arial" w:hAnsi="Arial"/>
          <w:sz w:val="11"/>
          <w:szCs w:val="11"/>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10" w:lineRule="exact"/>
        <w:rPr>
          <w:sz w:val="20"/>
          <w:szCs w:val="20"/>
          <w:color w:val="auto"/>
        </w:rPr>
      </w:pPr>
    </w:p>
    <w:p>
      <w:pPr>
        <w:ind w:left="840" w:right="879" w:firstLine="663"/>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20" w:lineRule="exact"/>
        <w:rPr>
          <w:sz w:val="20"/>
          <w:szCs w:val="20"/>
          <w:color w:val="auto"/>
        </w:rPr>
      </w:pPr>
    </w:p>
    <w:p>
      <w:pPr>
        <w:ind w:left="840" w:right="91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Legal Proceeding</w:t>
      </w:r>
      <w:r>
        <w:rPr>
          <w:rFonts w:ascii="Arial" w:cs="Arial" w:eastAsia="Arial" w:hAnsi="Arial"/>
          <w:sz w:val="12"/>
          <w:szCs w:val="12"/>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26" w:right="1440" w:bottom="1440" w:gutter="0" w:footer="0" w:header="0"/>
        </w:sectPr>
      </w:pPr>
    </w:p>
    <w:bookmarkStart w:id="21" w:name="page22"/>
    <w:bookmarkEnd w:id="21"/>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color w:val="auto"/>
        </w:rPr>
        <w:t>Merger Sub Board</w:t>
      </w:r>
      <w:r>
        <w:rPr>
          <w:rFonts w:ascii="Arial" w:cs="Arial" w:eastAsia="Arial" w:hAnsi="Arial"/>
          <w:sz w:val="12"/>
          <w:szCs w:val="12"/>
          <w:color w:val="auto"/>
        </w:rPr>
        <w:t>” means the board of directors of Merger Sub.</w:t>
      </w:r>
    </w:p>
    <w:p>
      <w:pPr>
        <w:spacing w:after="0" w:line="151" w:lineRule="exact"/>
        <w:rPr>
          <w:sz w:val="20"/>
          <w:szCs w:val="20"/>
          <w:color w:val="auto"/>
        </w:rPr>
      </w:pPr>
    </w:p>
    <w:p>
      <w:pPr>
        <w:ind w:left="840" w:right="1139" w:firstLine="663"/>
        <w:spacing w:after="0" w:line="33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Multiemployer Plan</w:t>
      </w:r>
      <w:r>
        <w:rPr>
          <w:rFonts w:ascii="Arial" w:cs="Arial" w:eastAsia="Arial" w:hAnsi="Arial"/>
          <w:sz w:val="11"/>
          <w:szCs w:val="11"/>
          <w:color w:val="auto"/>
        </w:rPr>
        <w:t>” means (a) a “multiemployer plan,” as defined in Section 3(37) or 4001(a)(3) of ERISA or (b) a plan which if maintained or administered in or otherwise subject to the laws of the United States would be described in paragraph (a).</w:t>
      </w:r>
    </w:p>
    <w:p>
      <w:pPr>
        <w:spacing w:after="0" w:line="83" w:lineRule="exact"/>
        <w:rPr>
          <w:sz w:val="20"/>
          <w:szCs w:val="20"/>
          <w:color w:val="auto"/>
        </w:rPr>
      </w:pPr>
    </w:p>
    <w:p>
      <w:pPr>
        <w:jc w:val="both"/>
        <w:ind w:left="840" w:right="979" w:firstLine="663"/>
        <w:spacing w:after="0" w:line="389"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Multiple Employer Plan</w:t>
      </w:r>
      <w:r>
        <w:rPr>
          <w:rFonts w:ascii="Arial" w:cs="Arial" w:eastAsia="Arial" w:hAnsi="Arial"/>
          <w:sz w:val="10"/>
          <w:szCs w:val="10"/>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61" w:lineRule="exact"/>
        <w:rPr>
          <w:sz w:val="20"/>
          <w:szCs w:val="20"/>
          <w:color w:val="auto"/>
        </w:rPr>
      </w:pPr>
    </w:p>
    <w:p>
      <w:pPr>
        <w:ind w:left="840" w:right="87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Multiple Employer Welfare Arrangement</w:t>
      </w:r>
      <w:r>
        <w:rPr>
          <w:rFonts w:ascii="Arial" w:cs="Arial" w:eastAsia="Arial" w:hAnsi="Arial"/>
          <w:sz w:val="12"/>
          <w:szCs w:val="12"/>
          <w:color w:val="auto"/>
        </w:rPr>
        <w:t>” means (a) a “multiple employer welfare arrangement” within the meaning of Section 3(40) of ERISA or (b) a plan which if maintained or administered in or otherwise subject to the laws of the United States would be described in paragraph (a) of this definition.</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Nasdaq</w:t>
      </w:r>
      <w:r>
        <w:rPr>
          <w:rFonts w:ascii="Arial" w:cs="Arial" w:eastAsia="Arial" w:hAnsi="Arial"/>
          <w:sz w:val="12"/>
          <w:szCs w:val="12"/>
          <w:color w:val="auto"/>
        </w:rPr>
        <w:t>” means The Nasdaq Stock Market.</w:t>
      </w:r>
    </w:p>
    <w:p>
      <w:pPr>
        <w:spacing w:after="0" w:line="151" w:lineRule="exact"/>
        <w:rPr>
          <w:sz w:val="20"/>
          <w:szCs w:val="20"/>
          <w:color w:val="auto"/>
        </w:rPr>
      </w:pPr>
    </w:p>
    <w:p>
      <w:pPr>
        <w:ind w:left="840" w:right="979" w:firstLine="663"/>
        <w:spacing w:after="0" w:line="314"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Net Cash</w:t>
      </w:r>
      <w:r>
        <w:rPr>
          <w:rFonts w:ascii="Arial" w:cs="Arial" w:eastAsia="Arial" w:hAnsi="Arial"/>
          <w:sz w:val="10"/>
          <w:szCs w:val="10"/>
          <w:color w:val="auto"/>
        </w:rPr>
        <w:t>” means as of the Cash Determination Time and, as applicable, determined in a manner consistent with the manner in which such items were historically determined and in accordance with Zordich’s audited financial statements and unaudited interim balance sheet, Zordich’s</w:t>
      </w:r>
    </w:p>
    <w:p>
      <w:pPr>
        <w:spacing w:after="0" w:line="1" w:lineRule="exact"/>
        <w:rPr>
          <w:sz w:val="20"/>
          <w:szCs w:val="20"/>
          <w:color w:val="auto"/>
        </w:rPr>
      </w:pPr>
    </w:p>
    <w:p>
      <w:pPr>
        <w:ind w:left="840" w:right="819" w:hanging="9"/>
        <w:spacing w:after="0" w:line="276" w:lineRule="auto"/>
        <w:tabs>
          <w:tab w:leader="none" w:pos="984" w:val="left"/>
        </w:tabs>
        <w:numPr>
          <w:ilvl w:val="0"/>
          <w:numId w:val="14"/>
        </w:numPr>
        <w:rPr>
          <w:rFonts w:ascii="Arial" w:cs="Arial" w:eastAsia="Arial" w:hAnsi="Arial"/>
          <w:sz w:val="11"/>
          <w:szCs w:val="11"/>
          <w:color w:val="auto"/>
        </w:rPr>
      </w:pPr>
      <w:r>
        <w:rPr>
          <w:rFonts w:ascii="Arial" w:cs="Arial" w:eastAsia="Arial" w:hAnsi="Arial"/>
          <w:sz w:val="11"/>
          <w:szCs w:val="11"/>
          <w:color w:val="auto"/>
        </w:rPr>
        <w:t xml:space="preserve">the sum of (without duplication) Zordich’s Cash and Cash Equivalents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(ii) the sum of (without duplication) (a) all accounts payable and accrued expenses (other than accrued expenses which are Zordich’s Transaction Costs) and other current and long-term liabilities or other obligations for borrowed money, (b) all payments due as a result of, or accrued in connection with, the Contemplated Transactions that are not Zordich’s Transaction Costs, and (c) any and all liabilities of Zordich (x) to any current or former Zordich officer, director, employee, consultant or independent contractor (including change of control payments, retention payments, severance and other employee-, consultant- or independent contractor-related termination costs, or other payments), or (y) pursuant to any Zordich Benefit Plan, including deferred compensation, accrued but unpaid bonuses and accrued but unpaid vacation or paid time off (including related employer employment taxes on all the foregoing))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(iii) all of Zordich’s unpaid Transaction Costs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(iv) all payables or obligations, whether absolute, contingent or otherwise, related to Zordich’s lease obligations (net of any rights of Zordich to receive payments relating to the property subject to such lease obligation pursuant to an arrangement reasonably acceptable in form and substance (including the creditworthiness of the counterparty thereto) to the Company, such acceptance not to be unreasonably withheld, conditioned or delayed)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(v) all costs and expenses relating to the winding down of Zordich’s prior research and development activities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(vi) all prepaid Zordich expenses listed on Section 1.1(a)(ii) of the Zordich Disclosure Schedule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(vii) any deductibles paid under applicable insurance policies taken out by Zordich or any of its Subsidiaries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(viii) the aggregate costs for obtaining the D&amp;O tail insurance policy under </w:t>
      </w:r>
      <w:r>
        <w:rPr>
          <w:rFonts w:ascii="Arial" w:cs="Arial" w:eastAsia="Arial" w:hAnsi="Arial"/>
          <w:sz w:val="11"/>
          <w:szCs w:val="11"/>
          <w:u w:val="single" w:color="auto"/>
          <w:color w:val="auto"/>
        </w:rPr>
        <w:t>Section 7.9(d)</w:t>
      </w:r>
      <w:r>
        <w:rPr>
          <w:rFonts w:ascii="Arial" w:cs="Arial" w:eastAsia="Arial" w:hAnsi="Arial"/>
          <w:sz w:val="11"/>
          <w:szCs w:val="11"/>
          <w:color w:val="auto"/>
        </w:rPr>
        <w:t>. Notwithstanding the foregoing, Net Cash shall be (i) increased by an amount equal to 50% of the aggregate amount of any costs or expenses, including attorneys’ fees or settlement costs (collectively, “</w:t>
      </w:r>
      <w:r>
        <w:rPr>
          <w:rFonts w:ascii="Arial" w:cs="Arial" w:eastAsia="Arial" w:hAnsi="Arial"/>
          <w:sz w:val="11"/>
          <w:szCs w:val="11"/>
          <w:b w:val="1"/>
          <w:bCs w:val="1"/>
          <w:color w:val="auto"/>
        </w:rPr>
        <w:t>Litigation Losses</w:t>
      </w:r>
      <w:r>
        <w:rPr>
          <w:rFonts w:ascii="Arial" w:cs="Arial" w:eastAsia="Arial" w:hAnsi="Arial"/>
          <w:sz w:val="11"/>
          <w:szCs w:val="11"/>
          <w:color w:val="auto"/>
        </w:rPr>
        <w:t>”), incurred in connection with any potential or actual Transaction Litigation that are not applied towards the retention amount of any insurance policy that covers</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26" w:right="1440" w:bottom="1440" w:gutter="0" w:footer="0" w:header="0"/>
        </w:sectPr>
      </w:pPr>
    </w:p>
    <w:bookmarkStart w:id="22" w:name="page23"/>
    <w:bookmarkEnd w:id="22"/>
    <w:p>
      <w:pPr>
        <w:ind w:left="840" w:right="939"/>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Litigation Losses (any such insurance policy, a “</w:t>
      </w:r>
      <w:r>
        <w:rPr>
          <w:rFonts w:ascii="Arial" w:cs="Arial" w:eastAsia="Arial" w:hAnsi="Arial"/>
          <w:sz w:val="12"/>
          <w:szCs w:val="12"/>
          <w:b w:val="1"/>
          <w:bCs w:val="1"/>
          <w:color w:val="auto"/>
        </w:rPr>
        <w:t>Policy</w:t>
      </w:r>
      <w:r>
        <w:rPr>
          <w:rFonts w:ascii="Arial" w:cs="Arial" w:eastAsia="Arial" w:hAnsi="Arial"/>
          <w:sz w:val="12"/>
          <w:szCs w:val="12"/>
          <w:color w:val="auto"/>
        </w:rPr>
        <w:t>”) and (ii) decreased by an amount equal to 50% of the retention amount under a Policy paid by Zordich as of Closing after application of any Litigation Losses against such retention amount.</w:t>
      </w:r>
    </w:p>
    <w:p>
      <w:pPr>
        <w:spacing w:after="0" w:line="107" w:lineRule="exact"/>
        <w:rPr>
          <w:sz w:val="20"/>
          <w:szCs w:val="20"/>
          <w:color w:val="auto"/>
        </w:rPr>
      </w:pPr>
    </w:p>
    <w:p>
      <w:pPr>
        <w:jc w:val="both"/>
        <w:ind w:left="840" w:right="101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Order</w:t>
      </w:r>
      <w:r>
        <w:rPr>
          <w:rFonts w:ascii="Arial" w:cs="Arial" w:eastAsia="Arial" w:hAnsi="Arial"/>
          <w:sz w:val="12"/>
          <w:szCs w:val="12"/>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17" w:lineRule="exact"/>
        <w:rPr>
          <w:sz w:val="20"/>
          <w:szCs w:val="20"/>
          <w:color w:val="auto"/>
        </w:rPr>
      </w:pPr>
    </w:p>
    <w:p>
      <w:pPr>
        <w:ind w:left="840" w:right="959" w:firstLine="663"/>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Ordinary Course Capital Contributions</w:t>
      </w:r>
      <w:r>
        <w:rPr>
          <w:rFonts w:ascii="Arial" w:cs="Arial" w:eastAsia="Arial" w:hAnsi="Arial"/>
          <w:sz w:val="12"/>
          <w:szCs w:val="12"/>
          <w:color w:val="auto"/>
        </w:rPr>
        <w:t>” means contributions of cash to the Company by Holdings from time to time as may be necessary (as determined by the Company acting in good faith) to enable the Company to conduct its business towards achievement of the milestones set forth on Section 1.1(a)(i) of the Company Disclosure Schedule and as contemplated by the Company Budget through the Closing Date (taking into account the actual cash needs and cash balances of the Company from time to time).</w:t>
      </w:r>
    </w:p>
    <w:p>
      <w:pPr>
        <w:spacing w:after="0" w:line="120" w:lineRule="exact"/>
        <w:rPr>
          <w:sz w:val="20"/>
          <w:szCs w:val="20"/>
          <w:color w:val="auto"/>
        </w:rPr>
      </w:pPr>
    </w:p>
    <w:p>
      <w:pPr>
        <w:ind w:left="840" w:right="91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Ordinary Course of Business</w:t>
      </w:r>
      <w:r>
        <w:rPr>
          <w:rFonts w:ascii="Arial" w:cs="Arial" w:eastAsia="Arial" w:hAnsi="Arial"/>
          <w:sz w:val="12"/>
          <w:szCs w:val="12"/>
          <w:color w:val="auto"/>
        </w:rPr>
        <w:t>” means, in the case of each of the Company and Zordich, such actions taken in the ordinary course of its normal operations and consistent with its past practices.</w:t>
      </w:r>
    </w:p>
    <w:p>
      <w:pPr>
        <w:spacing w:after="0" w:line="107" w:lineRule="exact"/>
        <w:rPr>
          <w:sz w:val="20"/>
          <w:szCs w:val="20"/>
          <w:color w:val="auto"/>
        </w:rPr>
      </w:pPr>
    </w:p>
    <w:p>
      <w:pPr>
        <w:ind w:left="840" w:right="859" w:firstLine="663"/>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Organizational Documents</w:t>
      </w:r>
      <w:r>
        <w:rPr>
          <w:rFonts w:ascii="Arial" w:cs="Arial" w:eastAsia="Arial" w:hAnsi="Arial"/>
          <w:sz w:val="12"/>
          <w:szCs w:val="12"/>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2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Party</w:t>
      </w:r>
      <w:r>
        <w:rPr>
          <w:rFonts w:ascii="Arial" w:cs="Arial" w:eastAsia="Arial" w:hAnsi="Arial"/>
          <w:sz w:val="12"/>
          <w:szCs w:val="12"/>
          <w:color w:val="auto"/>
        </w:rPr>
        <w:t>” or “</w:t>
      </w:r>
      <w:r>
        <w:rPr>
          <w:rFonts w:ascii="Arial" w:cs="Arial" w:eastAsia="Arial" w:hAnsi="Arial"/>
          <w:sz w:val="12"/>
          <w:szCs w:val="12"/>
          <w:b w:val="1"/>
          <w:bCs w:val="1"/>
          <w:color w:val="auto"/>
        </w:rPr>
        <w:t>Parties</w:t>
      </w:r>
      <w:r>
        <w:rPr>
          <w:rFonts w:ascii="Arial" w:cs="Arial" w:eastAsia="Arial" w:hAnsi="Arial"/>
          <w:sz w:val="12"/>
          <w:szCs w:val="12"/>
          <w:color w:val="auto"/>
        </w:rPr>
        <w:t>” means the Company, Holdings, Merger Sub and Zordich.</w:t>
      </w:r>
    </w:p>
    <w:p>
      <w:pPr>
        <w:spacing w:after="0" w:line="151" w:lineRule="exact"/>
        <w:rPr>
          <w:sz w:val="20"/>
          <w:szCs w:val="20"/>
          <w:color w:val="auto"/>
        </w:rPr>
      </w:pPr>
    </w:p>
    <w:p>
      <w:pPr>
        <w:ind w:left="840" w:right="95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Alternative Agreement</w:t>
      </w:r>
      <w:r>
        <w:rPr>
          <w:rFonts w:ascii="Arial" w:cs="Arial" w:eastAsia="Arial" w:hAnsi="Arial"/>
          <w:sz w:val="12"/>
          <w:szCs w:val="12"/>
          <w:color w:val="auto"/>
        </w:rPr>
        <w:t>” means a definitive agreement that contemplates or otherwise relates to an Acquisition Transaction that constitutes a Superior Offer.</w:t>
      </w:r>
    </w:p>
    <w:p>
      <w:pPr>
        <w:spacing w:after="0" w:line="107" w:lineRule="exact"/>
        <w:rPr>
          <w:sz w:val="20"/>
          <w:szCs w:val="20"/>
          <w:color w:val="auto"/>
        </w:rPr>
      </w:pPr>
    </w:p>
    <w:p>
      <w:pPr>
        <w:ind w:left="840" w:right="839" w:firstLine="663"/>
        <w:spacing w:after="0" w:line="28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Permitted Encumbrance</w:t>
      </w:r>
      <w:r>
        <w:rPr>
          <w:rFonts w:ascii="Arial" w:cs="Arial" w:eastAsia="Arial" w:hAnsi="Arial"/>
          <w:sz w:val="11"/>
          <w:szCs w:val="11"/>
          <w:color w:val="auto"/>
        </w:rPr>
        <w:t>” means (a) any liens for current Taxes not yet due and payable or for Taxes that are being contested in good faith and for which adequate reserves have been made on the Company Unaudited Interim Balance Sheet or the Zordich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Zordich,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other Encumbrances that do not materially and adversely affect the value, use or operation of the asset subject thereto.</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Person</w:t>
      </w:r>
      <w:r>
        <w:rPr>
          <w:rFonts w:ascii="Arial" w:cs="Arial" w:eastAsia="Arial" w:hAnsi="Arial"/>
          <w:sz w:val="12"/>
          <w:szCs w:val="12"/>
          <w:color w:val="auto"/>
        </w:rPr>
        <w:t>” means any individual, Entity or Governmental Authority.</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Personal Information</w:t>
      </w:r>
      <w:r>
        <w:rPr>
          <w:rFonts w:ascii="Arial" w:cs="Arial" w:eastAsia="Arial" w:hAnsi="Arial"/>
          <w:sz w:val="12"/>
          <w:szCs w:val="12"/>
          <w:color w:val="auto"/>
        </w:rPr>
        <w:t>” means data and information concerning an identifiable natural person.</w:t>
      </w:r>
    </w:p>
    <w:p>
      <w:pPr>
        <w:spacing w:after="0" w:line="110"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26" w:right="1440" w:bottom="1440" w:gutter="0" w:footer="0" w:header="0"/>
        </w:sectPr>
      </w:pPr>
    </w:p>
    <w:bookmarkStart w:id="23" w:name="page24"/>
    <w:bookmarkEnd w:id="23"/>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b w:val="1"/>
          <w:bCs w:val="1"/>
          <w:color w:val="auto"/>
        </w:rPr>
        <w:t>Privacy Laws</w:t>
      </w:r>
      <w:r>
        <w:rPr>
          <w:rFonts w:ascii="Arial" w:cs="Arial" w:eastAsia="Arial" w:hAnsi="Arial"/>
          <w:sz w:val="12"/>
          <w:szCs w:val="12"/>
          <w:color w:val="auto"/>
        </w:rPr>
        <w:t>” mean Laws relating to privacy, security and/or collection and use of Personal Information.</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Representatives</w:t>
      </w:r>
      <w:r>
        <w:rPr>
          <w:rFonts w:ascii="Arial" w:cs="Arial" w:eastAsia="Arial" w:hAnsi="Arial"/>
          <w:sz w:val="10"/>
          <w:szCs w:val="10"/>
          <w:color w:val="auto"/>
        </w:rPr>
        <w:t>” means directors, officers, employees, agents, attorneys, accountants, investment bankers, advisors and representatives.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Sarbanes-Oxley Act</w:t>
      </w:r>
      <w:r>
        <w:rPr>
          <w:rFonts w:ascii="Arial" w:cs="Arial" w:eastAsia="Arial" w:hAnsi="Arial"/>
          <w:sz w:val="12"/>
          <w:szCs w:val="12"/>
          <w:color w:val="auto"/>
        </w:rPr>
        <w:t>” means the Sarbanes-Oxley Act of 2002.</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w:t>
      </w:r>
      <w:r>
        <w:rPr>
          <w:rFonts w:ascii="Arial" w:cs="Arial" w:eastAsia="Arial" w:hAnsi="Arial"/>
          <w:sz w:val="12"/>
          <w:szCs w:val="12"/>
          <w:color w:val="auto"/>
        </w:rPr>
        <w:t>” means the United States Securities and Exchange Commission.</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 Act</w:t>
      </w:r>
      <w:r>
        <w:rPr>
          <w:rFonts w:ascii="Arial" w:cs="Arial" w:eastAsia="Arial" w:hAnsi="Arial"/>
          <w:sz w:val="12"/>
          <w:szCs w:val="12"/>
          <w:color w:val="auto"/>
        </w:rPr>
        <w:t>” means the Securities Act of 1933.</w:t>
      </w:r>
    </w:p>
    <w:p>
      <w:pPr>
        <w:spacing w:after="0" w:line="151" w:lineRule="exact"/>
        <w:rPr>
          <w:sz w:val="20"/>
          <w:szCs w:val="20"/>
          <w:color w:val="auto"/>
        </w:rPr>
      </w:pPr>
    </w:p>
    <w:p>
      <w:pPr>
        <w:ind w:left="840" w:right="99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Subsequent Transaction</w:t>
      </w:r>
      <w:r>
        <w:rPr>
          <w:rFonts w:ascii="Arial" w:cs="Arial" w:eastAsia="Arial" w:hAnsi="Arial"/>
          <w:sz w:val="12"/>
          <w:szCs w:val="12"/>
          <w:color w:val="auto"/>
        </w:rPr>
        <w:t>” means any Acquisition Transaction (with all references to 20% in the definition of Acquisition Transaction being treated as references to 50% for these purposes).</w:t>
      </w:r>
    </w:p>
    <w:p>
      <w:pPr>
        <w:spacing w:after="0" w:line="107" w:lineRule="exact"/>
        <w:rPr>
          <w:sz w:val="20"/>
          <w:szCs w:val="20"/>
          <w:color w:val="auto"/>
        </w:rPr>
      </w:pPr>
    </w:p>
    <w:p>
      <w:pPr>
        <w:ind w:left="840" w:right="839" w:firstLine="663"/>
        <w:spacing w:after="0" w:line="262" w:lineRule="auto"/>
        <w:rPr>
          <w:sz w:val="20"/>
          <w:szCs w:val="20"/>
          <w:color w:val="auto"/>
        </w:rPr>
      </w:pPr>
      <w:r>
        <w:rPr>
          <w:rFonts w:ascii="Arial" w:cs="Arial" w:eastAsia="Arial" w:hAnsi="Arial"/>
          <w:sz w:val="12"/>
          <w:szCs w:val="12"/>
          <w:color w:val="auto"/>
        </w:rPr>
        <w:t>An Entity shall be deemed to be a “</w:t>
      </w:r>
      <w:r>
        <w:rPr>
          <w:rFonts w:ascii="Arial" w:cs="Arial" w:eastAsia="Arial" w:hAnsi="Arial"/>
          <w:sz w:val="12"/>
          <w:szCs w:val="12"/>
          <w:b w:val="1"/>
          <w:bCs w:val="1"/>
          <w:color w:val="auto"/>
        </w:rPr>
        <w:t>Subsidiary</w:t>
      </w:r>
      <w:r>
        <w:rPr>
          <w:rFonts w:ascii="Arial" w:cs="Arial" w:eastAsia="Arial" w:hAnsi="Arial"/>
          <w:sz w:val="12"/>
          <w:szCs w:val="12"/>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20" w:lineRule="exact"/>
        <w:rPr>
          <w:sz w:val="20"/>
          <w:szCs w:val="20"/>
          <w:color w:val="auto"/>
        </w:rPr>
      </w:pPr>
    </w:p>
    <w:p>
      <w:pPr>
        <w:ind w:left="840" w:right="859" w:firstLine="663"/>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Superior Offer</w:t>
      </w:r>
      <w:r>
        <w:rPr>
          <w:rFonts w:ascii="Arial" w:cs="Arial" w:eastAsia="Arial" w:hAnsi="Arial"/>
          <w:sz w:val="12"/>
          <w:szCs w:val="12"/>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Zordich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Zordich’s stockholders or the Company’s stockholders, as applicable, than the terms of the Contemplated Transactions and is not subject to any financing conditions (and if financing is required, such financing is then fully committed to the third party).</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SVB</w:t>
      </w:r>
      <w:r>
        <w:rPr>
          <w:rFonts w:ascii="Arial" w:cs="Arial" w:eastAsia="Arial" w:hAnsi="Arial"/>
          <w:sz w:val="12"/>
          <w:szCs w:val="12"/>
          <w:color w:val="auto"/>
        </w:rPr>
        <w:t>” means Silicon Valley Bank.</w:t>
      </w:r>
    </w:p>
    <w:p>
      <w:pPr>
        <w:spacing w:after="0" w:line="151" w:lineRule="exact"/>
        <w:rPr>
          <w:sz w:val="20"/>
          <w:szCs w:val="20"/>
          <w:color w:val="auto"/>
        </w:rPr>
      </w:pPr>
    </w:p>
    <w:p>
      <w:pPr>
        <w:ind w:left="840" w:right="109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SVB Debt</w:t>
      </w:r>
      <w:r>
        <w:rPr>
          <w:rFonts w:ascii="Arial" w:cs="Arial" w:eastAsia="Arial" w:hAnsi="Arial"/>
          <w:sz w:val="12"/>
          <w:szCs w:val="12"/>
          <w:color w:val="auto"/>
        </w:rPr>
        <w:t>” means the borrowings provided for under the Loan and Security Agreement between Zordich, as borrower, and SVB, as lender, dated December 29, 2017.</w:t>
      </w:r>
    </w:p>
    <w:p>
      <w:pPr>
        <w:spacing w:after="0" w:line="107" w:lineRule="exact"/>
        <w:rPr>
          <w:sz w:val="20"/>
          <w:szCs w:val="20"/>
          <w:color w:val="auto"/>
        </w:rPr>
      </w:pPr>
    </w:p>
    <w:p>
      <w:pPr>
        <w:ind w:left="840" w:right="839" w:firstLine="663"/>
        <w:spacing w:after="0" w:line="29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Tax</w:t>
      </w:r>
      <w:r>
        <w:rPr>
          <w:rFonts w:ascii="Arial" w:cs="Arial" w:eastAsia="Arial" w:hAnsi="Arial"/>
          <w:sz w:val="11"/>
          <w:szCs w:val="11"/>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05" w:lineRule="exact"/>
        <w:rPr>
          <w:sz w:val="20"/>
          <w:szCs w:val="20"/>
          <w:color w:val="auto"/>
        </w:rPr>
      </w:pPr>
    </w:p>
    <w:p>
      <w:pPr>
        <w:ind w:left="840" w:right="859" w:firstLine="663"/>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 Return</w:t>
      </w:r>
      <w:r>
        <w:rPr>
          <w:rFonts w:ascii="Arial" w:cs="Arial" w:eastAsia="Arial" w:hAnsi="Arial"/>
          <w:sz w:val="12"/>
          <w:szCs w:val="12"/>
          <w:color w:val="auto"/>
        </w:rPr>
        <w:t>”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226" w:right="1440" w:bottom="1440" w:gutter="0" w:footer="0" w:header="0"/>
        </w:sectPr>
      </w:pPr>
    </w:p>
    <w:bookmarkStart w:id="24" w:name="page25"/>
    <w:bookmarkEnd w:id="24"/>
    <w:p>
      <w:pPr>
        <w:ind w:left="840" w:right="899" w:firstLine="663"/>
        <w:spacing w:after="0" w:line="28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1"/>
          <w:szCs w:val="11"/>
          <w:b w:val="1"/>
          <w:bCs w:val="1"/>
          <w:color w:val="auto"/>
        </w:rPr>
        <w:t>Transaction Costs</w:t>
      </w:r>
      <w:r>
        <w:rPr>
          <w:rFonts w:ascii="Arial" w:cs="Arial" w:eastAsia="Arial" w:hAnsi="Arial"/>
          <w:sz w:val="11"/>
          <w:szCs w:val="11"/>
          <w:color w:val="auto"/>
        </w:rPr>
        <w:t>” means, with respect to any Person, the sum of (a) the cash equivalent value of any change of control payments or severance payments that are or become due to any employee of such Person and its Subsidiaries in connection with the consummation of the Contemplated Transactions and that are unpaid as of the Closing, (b) the cash equivalent value of any retention payments that are or become due to any employee of such Person and its Subsidiaries in connection with the consummation of the Contemplated Transactions and that are unpaid as of the Closing, (c) any costs, fees and expenses incurred by such Person and its Subsidiaries, or for which such Person and its Subsidiaries is liable, in connection with the negotiation, preparation and execution of this Agreement and the consummation of the Contemplated Transactions (including the solicitation of proxies) and that are unpaid as of the Closing, including brokerage fees, filing fees and commissions, finders’ fees or financial advisory fees, or any fees and expenses of proxy solicitors, counsel or accountants payable by such Person and its Subsidiaries.</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 Litigation</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6.4 (c)</w:t>
      </w:r>
      <w:r>
        <w:rPr>
          <w:rFonts w:ascii="Arial" w:cs="Arial" w:eastAsia="Arial" w:hAnsi="Arial"/>
          <w:sz w:val="12"/>
          <w:szCs w:val="12"/>
          <w:color w:val="auto"/>
        </w:rPr>
        <w:t>.</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Treasury Regulations</w:t>
      </w:r>
      <w:r>
        <w:rPr>
          <w:rFonts w:ascii="Arial" w:cs="Arial" w:eastAsia="Arial" w:hAnsi="Arial"/>
          <w:sz w:val="12"/>
          <w:szCs w:val="12"/>
          <w:color w:val="auto"/>
        </w:rPr>
        <w:t>” means the United States Treasury regulations promulgated under the Code.</w:t>
      </w:r>
    </w:p>
    <w:p>
      <w:pPr>
        <w:spacing w:after="0" w:line="151" w:lineRule="exact"/>
        <w:rPr>
          <w:sz w:val="20"/>
          <w:szCs w:val="20"/>
          <w:color w:val="auto"/>
        </w:rPr>
      </w:pPr>
    </w:p>
    <w:p>
      <w:pPr>
        <w:ind w:left="840" w:right="105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Affiliate</w:t>
      </w:r>
      <w:r>
        <w:rPr>
          <w:rFonts w:ascii="Arial" w:cs="Arial" w:eastAsia="Arial" w:hAnsi="Arial"/>
          <w:sz w:val="12"/>
          <w:szCs w:val="12"/>
          <w:color w:val="auto"/>
        </w:rPr>
        <w:t>” means any Person that is (or at any relevant time was) under common control with Zordich within the meaning of Sections 414(b), (c), (m) and (o) of the Code, and the regulations issued thereunder.</w:t>
      </w:r>
    </w:p>
    <w:p>
      <w:pPr>
        <w:spacing w:after="0" w:line="107"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Associate</w:t>
      </w:r>
      <w:r>
        <w:rPr>
          <w:rFonts w:ascii="Arial" w:cs="Arial" w:eastAsia="Arial" w:hAnsi="Arial"/>
          <w:sz w:val="12"/>
          <w:szCs w:val="12"/>
          <w:color w:val="auto"/>
        </w:rPr>
        <w:t>” means any current or former employee, independent contractor, officer or director of Zordich or any of its</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Subsidiaries.</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Board</w:t>
      </w:r>
      <w:r>
        <w:rPr>
          <w:rFonts w:ascii="Arial" w:cs="Arial" w:eastAsia="Arial" w:hAnsi="Arial"/>
          <w:sz w:val="12"/>
          <w:szCs w:val="12"/>
          <w:color w:val="auto"/>
        </w:rPr>
        <w:t>” means the board of directors of Zordich.</w:t>
      </w:r>
    </w:p>
    <w:p>
      <w:pPr>
        <w:spacing w:after="0" w:line="151" w:lineRule="exact"/>
        <w:rPr>
          <w:sz w:val="20"/>
          <w:szCs w:val="20"/>
          <w:color w:val="auto"/>
        </w:rPr>
      </w:pPr>
    </w:p>
    <w:p>
      <w:pPr>
        <w:ind w:left="840" w:right="147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Capitalization Representations</w:t>
      </w:r>
      <w:r>
        <w:rPr>
          <w:rFonts w:ascii="Arial" w:cs="Arial" w:eastAsia="Arial" w:hAnsi="Arial"/>
          <w:sz w:val="12"/>
          <w:szCs w:val="12"/>
          <w:color w:val="auto"/>
        </w:rPr>
        <w:t xml:space="preserve">” means the representations and warranties of Zordich and Merger Sub set forth in </w:t>
      </w:r>
      <w:r>
        <w:rPr>
          <w:rFonts w:ascii="Arial" w:cs="Arial" w:eastAsia="Arial" w:hAnsi="Arial"/>
          <w:sz w:val="12"/>
          <w:szCs w:val="12"/>
          <w:u w:val="single" w:color="auto"/>
          <w:color w:val="auto"/>
        </w:rPr>
        <w:t>Sections 4.6(a)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4.6(d)</w:t>
      </w:r>
      <w:r>
        <w:rPr>
          <w:rFonts w:ascii="Arial" w:cs="Arial" w:eastAsia="Arial" w:hAnsi="Arial"/>
          <w:sz w:val="12"/>
          <w:szCs w:val="12"/>
          <w:color w:val="auto"/>
        </w:rPr>
        <w:t>.</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Common Stock</w:t>
      </w:r>
      <w:r>
        <w:rPr>
          <w:rFonts w:ascii="Arial" w:cs="Arial" w:eastAsia="Arial" w:hAnsi="Arial"/>
          <w:sz w:val="12"/>
          <w:szCs w:val="12"/>
          <w:color w:val="auto"/>
        </w:rPr>
        <w:t>” means the common stock, $0.001 par value per share, of Zordich.</w:t>
      </w:r>
    </w:p>
    <w:p>
      <w:pPr>
        <w:spacing w:after="0" w:line="151" w:lineRule="exact"/>
        <w:rPr>
          <w:sz w:val="20"/>
          <w:szCs w:val="20"/>
          <w:color w:val="auto"/>
        </w:rPr>
      </w:pPr>
    </w:p>
    <w:p>
      <w:pPr>
        <w:ind w:left="840" w:right="89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Contract</w:t>
      </w:r>
      <w:r>
        <w:rPr>
          <w:rFonts w:ascii="Arial" w:cs="Arial" w:eastAsia="Arial" w:hAnsi="Arial"/>
          <w:sz w:val="12"/>
          <w:szCs w:val="12"/>
          <w:color w:val="auto"/>
        </w:rPr>
        <w:t>” means any Contract: (a) to which Zordich is a party, (b) by which Zordich or any Zordich IP Rights or any other asset of Zordich is or may become bound or under which Zordich has, or may become subject to, any obligation or (c) under which Zordich has or may acquire any right or interest.</w:t>
      </w:r>
    </w:p>
    <w:p>
      <w:pPr>
        <w:spacing w:after="0" w:line="117" w:lineRule="exact"/>
        <w:rPr>
          <w:sz w:val="20"/>
          <w:szCs w:val="20"/>
          <w:color w:val="auto"/>
        </w:rPr>
      </w:pPr>
    </w:p>
    <w:p>
      <w:pPr>
        <w:ind w:left="840" w:right="85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Covered Person</w:t>
      </w:r>
      <w:r>
        <w:rPr>
          <w:rFonts w:ascii="Arial" w:cs="Arial" w:eastAsia="Arial" w:hAnsi="Arial"/>
          <w:sz w:val="12"/>
          <w:szCs w:val="12"/>
          <w:color w:val="auto"/>
        </w:rPr>
        <w:t>” means, with respect to Zordich as an “issuer” for purposes of Rule 506 promulgated under the Securities Act, any Person listed in the first paragraph of Rule 506(d)(1).</w:t>
      </w:r>
    </w:p>
    <w:p>
      <w:pPr>
        <w:spacing w:after="0" w:line="107" w:lineRule="exact"/>
        <w:rPr>
          <w:sz w:val="20"/>
          <w:szCs w:val="20"/>
          <w:color w:val="auto"/>
        </w:rPr>
      </w:pPr>
    </w:p>
    <w:p>
      <w:pPr>
        <w:ind w:left="840" w:right="839" w:firstLine="663"/>
        <w:spacing w:after="0" w:line="345"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Zordich Employee Plan</w:t>
      </w:r>
      <w:r>
        <w:rPr>
          <w:rFonts w:ascii="Arial" w:cs="Arial" w:eastAsia="Arial" w:hAnsi="Arial"/>
          <w:sz w:val="10"/>
          <w:szCs w:val="10"/>
          <w:color w:val="auto"/>
        </w:rPr>
        <w:t>” means any Employee Plan that Zordich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Zordich or any of its Subsidiaries (or their spouses, dependents, or beneficiaries).</w:t>
      </w:r>
    </w:p>
    <w:p>
      <w:pPr>
        <w:spacing w:after="0" w:line="82" w:lineRule="exact"/>
        <w:rPr>
          <w:sz w:val="20"/>
          <w:szCs w:val="20"/>
          <w:color w:val="auto"/>
        </w:rPr>
      </w:pPr>
    </w:p>
    <w:p>
      <w:pPr>
        <w:ind w:left="840" w:right="151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Fundamental Representations</w:t>
      </w:r>
      <w:r>
        <w:rPr>
          <w:rFonts w:ascii="Arial" w:cs="Arial" w:eastAsia="Arial" w:hAnsi="Arial"/>
          <w:sz w:val="12"/>
          <w:szCs w:val="12"/>
          <w:color w:val="auto"/>
        </w:rPr>
        <w:t xml:space="preserve">” means the representations and warranties of Zordich and Merger Sub set forth in </w:t>
      </w:r>
      <w:r>
        <w:rPr>
          <w:rFonts w:ascii="Arial" w:cs="Arial" w:eastAsia="Arial" w:hAnsi="Arial"/>
          <w:sz w:val="12"/>
          <w:szCs w:val="12"/>
          <w:u w:val="single" w:color="auto"/>
          <w:color w:val="auto"/>
        </w:rPr>
        <w:t>Sections 4.1(a)</w:t>
      </w:r>
      <w:r>
        <w:rPr>
          <w:rFonts w:ascii="Arial" w:cs="Arial" w:eastAsia="Arial" w:hAnsi="Arial"/>
          <w:sz w:val="12"/>
          <w:szCs w:val="12"/>
          <w:color w:val="auto"/>
        </w:rPr>
        <w:t xml:space="preserve">, </w:t>
      </w:r>
      <w:r>
        <w:rPr>
          <w:rFonts w:ascii="Arial" w:cs="Arial" w:eastAsia="Arial" w:hAnsi="Arial"/>
          <w:sz w:val="12"/>
          <w:szCs w:val="12"/>
          <w:u w:val="single" w:color="auto"/>
          <w:color w:val="auto"/>
        </w:rPr>
        <w:t>4.1(b)</w:t>
      </w:r>
      <w:r>
        <w:rPr>
          <w:rFonts w:ascii="Arial" w:cs="Arial" w:eastAsia="Arial" w:hAnsi="Arial"/>
          <w:sz w:val="12"/>
          <w:szCs w:val="12"/>
          <w:color w:val="auto"/>
        </w:rPr>
        <w:t xml:space="preserve">, </w:t>
      </w:r>
      <w:r>
        <w:rPr>
          <w:rFonts w:ascii="Arial" w:cs="Arial" w:eastAsia="Arial" w:hAnsi="Arial"/>
          <w:sz w:val="12"/>
          <w:szCs w:val="12"/>
          <w:u w:val="single" w:color="auto"/>
          <w:color w:val="auto"/>
        </w:rPr>
        <w:t>4.2</w:t>
      </w:r>
      <w:r>
        <w:rPr>
          <w:rFonts w:ascii="Arial" w:cs="Arial" w:eastAsia="Arial" w:hAnsi="Arial"/>
          <w:sz w:val="12"/>
          <w:szCs w:val="12"/>
          <w:color w:val="auto"/>
        </w:rPr>
        <w:t xml:space="preserve">, </w:t>
      </w:r>
      <w:r>
        <w:rPr>
          <w:rFonts w:ascii="Arial" w:cs="Arial" w:eastAsia="Arial" w:hAnsi="Arial"/>
          <w:sz w:val="12"/>
          <w:szCs w:val="12"/>
          <w:u w:val="single" w:color="auto"/>
          <w:color w:val="auto"/>
        </w:rPr>
        <w:t>4.3</w:t>
      </w:r>
      <w:r>
        <w:rPr>
          <w:rFonts w:ascii="Arial" w:cs="Arial" w:eastAsia="Arial" w:hAnsi="Arial"/>
          <w:sz w:val="12"/>
          <w:szCs w:val="12"/>
          <w:color w:val="auto"/>
        </w:rPr>
        <w:t xml:space="preserve">, </w:t>
      </w:r>
      <w:r>
        <w:rPr>
          <w:rFonts w:ascii="Arial" w:cs="Arial" w:eastAsia="Arial" w:hAnsi="Arial"/>
          <w:sz w:val="12"/>
          <w:szCs w:val="12"/>
          <w:u w:val="single" w:color="auto"/>
          <w:color w:val="auto"/>
        </w:rPr>
        <w:t>4.4,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4.21</w:t>
      </w:r>
      <w:r>
        <w:rPr>
          <w:rFonts w:ascii="Arial" w:cs="Arial" w:eastAsia="Arial" w:hAnsi="Arial"/>
          <w:sz w:val="12"/>
          <w:szCs w:val="12"/>
          <w:color w:val="auto"/>
        </w:rPr>
        <w:t>.</w:t>
      </w:r>
    </w:p>
    <w:p>
      <w:pPr>
        <w:spacing w:after="0" w:line="107" w:lineRule="exact"/>
        <w:rPr>
          <w:sz w:val="20"/>
          <w:szCs w:val="20"/>
          <w:color w:val="auto"/>
        </w:rPr>
      </w:pPr>
    </w:p>
    <w:p>
      <w:pPr>
        <w:ind w:left="840" w:right="101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IP Rights</w:t>
      </w:r>
      <w:r>
        <w:rPr>
          <w:rFonts w:ascii="Arial" w:cs="Arial" w:eastAsia="Arial" w:hAnsi="Arial"/>
          <w:sz w:val="12"/>
          <w:szCs w:val="12"/>
          <w:color w:val="auto"/>
        </w:rPr>
        <w:t>” means all Intellectual Property owned, licensed or controlled by Zordich that is necessary for the operation of the business of Zordich as presently conducted.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226" w:right="1440" w:bottom="1440" w:gutter="0" w:footer="0" w:header="0"/>
        </w:sectPr>
      </w:pPr>
    </w:p>
    <w:bookmarkStart w:id="25" w:name="page26"/>
    <w:bookmarkEnd w:id="25"/>
    <w:p>
      <w:pPr>
        <w:ind w:left="15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1"/>
          <w:szCs w:val="11"/>
          <w:b w:val="1"/>
          <w:bCs w:val="1"/>
          <w:color w:val="auto"/>
        </w:rPr>
        <w:t>Zordich IP Rights Agreement</w:t>
      </w:r>
      <w:r>
        <w:rPr>
          <w:rFonts w:ascii="Arial" w:cs="Arial" w:eastAsia="Arial" w:hAnsi="Arial"/>
          <w:sz w:val="11"/>
          <w:szCs w:val="11"/>
          <w:color w:val="auto"/>
        </w:rPr>
        <w:t>” means any instrument or agreement governing, related or pertaining to any Zordich IP Rights.</w:t>
      </w:r>
    </w:p>
    <w:p>
      <w:pPr>
        <w:spacing w:after="0" w:line="162" w:lineRule="exact"/>
        <w:rPr>
          <w:sz w:val="20"/>
          <w:szCs w:val="20"/>
          <w:color w:val="auto"/>
        </w:rPr>
      </w:pPr>
    </w:p>
    <w:p>
      <w:pPr>
        <w:ind w:left="840" w:right="859" w:firstLine="663"/>
        <w:spacing w:after="0" w:line="308"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Zordich Material Adverse Effect</w:t>
      </w:r>
      <w:r>
        <w:rPr>
          <w:rFonts w:ascii="Arial" w:cs="Arial" w:eastAsia="Arial" w:hAnsi="Arial"/>
          <w:sz w:val="10"/>
          <w:szCs w:val="10"/>
          <w:color w:val="auto"/>
        </w:rPr>
        <w:t>” means any Effect that, considered together with all other Effects that have occurred prior to the date of determination of the occurrence of the Zordich Material Adverse Effect, has or would reasonably be expected to have a material adverse effect on the business, financial condition, assets, liabilities or results of operations of Zordich or any of its Subsidiaries, taken as a whole; provided, however, that Effects arising or resulting from the following shall not be taken into account in determining whether there has been a Zordich Material Adverse Effect:</w:t>
      </w:r>
    </w:p>
    <w:p>
      <w:pPr>
        <w:ind w:left="840" w:right="819" w:hanging="9"/>
        <w:spacing w:after="0" w:line="277" w:lineRule="auto"/>
        <w:tabs>
          <w:tab w:leader="none" w:pos="1004"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announcement of the Agreement or the pendency of the Contemplated Transactions; (b) any change in the stock price or trading volume of Zordich Common Stock; (c) changes in the trading price or trading volume of Zordich Common Stock (provided, however, that, a delisting of Zordich Common Stock on Nasdaq shall constitute a Zordich Material Adverse Effect, provided that the Company has not refused or unreasonably delayed its consent to reasonable actions by Zordich to maintain the listing of Zordich Common Stock on Nasdaq); (d) the taking of any action, or the failure to take any action, by Zordich that is required to comply with the terms of the Agreement or the taking of any action expressly permitted by Section 5.1(b) of the Zordich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GAAP or applicable Law or the interpretation thereof or (g) general economic or political conditions or conditions generally affecting the industries in which Zordich or any of its Subsidiaries operates; except, in each case with respect to clauses (e), (f) and (d), to the extent disproportionately affecting Zordich or any of its Subsidiaries relative to other similarly situated companies in the industries in which Zordich or any of its Subsidiaries operates.</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Options</w:t>
      </w:r>
      <w:r>
        <w:rPr>
          <w:rFonts w:ascii="Arial" w:cs="Arial" w:eastAsia="Arial" w:hAnsi="Arial"/>
          <w:sz w:val="12"/>
          <w:szCs w:val="12"/>
          <w:color w:val="auto"/>
        </w:rPr>
        <w:t>” means options or other rights to purchase shares of Zordich Common Stock issued by Zordich.</w:t>
      </w:r>
    </w:p>
    <w:p>
      <w:pPr>
        <w:spacing w:after="0" w:line="151" w:lineRule="exact"/>
        <w:rPr>
          <w:sz w:val="20"/>
          <w:szCs w:val="20"/>
          <w:color w:val="auto"/>
        </w:rPr>
      </w:pPr>
    </w:p>
    <w:p>
      <w:pPr>
        <w:jc w:val="both"/>
        <w:ind w:left="840" w:right="819" w:firstLine="6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Registered IP</w:t>
      </w:r>
      <w:r>
        <w:rPr>
          <w:rFonts w:ascii="Arial" w:cs="Arial" w:eastAsia="Arial" w:hAnsi="Arial"/>
          <w:sz w:val="12"/>
          <w:szCs w:val="12"/>
          <w:color w:val="auto"/>
        </w:rPr>
        <w:t>” means all Zordich IP Rights that are owned or exclusively licensed by Zordich that are registered, filed or issued under the authority of, with or by any Governmental Authority, including all patents, registered copyrights and registered trademarks and all applications for any of the foregoing.</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Reverse Stock Split</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6.19</w:t>
      </w:r>
      <w:r>
        <w:rPr>
          <w:rFonts w:ascii="Arial" w:cs="Arial" w:eastAsia="Arial" w:hAnsi="Arial"/>
          <w:sz w:val="12"/>
          <w:szCs w:val="12"/>
          <w:color w:val="auto"/>
        </w:rPr>
        <w:t>.</w:t>
      </w:r>
    </w:p>
    <w:p>
      <w:pPr>
        <w:spacing w:after="0" w:line="151" w:lineRule="exact"/>
        <w:rPr>
          <w:sz w:val="20"/>
          <w:szCs w:val="20"/>
          <w:color w:val="auto"/>
        </w:rPr>
      </w:pPr>
    </w:p>
    <w:p>
      <w:pPr>
        <w:ind w:left="840" w:right="105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RSUs</w:t>
      </w:r>
      <w:r>
        <w:rPr>
          <w:rFonts w:ascii="Arial" w:cs="Arial" w:eastAsia="Arial" w:hAnsi="Arial"/>
          <w:sz w:val="12"/>
          <w:szCs w:val="12"/>
          <w:color w:val="auto"/>
        </w:rPr>
        <w:t>” shall mean any equity award with respect to Zordich Common Stock that represents the right to receive in the future shares of Zordich Common Stock pursuant to any Zordich Stock Plan.</w:t>
      </w:r>
    </w:p>
    <w:p>
      <w:pPr>
        <w:spacing w:after="0" w:line="107" w:lineRule="exact"/>
        <w:rPr>
          <w:sz w:val="20"/>
          <w:szCs w:val="20"/>
          <w:color w:val="auto"/>
        </w:rPr>
      </w:pPr>
    </w:p>
    <w:p>
      <w:pPr>
        <w:ind w:left="840" w:right="919" w:firstLine="663"/>
        <w:spacing w:after="0" w:line="330"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Zordich Triggering Event</w:t>
      </w:r>
      <w:r>
        <w:rPr>
          <w:rFonts w:ascii="Arial" w:cs="Arial" w:eastAsia="Arial" w:hAnsi="Arial"/>
          <w:sz w:val="10"/>
          <w:szCs w:val="10"/>
          <w:color w:val="auto"/>
        </w:rPr>
        <w:t xml:space="preserve">” shall be deemed to have occurred if: (a) Zordich shall have failed to include in the Proxy Statement the Zordich Board Recommendation, (b) the Zordich Board or any committee thereof shall have made a Zordich Board Adverse Recommendation Change or approved, endorsed or recommended any Acquisition Proposal or (c) Zordich shall have entered into any letter of intent or similar document or any Contract relating to any Acquisition Proposal (other than an Acceptable Confidentiality Agreement permitted pursuant to </w:t>
      </w:r>
      <w:r>
        <w:rPr>
          <w:rFonts w:ascii="Arial" w:cs="Arial" w:eastAsia="Arial" w:hAnsi="Arial"/>
          <w:sz w:val="10"/>
          <w:szCs w:val="10"/>
          <w:u w:val="single" w:color="auto"/>
          <w:color w:val="auto"/>
        </w:rPr>
        <w:t>Section 4.4</w:t>
      </w:r>
      <w:r>
        <w:rPr>
          <w:rFonts w:ascii="Arial" w:cs="Arial" w:eastAsia="Arial" w:hAnsi="Arial"/>
          <w:sz w:val="10"/>
          <w:szCs w:val="10"/>
          <w:color w:val="auto"/>
        </w:rPr>
        <w:t>).</w:t>
      </w:r>
    </w:p>
    <w:p>
      <w:pPr>
        <w:spacing w:after="0" w:line="90" w:lineRule="exact"/>
        <w:rPr>
          <w:sz w:val="20"/>
          <w:szCs w:val="20"/>
          <w:color w:val="auto"/>
        </w:rPr>
      </w:pPr>
    </w:p>
    <w:p>
      <w:pPr>
        <w:ind w:left="840" w:right="1179" w:firstLine="663"/>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Zordich Unaudited Interim Balance Sheet</w:t>
      </w:r>
      <w:r>
        <w:rPr>
          <w:rFonts w:ascii="Arial" w:cs="Arial" w:eastAsia="Arial" w:hAnsi="Arial"/>
          <w:sz w:val="12"/>
          <w:szCs w:val="12"/>
          <w:color w:val="auto"/>
        </w:rPr>
        <w:t>” means the unaudited balance sheet of Zordich as of September 30, 2019, included in Zordich’s Report on Form 10-Q for the fiscal quarter ended September, 2019, as filed with the SEC.</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26" w:right="1440" w:bottom="1440" w:gutter="0" w:footer="0" w:header="0"/>
        </w:sectPr>
      </w:pPr>
    </w:p>
    <w:bookmarkStart w:id="26" w:name="page27"/>
    <w:bookmarkEnd w:id="26"/>
    <w:p>
      <w:pPr>
        <w:ind w:left="1720" w:hanging="226"/>
        <w:spacing w:after="0"/>
        <w:tabs>
          <w:tab w:leader="none" w:pos="1720" w:val="left"/>
        </w:tabs>
        <w:numPr>
          <w:ilvl w:val="0"/>
          <w:numId w:val="1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of the following terms is defined in the Section set forth opposite such term:</w:t>
      </w:r>
    </w:p>
    <w:p>
      <w:pPr>
        <w:spacing w:after="0" w:line="162"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2180" w:type="dxa"/>
            <w:vAlign w:val="bottom"/>
            <w:gridSpan w:val="2"/>
          </w:tcPr>
          <w:p>
            <w:pPr>
              <w:spacing w:after="0"/>
              <w:rPr>
                <w:sz w:val="20"/>
                <w:szCs w:val="20"/>
                <w:color w:val="auto"/>
              </w:rPr>
            </w:pPr>
            <w:r>
              <w:rPr>
                <w:rFonts w:ascii="Arial" w:cs="Arial" w:eastAsia="Arial" w:hAnsi="Arial"/>
                <w:sz w:val="10"/>
                <w:szCs w:val="10"/>
                <w:b w:val="1"/>
                <w:bCs w:val="1"/>
                <w:color w:val="auto"/>
              </w:rPr>
              <w:t>Term</w:t>
            </w:r>
          </w:p>
        </w:tc>
        <w:tc>
          <w:tcPr>
            <w:tcW w:w="2360" w:type="dxa"/>
            <w:vAlign w:val="bottom"/>
          </w:tcPr>
          <w:p>
            <w:pPr>
              <w:spacing w:after="0"/>
              <w:rPr>
                <w:sz w:val="10"/>
                <w:szCs w:val="10"/>
                <w:color w:val="auto"/>
              </w:rPr>
            </w:pPr>
          </w:p>
        </w:tc>
        <w:tc>
          <w:tcPr>
            <w:tcW w:w="440" w:type="dxa"/>
            <w:vAlign w:val="bottom"/>
            <w:gridSpan w:val="2"/>
          </w:tcPr>
          <w:p>
            <w:pPr>
              <w:spacing w:after="0"/>
              <w:rPr>
                <w:sz w:val="20"/>
                <w:szCs w:val="20"/>
                <w:color w:val="auto"/>
              </w:rPr>
            </w:pPr>
            <w:r>
              <w:rPr>
                <w:rFonts w:ascii="Arial" w:cs="Arial" w:eastAsia="Arial" w:hAnsi="Arial"/>
                <w:sz w:val="10"/>
                <w:szCs w:val="10"/>
                <w:b w:val="1"/>
                <w:bCs w:val="1"/>
                <w:color w:val="auto"/>
              </w:rPr>
              <w:t>Section</w:t>
            </w:r>
          </w:p>
        </w:tc>
      </w:tr>
      <w:tr>
        <w:trPr>
          <w:trHeight w:val="125"/>
        </w:trPr>
        <w:tc>
          <w:tcPr>
            <w:tcW w:w="22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w w:val="71"/>
              </w:rPr>
              <w:t>409A</w:t>
            </w:r>
          </w:p>
        </w:tc>
        <w:tc>
          <w:tcPr>
            <w:tcW w:w="1960" w:type="dxa"/>
            <w:vAlign w:val="bottom"/>
          </w:tcPr>
          <w:p>
            <w:pPr>
              <w:ind w:left="80"/>
              <w:spacing w:after="0" w:line="125" w:lineRule="exact"/>
              <w:rPr>
                <w:sz w:val="20"/>
                <w:szCs w:val="20"/>
                <w:color w:val="auto"/>
              </w:rPr>
            </w:pPr>
            <w:r>
              <w:rPr>
                <w:rFonts w:ascii="Arial" w:cs="Arial" w:eastAsia="Arial" w:hAnsi="Arial"/>
                <w:sz w:val="12"/>
                <w:szCs w:val="12"/>
                <w:color w:val="auto"/>
              </w:rPr>
              <w:t>Plan</w:t>
            </w:r>
          </w:p>
        </w:tc>
        <w:tc>
          <w:tcPr>
            <w:tcW w:w="2360" w:type="dxa"/>
            <w:vAlign w:val="bottom"/>
          </w:tcPr>
          <w:p>
            <w:pPr>
              <w:spacing w:after="0"/>
              <w:rPr>
                <w:sz w:val="10"/>
                <w:szCs w:val="10"/>
                <w:color w:val="auto"/>
              </w:rPr>
            </w:pPr>
          </w:p>
        </w:tc>
        <w:tc>
          <w:tcPr>
            <w:tcW w:w="30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w w:val="73"/>
              </w:rPr>
              <w:t>3.17(h)</w:t>
            </w:r>
          </w:p>
        </w:tc>
        <w:tc>
          <w:tcPr>
            <w:tcW w:w="140" w:type="dxa"/>
            <w:vAlign w:val="bottom"/>
          </w:tcPr>
          <w:p>
            <w:pPr>
              <w:spacing w:after="0"/>
              <w:rPr>
                <w:sz w:val="10"/>
                <w:szCs w:val="10"/>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AAA</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Accounting Firm</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Agreement</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w w:val="81"/>
              </w:rPr>
              <w:t>Preamble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Capitalization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4.6(a)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Cash Determination Time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Certificate of Merger</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Certification</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4.7(a)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Closing</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Closing Date</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w w:val="81"/>
              </w:rPr>
              <w:t>Preamble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409A Plan</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3.17(h)</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Audited Financial Statements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6.1(e)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Disclosure Schedule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w w:val="83"/>
              </w:rPr>
              <w:t>Section 3</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Employee Plan</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Financials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3.7(a)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Interim Financial Statements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6.1(e)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Lock-Up Agreements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w w:val="98"/>
              </w:rPr>
              <w:t>Recitals</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Material Contract</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3.13(a)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Net Cash Calculation</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Net Cash Delivery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Net Cash Determination Time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Net Cash Dispute Notice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2.8(d)</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Net Cash Response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2.8(d)</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Net Cash Schedule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Permits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3.14(b)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Product Candidates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3.14(d)</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Real Estate Leases</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3.11</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Regulatory Permits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3.14(d)</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Stock Certificate</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Company Termination Fee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10.3(b)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Costs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6.9(a)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D&amp;O Indemnified Parties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6.9(a)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Delivery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Dispute Notice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2.8(b)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Dissenting Shares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2.9(a)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Drug Regulatory Agency</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3.14(c)</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Effective Time</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2.3</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End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10.1(b)</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Exchange Agent</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2.7(a)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FDA</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3.14(c)</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FDCA</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3.14(c)</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Funding Commitment</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6.26</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Funding Counterparty</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6.26</w:t>
            </w:r>
          </w:p>
        </w:tc>
        <w:tc>
          <w:tcPr>
            <w:tcW w:w="140" w:type="dxa"/>
            <w:vAlign w:val="bottom"/>
          </w:tcPr>
          <w:p>
            <w:pPr>
              <w:spacing w:after="0"/>
              <w:rPr>
                <w:sz w:val="12"/>
                <w:szCs w:val="12"/>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GAAP</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3.7(a)</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Grant Date</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rPr>
              <w:t>3.6(f)</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Holdings</w:t>
            </w:r>
          </w:p>
        </w:tc>
        <w:tc>
          <w:tcPr>
            <w:tcW w:w="23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2"/>
                <w:szCs w:val="12"/>
                <w:color w:val="auto"/>
                <w:w w:val="81"/>
              </w:rPr>
              <w:t>Preamble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Investor Agreements</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6.15</w:t>
            </w:r>
          </w:p>
        </w:tc>
        <w:tc>
          <w:tcPr>
            <w:tcW w:w="140" w:type="dxa"/>
            <w:vAlign w:val="bottom"/>
          </w:tcPr>
          <w:p>
            <w:pPr>
              <w:spacing w:after="0"/>
              <w:rPr>
                <w:sz w:val="12"/>
                <w:szCs w:val="12"/>
                <w:color w:val="auto"/>
              </w:rPr>
            </w:pPr>
          </w:p>
        </w:tc>
      </w:tr>
      <w:tr>
        <w:trPr>
          <w:trHeight w:val="153"/>
        </w:trPr>
        <w:tc>
          <w:tcPr>
            <w:tcW w:w="2180" w:type="dxa"/>
            <w:vAlign w:val="bottom"/>
            <w:gridSpan w:val="2"/>
          </w:tcPr>
          <w:p>
            <w:pPr>
              <w:spacing w:after="0"/>
              <w:rPr>
                <w:sz w:val="20"/>
                <w:szCs w:val="20"/>
                <w:color w:val="auto"/>
              </w:rPr>
            </w:pPr>
            <w:r>
              <w:rPr>
                <w:rFonts w:ascii="Arial" w:cs="Arial" w:eastAsia="Arial" w:hAnsi="Arial"/>
                <w:sz w:val="12"/>
                <w:szCs w:val="12"/>
                <w:color w:val="auto"/>
              </w:rPr>
              <w:t>Liability</w:t>
            </w:r>
          </w:p>
        </w:tc>
        <w:tc>
          <w:tcPr>
            <w:tcW w:w="2660" w:type="dxa"/>
            <w:vAlign w:val="bottom"/>
            <w:gridSpan w:val="2"/>
          </w:tcPr>
          <w:p>
            <w:pPr>
              <w:ind w:left="2360"/>
              <w:spacing w:after="0"/>
              <w:rPr>
                <w:sz w:val="20"/>
                <w:szCs w:val="20"/>
                <w:color w:val="auto"/>
              </w:rPr>
            </w:pPr>
            <w:r>
              <w:rPr>
                <w:rFonts w:ascii="Arial" w:cs="Arial" w:eastAsia="Arial" w:hAnsi="Arial"/>
                <w:sz w:val="12"/>
                <w:szCs w:val="12"/>
                <w:color w:val="auto"/>
              </w:rPr>
              <w:t>3.9</w:t>
            </w:r>
          </w:p>
        </w:tc>
        <w:tc>
          <w:tcPr>
            <w:tcW w:w="140" w:type="dxa"/>
            <w:vAlign w:val="bottom"/>
          </w:tcPr>
          <w:p>
            <w:pPr>
              <w:spacing w:after="0"/>
              <w:rPr>
                <w:sz w:val="13"/>
                <w:szCs w:val="13"/>
                <w:color w:val="auto"/>
              </w:rPr>
            </w:pPr>
          </w:p>
        </w:tc>
      </w:tr>
      <w:tr>
        <w:trPr>
          <w:trHeight w:val="244"/>
        </w:trPr>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360" w:type="dxa"/>
            <w:vAlign w:val="bottom"/>
          </w:tcPr>
          <w:p>
            <w:pPr>
              <w:ind w:left="260"/>
              <w:spacing w:after="0"/>
              <w:rPr>
                <w:sz w:val="20"/>
                <w:szCs w:val="20"/>
                <w:color w:val="auto"/>
              </w:rPr>
            </w:pPr>
            <w:r>
              <w:rPr>
                <w:rFonts w:ascii="Arial" w:cs="Arial" w:eastAsia="Arial" w:hAnsi="Arial"/>
                <w:sz w:val="12"/>
                <w:szCs w:val="12"/>
                <w:color w:val="auto"/>
              </w:rPr>
              <w:t>14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ectPr>
          <w:pgSz w:w="11900" w:h="16838" w:orient="portrait"/>
          <w:cols w:equalWidth="0" w:num="1">
            <w:col w:w="9019"/>
          </w:cols>
          <w:pgMar w:left="1440" w:top="230" w:right="1440"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2020" w:type="dxa"/>
        <w:tblCellMar>
          <w:top w:w="0" w:type="dxa"/>
          <w:left w:w="0" w:type="dxa"/>
          <w:bottom w:w="0" w:type="dxa"/>
          <w:right w:w="0" w:type="dxa"/>
        </w:tblCellMar>
      </w:tblPr>
      <w:tr>
        <w:trPr>
          <w:trHeight w:val="115"/>
        </w:trPr>
        <w:tc>
          <w:tcPr>
            <w:tcW w:w="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Term</w:t>
            </w:r>
          </w:p>
        </w:tc>
        <w:tc>
          <w:tcPr>
            <w:tcW w:w="4260" w:type="dxa"/>
            <w:vAlign w:val="bottom"/>
          </w:tcPr>
          <w:p>
            <w:pPr>
              <w:spacing w:after="0"/>
              <w:rPr>
                <w:sz w:val="10"/>
                <w:szCs w:val="1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7"/>
              </w:rPr>
              <w:t>Section</w:t>
            </w:r>
          </w:p>
        </w:tc>
        <w:tc>
          <w:tcPr>
            <w:tcW w:w="160" w:type="dxa"/>
            <w:vAlign w:val="bottom"/>
          </w:tcPr>
          <w:p>
            <w:pPr>
              <w:spacing w:after="0"/>
              <w:rPr>
                <w:sz w:val="10"/>
                <w:szCs w:val="10"/>
                <w:color w:val="auto"/>
              </w:rPr>
            </w:pPr>
          </w:p>
        </w:tc>
      </w:tr>
      <w:tr>
        <w:trPr>
          <w:trHeight w:val="125"/>
        </w:trPr>
        <w:tc>
          <w:tcPr>
            <w:tcW w:w="4480" w:type="dxa"/>
            <w:vAlign w:val="bottom"/>
            <w:gridSpan w:val="2"/>
          </w:tcPr>
          <w:p>
            <w:pPr>
              <w:spacing w:after="0" w:line="125" w:lineRule="exact"/>
              <w:rPr>
                <w:sz w:val="20"/>
                <w:szCs w:val="20"/>
                <w:color w:val="auto"/>
              </w:rPr>
            </w:pPr>
            <w:r>
              <w:rPr>
                <w:rFonts w:ascii="Arial" w:cs="Arial" w:eastAsia="Arial" w:hAnsi="Arial"/>
                <w:sz w:val="12"/>
                <w:szCs w:val="12"/>
                <w:color w:val="auto"/>
              </w:rPr>
              <w:t>Litigation Losses</w:t>
            </w:r>
          </w:p>
        </w:tc>
        <w:tc>
          <w:tcPr>
            <w:tcW w:w="300" w:type="dxa"/>
            <w:vAlign w:val="bottom"/>
          </w:tcPr>
          <w:p>
            <w:pPr>
              <w:spacing w:after="0" w:line="125" w:lineRule="exact"/>
              <w:rPr>
                <w:sz w:val="20"/>
                <w:szCs w:val="20"/>
                <w:color w:val="auto"/>
              </w:rPr>
            </w:pPr>
            <w:r>
              <w:rPr>
                <w:rFonts w:ascii="Arial" w:cs="Arial" w:eastAsia="Arial" w:hAnsi="Arial"/>
                <w:sz w:val="12"/>
                <w:szCs w:val="12"/>
                <w:color w:val="auto"/>
                <w:w w:val="89"/>
              </w:rPr>
              <w:t>1.1(a)</w:t>
            </w:r>
          </w:p>
        </w:tc>
        <w:tc>
          <w:tcPr>
            <w:tcW w:w="160" w:type="dxa"/>
            <w:vAlign w:val="bottom"/>
          </w:tcPr>
          <w:p>
            <w:pPr>
              <w:spacing w:after="0"/>
              <w:rPr>
                <w:sz w:val="10"/>
                <w:szCs w:val="10"/>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Merger</w:t>
            </w:r>
          </w:p>
        </w:tc>
        <w:tc>
          <w:tcPr>
            <w:tcW w:w="46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Merger Consideration</w:t>
            </w:r>
          </w:p>
        </w:tc>
        <w:tc>
          <w:tcPr>
            <w:tcW w:w="460" w:type="dxa"/>
            <w:vAlign w:val="bottom"/>
            <w:gridSpan w:val="2"/>
          </w:tcPr>
          <w:p>
            <w:pPr>
              <w:spacing w:after="0"/>
              <w:rPr>
                <w:sz w:val="20"/>
                <w:szCs w:val="20"/>
                <w:color w:val="auto"/>
              </w:rPr>
            </w:pPr>
            <w:r>
              <w:rPr>
                <w:rFonts w:ascii="Arial" w:cs="Arial" w:eastAsia="Arial" w:hAnsi="Arial"/>
                <w:sz w:val="12"/>
                <w:szCs w:val="12"/>
                <w:color w:val="auto"/>
                <w:w w:val="98"/>
              </w:rPr>
              <w:t>2.5(a)(ii)</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Merger Sub</w:t>
            </w:r>
          </w:p>
        </w:tc>
        <w:tc>
          <w:tcPr>
            <w:tcW w:w="460" w:type="dxa"/>
            <w:vAlign w:val="bottom"/>
            <w:gridSpan w:val="2"/>
          </w:tcPr>
          <w:p>
            <w:pPr>
              <w:spacing w:after="0"/>
              <w:rPr>
                <w:sz w:val="20"/>
                <w:szCs w:val="20"/>
                <w:color w:val="auto"/>
              </w:rPr>
            </w:pPr>
            <w:r>
              <w:rPr>
                <w:rFonts w:ascii="Arial" w:cs="Arial" w:eastAsia="Arial" w:hAnsi="Arial"/>
                <w:sz w:val="12"/>
                <w:szCs w:val="12"/>
                <w:color w:val="auto"/>
                <w:w w:val="85"/>
              </w:rPr>
              <w:t>Preamble</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Net Cash Calculation</w:t>
            </w:r>
          </w:p>
        </w:tc>
        <w:tc>
          <w:tcPr>
            <w:tcW w:w="460" w:type="dxa"/>
            <w:vAlign w:val="bottom"/>
            <w:gridSpan w:val="2"/>
          </w:tcPr>
          <w:p>
            <w:pPr>
              <w:spacing w:after="0"/>
              <w:rPr>
                <w:sz w:val="20"/>
                <w:szCs w:val="20"/>
                <w:color w:val="auto"/>
              </w:rPr>
            </w:pPr>
            <w:r>
              <w:rPr>
                <w:rFonts w:ascii="Arial" w:cs="Arial" w:eastAsia="Arial" w:hAnsi="Arial"/>
                <w:sz w:val="12"/>
                <w:szCs w:val="12"/>
                <w:color w:val="auto"/>
              </w:rPr>
              <w:t>2.8(a)</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Net Cash Schedule</w:t>
            </w:r>
          </w:p>
        </w:tc>
        <w:tc>
          <w:tcPr>
            <w:tcW w:w="460" w:type="dxa"/>
            <w:vAlign w:val="bottom"/>
            <w:gridSpan w:val="2"/>
          </w:tcPr>
          <w:p>
            <w:pPr>
              <w:spacing w:after="0"/>
              <w:rPr>
                <w:sz w:val="20"/>
                <w:szCs w:val="20"/>
                <w:color w:val="auto"/>
              </w:rPr>
            </w:pPr>
            <w:r>
              <w:rPr>
                <w:rFonts w:ascii="Arial" w:cs="Arial" w:eastAsia="Arial" w:hAnsi="Arial"/>
                <w:sz w:val="12"/>
                <w:szCs w:val="12"/>
                <w:color w:val="auto"/>
              </w:rPr>
              <w:t>2.8(a)</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Payoff Letter</w:t>
            </w:r>
          </w:p>
        </w:tc>
        <w:tc>
          <w:tcPr>
            <w:tcW w:w="300" w:type="dxa"/>
            <w:vAlign w:val="bottom"/>
          </w:tcPr>
          <w:p>
            <w:pPr>
              <w:spacing w:after="0"/>
              <w:rPr>
                <w:sz w:val="20"/>
                <w:szCs w:val="20"/>
                <w:color w:val="auto"/>
              </w:rPr>
            </w:pPr>
            <w:r>
              <w:rPr>
                <w:rFonts w:ascii="Arial" w:cs="Arial" w:eastAsia="Arial" w:hAnsi="Arial"/>
                <w:sz w:val="12"/>
                <w:szCs w:val="12"/>
                <w:color w:val="auto"/>
              </w:rPr>
              <w:t>6.23</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Phase 1 Trials</w:t>
            </w:r>
          </w:p>
        </w:tc>
        <w:tc>
          <w:tcPr>
            <w:tcW w:w="460" w:type="dxa"/>
            <w:vAlign w:val="bottom"/>
            <w:gridSpan w:val="2"/>
          </w:tcPr>
          <w:p>
            <w:pPr>
              <w:spacing w:after="0"/>
              <w:rPr>
                <w:sz w:val="20"/>
                <w:szCs w:val="20"/>
                <w:color w:val="auto"/>
              </w:rPr>
            </w:pPr>
            <w:r>
              <w:rPr>
                <w:rFonts w:ascii="Arial" w:cs="Arial" w:eastAsia="Arial" w:hAnsi="Arial"/>
                <w:sz w:val="12"/>
                <w:szCs w:val="12"/>
                <w:color w:val="auto"/>
              </w:rPr>
              <w:t>3.14(i)</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Pre-Closing Period</w:t>
            </w:r>
          </w:p>
        </w:tc>
        <w:tc>
          <w:tcPr>
            <w:tcW w:w="460" w:type="dxa"/>
            <w:vAlign w:val="bottom"/>
            <w:gridSpan w:val="2"/>
          </w:tcPr>
          <w:p>
            <w:pPr>
              <w:spacing w:after="0"/>
              <w:rPr>
                <w:sz w:val="20"/>
                <w:szCs w:val="20"/>
                <w:color w:val="auto"/>
              </w:rPr>
            </w:pPr>
            <w:r>
              <w:rPr>
                <w:rFonts w:ascii="Arial" w:cs="Arial" w:eastAsia="Arial" w:hAnsi="Arial"/>
                <w:sz w:val="12"/>
                <w:szCs w:val="12"/>
                <w:color w:val="auto"/>
              </w:rPr>
              <w:t>5.1(a)</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Privacy Policies</w:t>
            </w:r>
          </w:p>
        </w:tc>
        <w:tc>
          <w:tcPr>
            <w:tcW w:w="300" w:type="dxa"/>
            <w:vAlign w:val="bottom"/>
          </w:tcPr>
          <w:p>
            <w:pPr>
              <w:spacing w:after="0"/>
              <w:rPr>
                <w:sz w:val="20"/>
                <w:szCs w:val="20"/>
                <w:color w:val="auto"/>
              </w:rPr>
            </w:pPr>
            <w:r>
              <w:rPr>
                <w:rFonts w:ascii="Arial" w:cs="Arial" w:eastAsia="Arial" w:hAnsi="Arial"/>
                <w:sz w:val="12"/>
                <w:szCs w:val="12"/>
                <w:color w:val="auto"/>
              </w:rPr>
              <w:t>3.23</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Proxy Statement</w:t>
            </w:r>
          </w:p>
        </w:tc>
        <w:tc>
          <w:tcPr>
            <w:tcW w:w="460" w:type="dxa"/>
            <w:vAlign w:val="bottom"/>
            <w:gridSpan w:val="2"/>
          </w:tcPr>
          <w:p>
            <w:pPr>
              <w:spacing w:after="0"/>
              <w:rPr>
                <w:sz w:val="20"/>
                <w:szCs w:val="20"/>
                <w:color w:val="auto"/>
              </w:rPr>
            </w:pPr>
            <w:r>
              <w:rPr>
                <w:rFonts w:ascii="Arial" w:cs="Arial" w:eastAsia="Arial" w:hAnsi="Arial"/>
                <w:sz w:val="12"/>
                <w:szCs w:val="12"/>
                <w:color w:val="auto"/>
              </w:rPr>
              <w:t>6.1(a)</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Registration Statement</w:t>
            </w:r>
          </w:p>
        </w:tc>
        <w:tc>
          <w:tcPr>
            <w:tcW w:w="300" w:type="dxa"/>
            <w:vAlign w:val="bottom"/>
          </w:tcPr>
          <w:p>
            <w:pPr>
              <w:spacing w:after="0"/>
              <w:rPr>
                <w:sz w:val="20"/>
                <w:szCs w:val="20"/>
                <w:color w:val="auto"/>
              </w:rPr>
            </w:pPr>
            <w:r>
              <w:rPr>
                <w:rFonts w:ascii="Arial" w:cs="Arial" w:eastAsia="Arial" w:hAnsi="Arial"/>
                <w:sz w:val="12"/>
                <w:szCs w:val="12"/>
                <w:color w:val="auto"/>
              </w:rPr>
              <w:t>6.22</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Required Company Stockholder Vote</w:t>
            </w:r>
          </w:p>
        </w:tc>
        <w:tc>
          <w:tcPr>
            <w:tcW w:w="300" w:type="dxa"/>
            <w:vAlign w:val="bottom"/>
          </w:tcPr>
          <w:p>
            <w:pPr>
              <w:spacing w:after="0"/>
              <w:rPr>
                <w:sz w:val="20"/>
                <w:szCs w:val="20"/>
                <w:color w:val="auto"/>
              </w:rPr>
            </w:pPr>
            <w:r>
              <w:rPr>
                <w:rFonts w:ascii="Arial" w:cs="Arial" w:eastAsia="Arial" w:hAnsi="Arial"/>
                <w:sz w:val="12"/>
                <w:szCs w:val="12"/>
                <w:color w:val="auto"/>
              </w:rPr>
              <w:t>3.4</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Required Zordich Stockholder Vote</w:t>
            </w:r>
          </w:p>
        </w:tc>
        <w:tc>
          <w:tcPr>
            <w:tcW w:w="300" w:type="dxa"/>
            <w:vAlign w:val="bottom"/>
          </w:tcPr>
          <w:p>
            <w:pPr>
              <w:spacing w:after="0"/>
              <w:rPr>
                <w:sz w:val="20"/>
                <w:szCs w:val="20"/>
                <w:color w:val="auto"/>
              </w:rPr>
            </w:pPr>
            <w:r>
              <w:rPr>
                <w:rFonts w:ascii="Arial" w:cs="Arial" w:eastAsia="Arial" w:hAnsi="Arial"/>
                <w:sz w:val="12"/>
                <w:szCs w:val="12"/>
                <w:color w:val="auto"/>
              </w:rPr>
              <w:t>4.4</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Response Date</w:t>
            </w:r>
          </w:p>
        </w:tc>
        <w:tc>
          <w:tcPr>
            <w:tcW w:w="460" w:type="dxa"/>
            <w:vAlign w:val="bottom"/>
            <w:gridSpan w:val="2"/>
          </w:tcPr>
          <w:p>
            <w:pPr>
              <w:spacing w:after="0"/>
              <w:rPr>
                <w:sz w:val="20"/>
                <w:szCs w:val="20"/>
                <w:color w:val="auto"/>
              </w:rPr>
            </w:pPr>
            <w:r>
              <w:rPr>
                <w:rFonts w:ascii="Arial" w:cs="Arial" w:eastAsia="Arial" w:hAnsi="Arial"/>
                <w:sz w:val="12"/>
                <w:szCs w:val="12"/>
                <w:color w:val="auto"/>
              </w:rPr>
              <w:t>2.8(b)</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Surviving Corporation</w:t>
            </w:r>
          </w:p>
        </w:tc>
        <w:tc>
          <w:tcPr>
            <w:tcW w:w="300" w:type="dxa"/>
            <w:vAlign w:val="bottom"/>
          </w:tcPr>
          <w:p>
            <w:pPr>
              <w:spacing w:after="0"/>
              <w:rPr>
                <w:sz w:val="20"/>
                <w:szCs w:val="20"/>
                <w:color w:val="auto"/>
              </w:rPr>
            </w:pPr>
            <w:r>
              <w:rPr>
                <w:rFonts w:ascii="Arial" w:cs="Arial" w:eastAsia="Arial" w:hAnsi="Arial"/>
                <w:sz w:val="12"/>
                <w:szCs w:val="12"/>
                <w:color w:val="auto"/>
              </w:rPr>
              <w:t>2.1</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w:t>
            </w:r>
          </w:p>
        </w:tc>
        <w:tc>
          <w:tcPr>
            <w:tcW w:w="460" w:type="dxa"/>
            <w:vAlign w:val="bottom"/>
            <w:gridSpan w:val="2"/>
          </w:tcPr>
          <w:p>
            <w:pPr>
              <w:spacing w:after="0"/>
              <w:rPr>
                <w:sz w:val="20"/>
                <w:szCs w:val="20"/>
                <w:color w:val="auto"/>
              </w:rPr>
            </w:pPr>
            <w:r>
              <w:rPr>
                <w:rFonts w:ascii="Arial" w:cs="Arial" w:eastAsia="Arial" w:hAnsi="Arial"/>
                <w:sz w:val="12"/>
                <w:szCs w:val="12"/>
                <w:color w:val="auto"/>
                <w:w w:val="85"/>
              </w:rPr>
              <w:t>Preamble</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409A Plan</w:t>
            </w:r>
          </w:p>
        </w:tc>
        <w:tc>
          <w:tcPr>
            <w:tcW w:w="460" w:type="dxa"/>
            <w:vAlign w:val="bottom"/>
            <w:gridSpan w:val="2"/>
          </w:tcPr>
          <w:p>
            <w:pPr>
              <w:spacing w:after="0"/>
              <w:rPr>
                <w:sz w:val="20"/>
                <w:szCs w:val="20"/>
                <w:color w:val="auto"/>
              </w:rPr>
            </w:pPr>
            <w:r>
              <w:rPr>
                <w:rFonts w:ascii="Arial" w:cs="Arial" w:eastAsia="Arial" w:hAnsi="Arial"/>
                <w:sz w:val="12"/>
                <w:szCs w:val="12"/>
                <w:color w:val="auto"/>
              </w:rPr>
              <w:t>4.17(i)</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Board Adverse Recommendation Change</w:t>
            </w:r>
          </w:p>
        </w:tc>
        <w:tc>
          <w:tcPr>
            <w:tcW w:w="460" w:type="dxa"/>
            <w:vAlign w:val="bottom"/>
            <w:gridSpan w:val="2"/>
          </w:tcPr>
          <w:p>
            <w:pPr>
              <w:spacing w:after="0"/>
              <w:rPr>
                <w:sz w:val="20"/>
                <w:szCs w:val="20"/>
                <w:color w:val="auto"/>
              </w:rPr>
            </w:pPr>
            <w:r>
              <w:rPr>
                <w:rFonts w:ascii="Arial" w:cs="Arial" w:eastAsia="Arial" w:hAnsi="Arial"/>
                <w:sz w:val="12"/>
                <w:szCs w:val="12"/>
                <w:color w:val="auto"/>
              </w:rPr>
              <w:t>6.3(b)</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Board Recommendation</w:t>
            </w:r>
          </w:p>
        </w:tc>
        <w:tc>
          <w:tcPr>
            <w:tcW w:w="460" w:type="dxa"/>
            <w:vAlign w:val="bottom"/>
            <w:gridSpan w:val="2"/>
          </w:tcPr>
          <w:p>
            <w:pPr>
              <w:spacing w:after="0"/>
              <w:rPr>
                <w:sz w:val="20"/>
                <w:szCs w:val="20"/>
                <w:color w:val="auto"/>
              </w:rPr>
            </w:pPr>
            <w:r>
              <w:rPr>
                <w:rFonts w:ascii="Arial" w:cs="Arial" w:eastAsia="Arial" w:hAnsi="Arial"/>
                <w:sz w:val="12"/>
                <w:szCs w:val="12"/>
                <w:color w:val="auto"/>
              </w:rPr>
              <w:t>6.3(b)</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Disclosure Schedule</w:t>
            </w:r>
          </w:p>
        </w:tc>
        <w:tc>
          <w:tcPr>
            <w:tcW w:w="460" w:type="dxa"/>
            <w:vAlign w:val="bottom"/>
            <w:gridSpan w:val="2"/>
          </w:tcPr>
          <w:p>
            <w:pPr>
              <w:spacing w:after="0"/>
              <w:rPr>
                <w:sz w:val="20"/>
                <w:szCs w:val="20"/>
                <w:color w:val="auto"/>
              </w:rPr>
            </w:pPr>
            <w:r>
              <w:rPr>
                <w:rFonts w:ascii="Arial" w:cs="Arial" w:eastAsia="Arial" w:hAnsi="Arial"/>
                <w:sz w:val="12"/>
                <w:szCs w:val="12"/>
                <w:color w:val="auto"/>
                <w:w w:val="87"/>
              </w:rPr>
              <w:t>Section 4</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Employee Plan</w:t>
            </w:r>
          </w:p>
        </w:tc>
        <w:tc>
          <w:tcPr>
            <w:tcW w:w="300" w:type="dxa"/>
            <w:vAlign w:val="bottom"/>
          </w:tcPr>
          <w:p>
            <w:pPr>
              <w:spacing w:after="0"/>
              <w:rPr>
                <w:sz w:val="20"/>
                <w:szCs w:val="20"/>
                <w:color w:val="auto"/>
              </w:rPr>
            </w:pPr>
            <w:r>
              <w:rPr>
                <w:rFonts w:ascii="Arial" w:cs="Arial" w:eastAsia="Arial" w:hAnsi="Arial"/>
                <w:sz w:val="12"/>
                <w:szCs w:val="12"/>
                <w:color w:val="auto"/>
              </w:rPr>
              <w:t>1.1</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ESPP</w:t>
            </w:r>
          </w:p>
        </w:tc>
        <w:tc>
          <w:tcPr>
            <w:tcW w:w="460" w:type="dxa"/>
            <w:vAlign w:val="bottom"/>
            <w:gridSpan w:val="2"/>
          </w:tcPr>
          <w:p>
            <w:pPr>
              <w:spacing w:after="0"/>
              <w:rPr>
                <w:sz w:val="20"/>
                <w:szCs w:val="20"/>
                <w:color w:val="auto"/>
              </w:rPr>
            </w:pPr>
            <w:r>
              <w:rPr>
                <w:rFonts w:ascii="Arial" w:cs="Arial" w:eastAsia="Arial" w:hAnsi="Arial"/>
                <w:sz w:val="12"/>
                <w:szCs w:val="12"/>
                <w:color w:val="auto"/>
              </w:rPr>
              <w:t>4.6(c)</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Lock-Up Agreements</w:t>
            </w:r>
          </w:p>
        </w:tc>
        <w:tc>
          <w:tcPr>
            <w:tcW w:w="46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Material Contract</w:t>
            </w:r>
          </w:p>
        </w:tc>
        <w:tc>
          <w:tcPr>
            <w:tcW w:w="300" w:type="dxa"/>
            <w:vAlign w:val="bottom"/>
          </w:tcPr>
          <w:p>
            <w:pPr>
              <w:spacing w:after="0"/>
              <w:rPr>
                <w:sz w:val="20"/>
                <w:szCs w:val="20"/>
                <w:color w:val="auto"/>
              </w:rPr>
            </w:pPr>
            <w:r>
              <w:rPr>
                <w:rFonts w:ascii="Arial" w:cs="Arial" w:eastAsia="Arial" w:hAnsi="Arial"/>
                <w:sz w:val="12"/>
                <w:szCs w:val="12"/>
                <w:color w:val="auto"/>
              </w:rPr>
              <w:t>4.13</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Permits</w:t>
            </w:r>
          </w:p>
        </w:tc>
        <w:tc>
          <w:tcPr>
            <w:tcW w:w="460" w:type="dxa"/>
            <w:vAlign w:val="bottom"/>
            <w:gridSpan w:val="2"/>
          </w:tcPr>
          <w:p>
            <w:pPr>
              <w:spacing w:after="0"/>
              <w:rPr>
                <w:sz w:val="20"/>
                <w:szCs w:val="20"/>
                <w:color w:val="auto"/>
              </w:rPr>
            </w:pPr>
            <w:r>
              <w:rPr>
                <w:rFonts w:ascii="Arial" w:cs="Arial" w:eastAsia="Arial" w:hAnsi="Arial"/>
                <w:sz w:val="12"/>
                <w:szCs w:val="12"/>
                <w:color w:val="auto"/>
              </w:rPr>
              <w:t>4.14(b)</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Product Candidates</w:t>
            </w:r>
          </w:p>
        </w:tc>
        <w:tc>
          <w:tcPr>
            <w:tcW w:w="460" w:type="dxa"/>
            <w:vAlign w:val="bottom"/>
            <w:gridSpan w:val="2"/>
          </w:tcPr>
          <w:p>
            <w:pPr>
              <w:spacing w:after="0"/>
              <w:rPr>
                <w:sz w:val="20"/>
                <w:szCs w:val="20"/>
                <w:color w:val="auto"/>
              </w:rPr>
            </w:pPr>
            <w:r>
              <w:rPr>
                <w:rFonts w:ascii="Arial" w:cs="Arial" w:eastAsia="Arial" w:hAnsi="Arial"/>
                <w:sz w:val="12"/>
                <w:szCs w:val="12"/>
                <w:color w:val="auto"/>
              </w:rPr>
              <w:t>4.14(d)</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Real Estate Leases</w:t>
            </w:r>
          </w:p>
        </w:tc>
        <w:tc>
          <w:tcPr>
            <w:tcW w:w="300" w:type="dxa"/>
            <w:vAlign w:val="bottom"/>
          </w:tcPr>
          <w:p>
            <w:pPr>
              <w:spacing w:after="0"/>
              <w:rPr>
                <w:sz w:val="20"/>
                <w:szCs w:val="20"/>
                <w:color w:val="auto"/>
              </w:rPr>
            </w:pPr>
            <w:r>
              <w:rPr>
                <w:rFonts w:ascii="Arial" w:cs="Arial" w:eastAsia="Arial" w:hAnsi="Arial"/>
                <w:sz w:val="12"/>
                <w:szCs w:val="12"/>
                <w:color w:val="auto"/>
              </w:rPr>
              <w:t>4.11</w:t>
            </w:r>
          </w:p>
        </w:tc>
        <w:tc>
          <w:tcPr>
            <w:tcW w:w="160" w:type="dxa"/>
            <w:vAlign w:val="bottom"/>
          </w:tcPr>
          <w:p>
            <w:pPr>
              <w:spacing w:after="0"/>
              <w:rPr>
                <w:sz w:val="12"/>
                <w:szCs w:val="12"/>
                <w:color w:val="auto"/>
              </w:rPr>
            </w:pP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Regulatory Permits</w:t>
            </w:r>
          </w:p>
        </w:tc>
        <w:tc>
          <w:tcPr>
            <w:tcW w:w="460" w:type="dxa"/>
            <w:vAlign w:val="bottom"/>
            <w:gridSpan w:val="2"/>
          </w:tcPr>
          <w:p>
            <w:pPr>
              <w:spacing w:after="0"/>
              <w:rPr>
                <w:sz w:val="20"/>
                <w:szCs w:val="20"/>
                <w:color w:val="auto"/>
              </w:rPr>
            </w:pPr>
            <w:r>
              <w:rPr>
                <w:rFonts w:ascii="Arial" w:cs="Arial" w:eastAsia="Arial" w:hAnsi="Arial"/>
                <w:sz w:val="12"/>
                <w:szCs w:val="12"/>
                <w:color w:val="auto"/>
              </w:rPr>
              <w:t>4.14(d)</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SEC Documents</w:t>
            </w:r>
          </w:p>
        </w:tc>
        <w:tc>
          <w:tcPr>
            <w:tcW w:w="460" w:type="dxa"/>
            <w:vAlign w:val="bottom"/>
            <w:gridSpan w:val="2"/>
          </w:tcPr>
          <w:p>
            <w:pPr>
              <w:spacing w:after="0"/>
              <w:rPr>
                <w:sz w:val="20"/>
                <w:szCs w:val="20"/>
                <w:color w:val="auto"/>
              </w:rPr>
            </w:pPr>
            <w:r>
              <w:rPr>
                <w:rFonts w:ascii="Arial" w:cs="Arial" w:eastAsia="Arial" w:hAnsi="Arial"/>
                <w:sz w:val="12"/>
                <w:szCs w:val="12"/>
                <w:color w:val="auto"/>
              </w:rPr>
              <w:t>4.7(a)</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Stock Plans</w:t>
            </w:r>
          </w:p>
        </w:tc>
        <w:tc>
          <w:tcPr>
            <w:tcW w:w="460" w:type="dxa"/>
            <w:vAlign w:val="bottom"/>
            <w:gridSpan w:val="2"/>
          </w:tcPr>
          <w:p>
            <w:pPr>
              <w:spacing w:after="0"/>
              <w:rPr>
                <w:sz w:val="20"/>
                <w:szCs w:val="20"/>
                <w:color w:val="auto"/>
              </w:rPr>
            </w:pPr>
            <w:r>
              <w:rPr>
                <w:rFonts w:ascii="Arial" w:cs="Arial" w:eastAsia="Arial" w:hAnsi="Arial"/>
                <w:sz w:val="12"/>
                <w:szCs w:val="12"/>
                <w:color w:val="auto"/>
              </w:rPr>
              <w:t>4.6(c)</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Stockholder Matters</w:t>
            </w:r>
          </w:p>
        </w:tc>
        <w:tc>
          <w:tcPr>
            <w:tcW w:w="460" w:type="dxa"/>
            <w:vAlign w:val="bottom"/>
            <w:gridSpan w:val="2"/>
          </w:tcPr>
          <w:p>
            <w:pPr>
              <w:spacing w:after="0"/>
              <w:rPr>
                <w:sz w:val="20"/>
                <w:szCs w:val="20"/>
                <w:color w:val="auto"/>
              </w:rPr>
            </w:pPr>
            <w:r>
              <w:rPr>
                <w:rFonts w:ascii="Arial" w:cs="Arial" w:eastAsia="Arial" w:hAnsi="Arial"/>
                <w:sz w:val="12"/>
                <w:szCs w:val="12"/>
                <w:color w:val="auto"/>
              </w:rPr>
              <w:t>6.3(a)</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Stockholder Meeting</w:t>
            </w:r>
          </w:p>
        </w:tc>
        <w:tc>
          <w:tcPr>
            <w:tcW w:w="460" w:type="dxa"/>
            <w:vAlign w:val="bottom"/>
            <w:gridSpan w:val="2"/>
          </w:tcPr>
          <w:p>
            <w:pPr>
              <w:spacing w:after="0"/>
              <w:rPr>
                <w:sz w:val="20"/>
                <w:szCs w:val="20"/>
                <w:color w:val="auto"/>
              </w:rPr>
            </w:pPr>
            <w:r>
              <w:rPr>
                <w:rFonts w:ascii="Arial" w:cs="Arial" w:eastAsia="Arial" w:hAnsi="Arial"/>
                <w:sz w:val="12"/>
                <w:szCs w:val="12"/>
                <w:color w:val="auto"/>
              </w:rPr>
              <w:t>6.3(a)</w:t>
            </w:r>
          </w:p>
        </w:tc>
      </w:tr>
      <w:tr>
        <w:trPr>
          <w:trHeight w:val="144"/>
        </w:trPr>
        <w:tc>
          <w:tcPr>
            <w:tcW w:w="4480" w:type="dxa"/>
            <w:vAlign w:val="bottom"/>
            <w:gridSpan w:val="2"/>
          </w:tcPr>
          <w:p>
            <w:pPr>
              <w:spacing w:after="0"/>
              <w:rPr>
                <w:sz w:val="20"/>
                <w:szCs w:val="20"/>
                <w:color w:val="auto"/>
              </w:rPr>
            </w:pPr>
            <w:r>
              <w:rPr>
                <w:rFonts w:ascii="Arial" w:cs="Arial" w:eastAsia="Arial" w:hAnsi="Arial"/>
                <w:sz w:val="12"/>
                <w:szCs w:val="12"/>
                <w:color w:val="auto"/>
              </w:rPr>
              <w:t>Zordich Stockholder Support Agreement</w:t>
            </w:r>
          </w:p>
        </w:tc>
        <w:tc>
          <w:tcPr>
            <w:tcW w:w="460" w:type="dxa"/>
            <w:vAlign w:val="bottom"/>
            <w:gridSpan w:val="2"/>
          </w:tcPr>
          <w:p>
            <w:pPr>
              <w:spacing w:after="0"/>
              <w:rPr>
                <w:sz w:val="20"/>
                <w:szCs w:val="20"/>
                <w:color w:val="auto"/>
              </w:rPr>
            </w:pPr>
            <w:r>
              <w:rPr>
                <w:rFonts w:ascii="Arial" w:cs="Arial" w:eastAsia="Arial" w:hAnsi="Arial"/>
                <w:sz w:val="12"/>
                <w:szCs w:val="12"/>
                <w:color w:val="auto"/>
              </w:rPr>
              <w:t>Recitals</w:t>
            </w:r>
          </w:p>
        </w:tc>
      </w:tr>
      <w:tr>
        <w:trPr>
          <w:trHeight w:val="153"/>
        </w:trPr>
        <w:tc>
          <w:tcPr>
            <w:tcW w:w="4480" w:type="dxa"/>
            <w:vAlign w:val="bottom"/>
            <w:gridSpan w:val="2"/>
          </w:tcPr>
          <w:p>
            <w:pPr>
              <w:spacing w:after="0"/>
              <w:rPr>
                <w:sz w:val="20"/>
                <w:szCs w:val="20"/>
                <w:color w:val="auto"/>
              </w:rPr>
            </w:pPr>
            <w:r>
              <w:rPr>
                <w:rFonts w:ascii="Arial" w:cs="Arial" w:eastAsia="Arial" w:hAnsi="Arial"/>
                <w:sz w:val="12"/>
                <w:szCs w:val="12"/>
                <w:color w:val="auto"/>
              </w:rPr>
              <w:t>Zordich Termination Fee</w:t>
            </w:r>
          </w:p>
        </w:tc>
        <w:tc>
          <w:tcPr>
            <w:tcW w:w="460" w:type="dxa"/>
            <w:vAlign w:val="bottom"/>
            <w:gridSpan w:val="2"/>
          </w:tcPr>
          <w:p>
            <w:pPr>
              <w:spacing w:after="0"/>
              <w:rPr>
                <w:sz w:val="20"/>
                <w:szCs w:val="20"/>
                <w:color w:val="auto"/>
              </w:rPr>
            </w:pPr>
            <w:r>
              <w:rPr>
                <w:rFonts w:ascii="Arial" w:cs="Arial" w:eastAsia="Arial" w:hAnsi="Arial"/>
                <w:sz w:val="12"/>
                <w:szCs w:val="12"/>
                <w:color w:val="auto"/>
              </w:rPr>
              <w:t>10.3(d)</w:t>
            </w:r>
          </w:p>
        </w:tc>
      </w:tr>
    </w:tbl>
    <w:p>
      <w:pPr>
        <w:spacing w:after="0" w:line="136" w:lineRule="exact"/>
        <w:rPr>
          <w:sz w:val="20"/>
          <w:szCs w:val="20"/>
          <w:color w:val="auto"/>
        </w:rPr>
      </w:pPr>
    </w:p>
    <w:p>
      <w:pPr>
        <w:ind w:left="840" w:right="839" w:firstLine="295"/>
        <w:spacing w:after="0" w:line="278" w:lineRule="auto"/>
        <w:rPr>
          <w:sz w:val="20"/>
          <w:szCs w:val="20"/>
          <w:color w:val="auto"/>
        </w:rPr>
      </w:pPr>
      <w:r>
        <w:rPr>
          <w:rFonts w:ascii="Arial" w:cs="Arial" w:eastAsia="Arial" w:hAnsi="Arial"/>
          <w:sz w:val="11"/>
          <w:szCs w:val="11"/>
          <w:color w:val="auto"/>
        </w:rPr>
        <w:t xml:space="preserve">1.2 </w:t>
      </w:r>
      <w:r>
        <w:rPr>
          <w:rFonts w:ascii="Arial" w:cs="Arial" w:eastAsia="Arial" w:hAnsi="Arial"/>
          <w:sz w:val="11"/>
          <w:szCs w:val="11"/>
          <w:u w:val="single" w:color="auto"/>
          <w:color w:val="auto"/>
        </w:rPr>
        <w:t>Other Definitional and Interpretative Provisions</w:t>
      </w:r>
      <w:r>
        <w:rPr>
          <w:rFonts w:ascii="Arial" w:cs="Arial" w:eastAsia="Arial" w:hAnsi="Arial"/>
          <w:sz w:val="11"/>
          <w:szCs w:val="11"/>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223" w:right="1440" w:bottom="1440" w:gutter="0" w:footer="0" w:header="0"/>
        </w:sectPr>
      </w:pPr>
    </w:p>
    <w:bookmarkStart w:id="28" w:name="page29"/>
    <w:bookmarkEnd w:id="28"/>
    <w:p>
      <w:pPr>
        <w:ind w:left="840" w:right="839"/>
        <w:spacing w:after="0" w:line="307"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Zordich Disclosure Schedule shall be arranged in sections and subsections corresponding to the numbered and lettered sections and subsections contained in </w:t>
      </w:r>
      <w:r>
        <w:rPr>
          <w:rFonts w:ascii="Arial" w:cs="Arial" w:eastAsia="Arial" w:hAnsi="Arial"/>
          <w:sz w:val="10"/>
          <w:szCs w:val="10"/>
          <w:u w:val="single" w:color="auto"/>
          <w:color w:val="auto"/>
        </w:rPr>
        <w:t>Section 3</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4</w:t>
      </w:r>
      <w:r>
        <w:rPr>
          <w:rFonts w:ascii="Arial" w:cs="Arial" w:eastAsia="Arial" w:hAnsi="Arial"/>
          <w:sz w:val="10"/>
          <w:szCs w:val="10"/>
          <w:color w:val="auto"/>
        </w:rPr>
        <w:t xml:space="preserve">, respectively. The disclosures in any section or subsection of the Company Disclosure Schedule or the Zordich Disclosure Schedule shall qualify other sections and subsections in </w:t>
      </w:r>
      <w:r>
        <w:rPr>
          <w:rFonts w:ascii="Arial" w:cs="Arial" w:eastAsia="Arial" w:hAnsi="Arial"/>
          <w:sz w:val="10"/>
          <w:szCs w:val="10"/>
          <w:u w:val="single" w:color="auto"/>
          <w:color w:val="auto"/>
        </w:rPr>
        <w:t>Section 3</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4</w:t>
      </w:r>
      <w:r>
        <w:rPr>
          <w:rFonts w:ascii="Arial" w:cs="Arial" w:eastAsia="Arial" w:hAnsi="Arial"/>
          <w:sz w:val="10"/>
          <w:szCs w:val="10"/>
          <w:color w:val="auto"/>
        </w:rPr>
        <w:t>, respectively, to the extent it is readily apparent from a reading of the disclosure that such disclosure is applicable to such other sections and subsections. The words “delivered” or “made available” means, with respect to any documentation, (x) that prior to 7:00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spacing w:after="0" w:line="116" w:lineRule="exact"/>
        <w:rPr>
          <w:sz w:val="20"/>
          <w:szCs w:val="20"/>
          <w:color w:val="auto"/>
        </w:rPr>
      </w:pPr>
    </w:p>
    <w:p>
      <w:pPr>
        <w:ind w:left="840" w:right="979" w:hanging="9"/>
        <w:spacing w:after="0" w:line="262" w:lineRule="auto"/>
        <w:tabs>
          <w:tab w:leader="none" w:pos="101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delivered by or on behalf of a Party or its Representatives to the other Party or its Representatives via electronic mail or in hard copy form prior to the execution of this Agreement.</w:t>
      </w:r>
    </w:p>
    <w:p>
      <w:pPr>
        <w:spacing w:after="0" w:line="196"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2"/>
          <w:szCs w:val="12"/>
          <w:color w:val="auto"/>
        </w:rPr>
        <w:t>Section 2.</w:t>
      </w:r>
      <w:r>
        <w:rPr>
          <w:sz w:val="20"/>
          <w:szCs w:val="20"/>
          <w:color w:val="auto"/>
        </w:rPr>
        <w:tab/>
      </w:r>
      <w:r>
        <w:rPr>
          <w:rFonts w:ascii="Arial" w:cs="Arial" w:eastAsia="Arial" w:hAnsi="Arial"/>
          <w:sz w:val="11"/>
          <w:szCs w:val="11"/>
          <w:u w:val="single" w:color="auto"/>
          <w:color w:val="auto"/>
        </w:rPr>
        <w:t>Description of Transaction</w:t>
      </w:r>
    </w:p>
    <w:p>
      <w:pPr>
        <w:spacing w:after="0" w:line="79" w:lineRule="exact"/>
        <w:rPr>
          <w:sz w:val="20"/>
          <w:szCs w:val="20"/>
          <w:color w:val="auto"/>
        </w:rPr>
      </w:pPr>
    </w:p>
    <w:p>
      <w:pPr>
        <w:ind w:left="840" w:right="839" w:firstLine="295"/>
        <w:spacing w:after="0" w:line="264"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The Merger</w:t>
      </w:r>
      <w:r>
        <w:rPr>
          <w:rFonts w:ascii="Arial" w:cs="Arial" w:eastAsia="Arial" w:hAnsi="Arial"/>
          <w:sz w:val="12"/>
          <w:szCs w:val="12"/>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Arial" w:cs="Arial" w:eastAsia="Arial" w:hAnsi="Arial"/>
          <w:sz w:val="12"/>
          <w:szCs w:val="12"/>
          <w:b w:val="1"/>
          <w:bCs w:val="1"/>
          <w:color w:val="auto"/>
        </w:rPr>
        <w:t>Surviving Corporation</w:t>
      </w:r>
      <w:r>
        <w:rPr>
          <w:rFonts w:ascii="Arial" w:cs="Arial" w:eastAsia="Arial" w:hAnsi="Arial"/>
          <w:sz w:val="12"/>
          <w:szCs w:val="12"/>
          <w:color w:val="auto"/>
        </w:rPr>
        <w:t>”).</w:t>
      </w:r>
    </w:p>
    <w:p>
      <w:pPr>
        <w:spacing w:after="0" w:line="122" w:lineRule="exact"/>
        <w:rPr>
          <w:sz w:val="20"/>
          <w:szCs w:val="20"/>
          <w:color w:val="auto"/>
        </w:rPr>
      </w:pPr>
    </w:p>
    <w:p>
      <w:pPr>
        <w:ind w:left="840" w:right="1099" w:firstLine="295"/>
        <w:spacing w:after="0" w:line="277"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Effects of the Merger</w:t>
      </w:r>
      <w:r>
        <w:rPr>
          <w:rFonts w:ascii="Arial" w:cs="Arial" w:eastAsia="Arial" w:hAnsi="Arial"/>
          <w:sz w:val="12"/>
          <w:szCs w:val="12"/>
          <w:color w:val="auto"/>
        </w:rPr>
        <w:t>. The Merger shall have the effects set forth in this Agreement and in the applicable provisions of the DGCL. As a result of the Merger, the Company will become a wholly owned subsidiary of Zordich.</w:t>
      </w:r>
    </w:p>
    <w:p>
      <w:pPr>
        <w:spacing w:after="0" w:line="115" w:lineRule="exact"/>
        <w:rPr>
          <w:sz w:val="20"/>
          <w:szCs w:val="20"/>
          <w:color w:val="auto"/>
        </w:rPr>
      </w:pPr>
    </w:p>
    <w:p>
      <w:pPr>
        <w:ind w:left="840" w:right="839" w:firstLine="295"/>
        <w:spacing w:after="0" w:line="279"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1"/>
          <w:szCs w:val="11"/>
          <w:u w:val="single" w:color="auto"/>
          <w:color w:val="auto"/>
        </w:rPr>
        <w:t>Closing; Effective Time</w:t>
      </w:r>
      <w:r>
        <w:rPr>
          <w:rFonts w:ascii="Arial" w:cs="Arial" w:eastAsia="Arial" w:hAnsi="Arial"/>
          <w:sz w:val="11"/>
          <w:szCs w:val="11"/>
          <w:color w:val="auto"/>
        </w:rPr>
        <w:t xml:space="preserve">. Unless this Agreement is earlier terminated pursuant to the provisions of </w:t>
      </w:r>
      <w:r>
        <w:rPr>
          <w:rFonts w:ascii="Arial" w:cs="Arial" w:eastAsia="Arial" w:hAnsi="Arial"/>
          <w:sz w:val="11"/>
          <w:szCs w:val="11"/>
          <w:u w:val="single" w:color="auto"/>
          <w:color w:val="auto"/>
        </w:rPr>
        <w:t>Section 10.1</w:t>
      </w:r>
      <w:r>
        <w:rPr>
          <w:rFonts w:ascii="Arial" w:cs="Arial" w:eastAsia="Arial" w:hAnsi="Arial"/>
          <w:sz w:val="11"/>
          <w:szCs w:val="11"/>
          <w:color w:val="auto"/>
        </w:rPr>
        <w:t xml:space="preserve">, and subject to the satisfaction or waiver of the conditions set forth in </w:t>
      </w:r>
      <w:r>
        <w:rPr>
          <w:rFonts w:ascii="Arial" w:cs="Arial" w:eastAsia="Arial" w:hAnsi="Arial"/>
          <w:sz w:val="11"/>
          <w:szCs w:val="11"/>
          <w:u w:val="single" w:color="auto"/>
          <w:color w:val="auto"/>
        </w:rPr>
        <w:t>Sections 7</w:t>
      </w:r>
      <w:r>
        <w:rPr>
          <w:rFonts w:ascii="Arial" w:cs="Arial" w:eastAsia="Arial" w:hAnsi="Arial"/>
          <w:sz w:val="11"/>
          <w:szCs w:val="11"/>
          <w:color w:val="auto"/>
        </w:rPr>
        <w:t xml:space="preserve">, </w:t>
      </w:r>
      <w:r>
        <w:rPr>
          <w:rFonts w:ascii="Arial" w:cs="Arial" w:eastAsia="Arial" w:hAnsi="Arial"/>
          <w:sz w:val="11"/>
          <w:szCs w:val="11"/>
          <w:u w:val="single" w:color="auto"/>
          <w:color w:val="auto"/>
        </w:rPr>
        <w:t>8</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9</w:t>
      </w:r>
      <w:r>
        <w:rPr>
          <w:rFonts w:ascii="Arial" w:cs="Arial" w:eastAsia="Arial" w:hAnsi="Arial"/>
          <w:sz w:val="11"/>
          <w:szCs w:val="11"/>
          <w:color w:val="auto"/>
        </w:rPr>
        <w:t>, the consummation of the Merger (the “</w:t>
      </w:r>
      <w:r>
        <w:rPr>
          <w:rFonts w:ascii="Arial" w:cs="Arial" w:eastAsia="Arial" w:hAnsi="Arial"/>
          <w:sz w:val="11"/>
          <w:szCs w:val="11"/>
          <w:b w:val="1"/>
          <w:bCs w:val="1"/>
          <w:color w:val="auto"/>
        </w:rPr>
        <w:t>Closing</w:t>
      </w:r>
      <w:r>
        <w:rPr>
          <w:rFonts w:ascii="Arial" w:cs="Arial" w:eastAsia="Arial" w:hAnsi="Arial"/>
          <w:sz w:val="11"/>
          <w:szCs w:val="11"/>
          <w:color w:val="auto"/>
        </w:rPr>
        <w:t xml:space="preserve">”) shall take place at the offices of Goodwin Procter LLP, 100 Northern Avenue, Boston, Massachusetts 02210, as promptly as practicable (but in no event later than the second Business Day following the satisfaction or waiver of the last to be satisfied or waived of the conditions set forth in </w:t>
      </w:r>
      <w:r>
        <w:rPr>
          <w:rFonts w:ascii="Arial" w:cs="Arial" w:eastAsia="Arial" w:hAnsi="Arial"/>
          <w:sz w:val="11"/>
          <w:szCs w:val="11"/>
          <w:u w:val="single" w:color="auto"/>
          <w:color w:val="auto"/>
        </w:rPr>
        <w:t>Sections 7</w:t>
      </w:r>
      <w:r>
        <w:rPr>
          <w:rFonts w:ascii="Arial" w:cs="Arial" w:eastAsia="Arial" w:hAnsi="Arial"/>
          <w:sz w:val="11"/>
          <w:szCs w:val="11"/>
          <w:color w:val="auto"/>
        </w:rPr>
        <w:t xml:space="preserve">, </w:t>
      </w:r>
      <w:r>
        <w:rPr>
          <w:rFonts w:ascii="Arial" w:cs="Arial" w:eastAsia="Arial" w:hAnsi="Arial"/>
          <w:sz w:val="11"/>
          <w:szCs w:val="11"/>
          <w:u w:val="single" w:color="auto"/>
          <w:color w:val="auto"/>
        </w:rPr>
        <w:t>8</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9</w:t>
      </w:r>
      <w:r>
        <w:rPr>
          <w:rFonts w:ascii="Arial" w:cs="Arial" w:eastAsia="Arial" w:hAnsi="Arial"/>
          <w:sz w:val="11"/>
          <w:szCs w:val="11"/>
          <w:color w:val="auto"/>
        </w:rPr>
        <w:t>, other than those conditions that by their nature are to be satisfied at the Closing, but subject to the satisfaction or waiver of each of such conditions), or at such other time, date and place as Zordich and the Company may mutually agree in writing. The date on which the Closing actually takes place is referred to as the “</w:t>
      </w:r>
      <w:r>
        <w:rPr>
          <w:rFonts w:ascii="Arial" w:cs="Arial" w:eastAsia="Arial" w:hAnsi="Arial"/>
          <w:sz w:val="11"/>
          <w:szCs w:val="11"/>
          <w:b w:val="1"/>
          <w:bCs w:val="1"/>
          <w:color w:val="auto"/>
        </w:rPr>
        <w:t>Closing</w:t>
      </w:r>
      <w:r>
        <w:rPr>
          <w:rFonts w:ascii="Arial" w:cs="Arial" w:eastAsia="Arial" w:hAnsi="Arial"/>
          <w:sz w:val="11"/>
          <w:szCs w:val="11"/>
          <w:color w:val="auto"/>
        </w:rPr>
        <w:t xml:space="preserve"> </w:t>
      </w:r>
      <w:r>
        <w:rPr>
          <w:rFonts w:ascii="Arial" w:cs="Arial" w:eastAsia="Arial" w:hAnsi="Arial"/>
          <w:sz w:val="11"/>
          <w:szCs w:val="11"/>
          <w:b w:val="1"/>
          <w:bCs w:val="1"/>
          <w:color w:val="auto"/>
        </w:rPr>
        <w:t>Date</w:t>
      </w:r>
      <w:r>
        <w:rPr>
          <w:rFonts w:ascii="Arial" w:cs="Arial" w:eastAsia="Arial" w:hAnsi="Arial"/>
          <w:sz w:val="11"/>
          <w:szCs w:val="11"/>
          <w:color w:val="auto"/>
        </w:rPr>
        <w:t>.” At the Closing, the Parties shall cause the Merger to be consummated by executing and filing with the Secretary of State of the State of Delaware</w:t>
      </w:r>
      <w:r>
        <w:rPr>
          <w:rFonts w:ascii="Arial" w:cs="Arial" w:eastAsia="Arial" w:hAnsi="Arial"/>
          <w:sz w:val="11"/>
          <w:szCs w:val="11"/>
          <w:b w:val="1"/>
          <w:bCs w:val="1"/>
          <w:color w:val="auto"/>
        </w:rPr>
        <w:t xml:space="preserve"> </w:t>
      </w:r>
      <w:r>
        <w:rPr>
          <w:rFonts w:ascii="Arial" w:cs="Arial" w:eastAsia="Arial" w:hAnsi="Arial"/>
          <w:sz w:val="11"/>
          <w:szCs w:val="11"/>
          <w:color w:val="auto"/>
        </w:rPr>
        <w:t>a certificate of merger with respect to the Merger, satisfying the applicable requirements of the DGCL and in form and substance to be agreed upon by the Parties (the “</w:t>
      </w:r>
      <w:r>
        <w:rPr>
          <w:rFonts w:ascii="Arial" w:cs="Arial" w:eastAsia="Arial" w:hAnsi="Arial"/>
          <w:sz w:val="11"/>
          <w:szCs w:val="11"/>
          <w:b w:val="1"/>
          <w:bCs w:val="1"/>
          <w:color w:val="auto"/>
        </w:rPr>
        <w:t>Certificate of Merger</w:t>
      </w:r>
      <w:r>
        <w:rPr>
          <w:rFonts w:ascii="Arial" w:cs="Arial" w:eastAsia="Arial" w:hAnsi="Arial"/>
          <w:sz w:val="11"/>
          <w:szCs w:val="11"/>
          <w:color w:val="auto"/>
        </w:rPr>
        <w:t>”). The Merger shall become effective at the time of the filing of such Certificate of Merger with the Secretary of State of the State of Delaware or at such later time as may be specified in such Certificate of Merger with the consent of Zordich and the Company (the time as of which the Merger becomes effective being referred to as the “</w:t>
      </w:r>
      <w:r>
        <w:rPr>
          <w:rFonts w:ascii="Arial" w:cs="Arial" w:eastAsia="Arial" w:hAnsi="Arial"/>
          <w:sz w:val="11"/>
          <w:szCs w:val="11"/>
          <w:b w:val="1"/>
          <w:bCs w:val="1"/>
          <w:color w:val="auto"/>
        </w:rPr>
        <w:t>Effective Time</w:t>
      </w:r>
      <w:r>
        <w:rPr>
          <w:rFonts w:ascii="Arial" w:cs="Arial" w:eastAsia="Arial" w:hAnsi="Arial"/>
          <w:sz w:val="11"/>
          <w:szCs w:val="11"/>
          <w:color w:val="auto"/>
        </w:rPr>
        <w: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230" w:right="1440" w:bottom="1440" w:gutter="0" w:footer="0" w:header="0"/>
        </w:sectPr>
      </w:pPr>
    </w:p>
    <w:bookmarkStart w:id="29" w:name="page30"/>
    <w:bookmarkEnd w:id="29"/>
    <w:p>
      <w:pPr>
        <w:ind w:left="1120"/>
        <w:spacing w:after="0"/>
        <w:tabs>
          <w:tab w:leader="none" w:pos="13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2.4</w:t>
      </w:r>
      <w:r>
        <w:rPr>
          <w:sz w:val="20"/>
          <w:szCs w:val="20"/>
          <w:color w:val="auto"/>
        </w:rPr>
        <w:tab/>
      </w:r>
      <w:r>
        <w:rPr>
          <w:rFonts w:ascii="Arial" w:cs="Arial" w:eastAsia="Arial" w:hAnsi="Arial"/>
          <w:sz w:val="11"/>
          <w:szCs w:val="11"/>
          <w:u w:val="single" w:color="auto"/>
          <w:color w:val="auto"/>
        </w:rPr>
        <w:t>Certificate of Incorporation and Bylaws; Directors and Officers</w:t>
      </w:r>
      <w:r>
        <w:rPr>
          <w:rFonts w:ascii="Arial" w:cs="Arial" w:eastAsia="Arial" w:hAnsi="Arial"/>
          <w:sz w:val="11"/>
          <w:szCs w:val="11"/>
          <w:color w:val="auto"/>
        </w:rPr>
        <w:t>. At the Effective Time:</w:t>
      </w:r>
    </w:p>
    <w:p>
      <w:pPr>
        <w:spacing w:after="0" w:line="79" w:lineRule="exact"/>
        <w:rPr>
          <w:sz w:val="20"/>
          <w:szCs w:val="20"/>
          <w:color w:val="auto"/>
        </w:rPr>
      </w:pPr>
    </w:p>
    <w:p>
      <w:pPr>
        <w:ind w:left="840" w:right="879" w:firstLine="654"/>
        <w:spacing w:after="0" w:line="277" w:lineRule="auto"/>
        <w:tabs>
          <w:tab w:leader="none" w:pos="175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certificate of incorporation of the Surviving Corporation shall be amended and restated as set forth in an exhibit to the Certificate of Merger, until thereafter amended as provided by the DGCL and such certificate of incorporation;</w:t>
      </w:r>
    </w:p>
    <w:p>
      <w:pPr>
        <w:spacing w:after="0" w:line="114" w:lineRule="exact"/>
        <w:rPr>
          <w:rFonts w:ascii="Arial" w:cs="Arial" w:eastAsia="Arial" w:hAnsi="Arial"/>
          <w:sz w:val="12"/>
          <w:szCs w:val="12"/>
          <w:color w:val="auto"/>
        </w:rPr>
      </w:pPr>
    </w:p>
    <w:p>
      <w:pPr>
        <w:ind w:left="840" w:right="919" w:firstLine="654"/>
        <w:spacing w:after="0" w:line="260" w:lineRule="auto"/>
        <w:tabs>
          <w:tab w:leader="none" w:pos="1764"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certificate of incorporation of Zordich shall be identical to the certificate of incorporation of Zordich immediately prior to the Effective Time, until thereafter amended as provided by the DGCL and such certificate of incorporation; provided, however, that at the Effective Time, Zordich shall file an amendment to its certificate of incorporation to (i) change the name of Zordich to “Larimar Therapeutics, Inc.” and (ii) effect the Zordich Reverse Stock Split (to the extent required pursuant to Section 6.19);</w:t>
      </w:r>
    </w:p>
    <w:p>
      <w:pPr>
        <w:spacing w:after="0" w:line="124" w:lineRule="exact"/>
        <w:rPr>
          <w:rFonts w:ascii="Arial" w:cs="Arial" w:eastAsia="Arial" w:hAnsi="Arial"/>
          <w:sz w:val="12"/>
          <w:szCs w:val="12"/>
          <w:color w:val="auto"/>
        </w:rPr>
      </w:pPr>
    </w:p>
    <w:p>
      <w:pPr>
        <w:ind w:left="840" w:right="859" w:firstLine="654"/>
        <w:spacing w:after="0" w:line="277" w:lineRule="auto"/>
        <w:tabs>
          <w:tab w:leader="none" w:pos="175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bylaws of the Surviving Corporation shall be identical to the bylaws of Merger Sub as in effect immediately prior to the Effective Time, until thereafter amended as provided by the DGCL and such bylaws;</w:t>
      </w:r>
    </w:p>
    <w:p>
      <w:pPr>
        <w:spacing w:after="0" w:line="114" w:lineRule="exact"/>
        <w:rPr>
          <w:rFonts w:ascii="Arial" w:cs="Arial" w:eastAsia="Arial" w:hAnsi="Arial"/>
          <w:sz w:val="12"/>
          <w:szCs w:val="12"/>
          <w:color w:val="auto"/>
        </w:rPr>
      </w:pPr>
    </w:p>
    <w:p>
      <w:pPr>
        <w:ind w:left="840" w:right="979" w:firstLine="654"/>
        <w:spacing w:after="0" w:line="277" w:lineRule="auto"/>
        <w:tabs>
          <w:tab w:leader="none" w:pos="1764"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the directors and officers of Zordich, each to hold office in accordance with the certificate of incorporation and bylaws of Zordich, shall be as set forth in </w:t>
      </w:r>
      <w:r>
        <w:rPr>
          <w:rFonts w:ascii="Arial" w:cs="Arial" w:eastAsia="Arial" w:hAnsi="Arial"/>
          <w:sz w:val="12"/>
          <w:szCs w:val="12"/>
          <w:u w:val="single" w:color="auto"/>
          <w:color w:val="auto"/>
        </w:rPr>
        <w:t>Section 6.14</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jc w:val="both"/>
        <w:ind w:left="840" w:right="1019" w:firstLine="654"/>
        <w:spacing w:after="0" w:line="264" w:lineRule="auto"/>
        <w:tabs>
          <w:tab w:leader="none" w:pos="1757"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the directors and officers of the Surviving Corporation, each to hold office in accordance with the certificate of incorporation and bylaws of the Surviving Corporation, shall be the directors and officers of Zordich as set forth in </w:t>
      </w:r>
      <w:r>
        <w:rPr>
          <w:rFonts w:ascii="Arial" w:cs="Arial" w:eastAsia="Arial" w:hAnsi="Arial"/>
          <w:sz w:val="12"/>
          <w:szCs w:val="12"/>
          <w:u w:val="single" w:color="auto"/>
          <w:color w:val="auto"/>
        </w:rPr>
        <w:t>Section 6.14</w:t>
      </w:r>
      <w:r>
        <w:rPr>
          <w:rFonts w:ascii="Arial" w:cs="Arial" w:eastAsia="Arial" w:hAnsi="Arial"/>
          <w:sz w:val="12"/>
          <w:szCs w:val="12"/>
          <w:color w:val="auto"/>
        </w:rPr>
        <w:t xml:space="preserve">, after giving effect to the provisions of </w:t>
      </w:r>
      <w:r>
        <w:rPr>
          <w:rFonts w:ascii="Arial" w:cs="Arial" w:eastAsia="Arial" w:hAnsi="Arial"/>
          <w:sz w:val="12"/>
          <w:szCs w:val="12"/>
          <w:u w:val="single" w:color="auto"/>
          <w:color w:val="auto"/>
        </w:rPr>
        <w:t>Section 6.14</w:t>
      </w:r>
      <w:r>
        <w:rPr>
          <w:rFonts w:ascii="Arial" w:cs="Arial" w:eastAsia="Arial" w:hAnsi="Arial"/>
          <w:sz w:val="12"/>
          <w:szCs w:val="12"/>
          <w:color w:val="auto"/>
        </w:rPr>
        <w:t>.</w:t>
      </w:r>
    </w:p>
    <w:p>
      <w:pPr>
        <w:spacing w:after="0" w:line="19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0"/>
          <w:szCs w:val="10"/>
          <w:u w:val="single" w:color="auto"/>
          <w:color w:val="auto"/>
        </w:rPr>
        <w:t>Conversion of Shares</w:t>
      </w:r>
      <w:r>
        <w:rPr>
          <w:rFonts w:ascii="Arial" w:cs="Arial" w:eastAsia="Arial" w:hAnsi="Arial"/>
          <w:sz w:val="10"/>
          <w:szCs w:val="10"/>
          <w:color w:val="auto"/>
        </w:rPr>
        <w:t>.</w:t>
      </w:r>
    </w:p>
    <w:p>
      <w:pPr>
        <w:spacing w:after="0" w:line="79" w:lineRule="exact"/>
        <w:rPr>
          <w:sz w:val="20"/>
          <w:szCs w:val="20"/>
          <w:color w:val="auto"/>
        </w:rPr>
      </w:pPr>
    </w:p>
    <w:p>
      <w:pPr>
        <w:ind w:left="840" w:right="1019" w:firstLine="654"/>
        <w:spacing w:after="0" w:line="277" w:lineRule="auto"/>
        <w:tabs>
          <w:tab w:leader="none" w:pos="175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At the Effective Time, by virtue of the Merger and without any further action on the part of Zordich, Merger Sub, the Company or any stockholder of the Company or Zordich:</w:t>
      </w:r>
    </w:p>
    <w:p>
      <w:pPr>
        <w:spacing w:after="0" w:line="42" w:lineRule="exact"/>
        <w:rPr>
          <w:rFonts w:ascii="Arial" w:cs="Arial" w:eastAsia="Arial" w:hAnsi="Arial"/>
          <w:sz w:val="12"/>
          <w:szCs w:val="12"/>
          <w:color w:val="auto"/>
        </w:rPr>
      </w:pPr>
    </w:p>
    <w:p>
      <w:pPr>
        <w:ind w:left="1120" w:right="1039" w:firstLine="642"/>
        <w:spacing w:after="0" w:line="277" w:lineRule="auto"/>
        <w:tabs>
          <w:tab w:leader="none" w:pos="199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shares of Company Common Stock held as treasury stock immediately prior to the Effective Time shall be canceled and retired and shall cease to exist, and no consideration shall be delivered in exchange therefor; and</w:t>
      </w:r>
    </w:p>
    <w:p>
      <w:pPr>
        <w:spacing w:after="0" w:line="42" w:lineRule="exact"/>
        <w:rPr>
          <w:rFonts w:ascii="Arial" w:cs="Arial" w:eastAsia="Arial" w:hAnsi="Arial"/>
          <w:sz w:val="12"/>
          <w:szCs w:val="12"/>
          <w:color w:val="auto"/>
        </w:rPr>
      </w:pPr>
    </w:p>
    <w:p>
      <w:pPr>
        <w:ind w:left="1120" w:right="839" w:firstLine="642"/>
        <w:spacing w:after="0" w:line="264" w:lineRule="auto"/>
        <w:tabs>
          <w:tab w:leader="none" w:pos="2024" w:val="left"/>
        </w:tabs>
        <w:numPr>
          <w:ilvl w:val="1"/>
          <w:numId w:val="19"/>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2.5(c)</w:t>
      </w:r>
      <w:r>
        <w:rPr>
          <w:rFonts w:ascii="Arial" w:cs="Arial" w:eastAsia="Arial" w:hAnsi="Arial"/>
          <w:sz w:val="12"/>
          <w:szCs w:val="12"/>
          <w:color w:val="auto"/>
        </w:rPr>
        <w:t xml:space="preserve">, each share of Company Common Stock outstanding immediately prior to the Effective Time (excluding shares to be canceled pursuant to </w:t>
      </w:r>
      <w:r>
        <w:rPr>
          <w:rFonts w:ascii="Arial" w:cs="Arial" w:eastAsia="Arial" w:hAnsi="Arial"/>
          <w:sz w:val="12"/>
          <w:szCs w:val="12"/>
          <w:u w:val="single" w:color="auto"/>
          <w:color w:val="auto"/>
        </w:rPr>
        <w:t>Section 2.5(a)(i)</w:t>
      </w:r>
      <w:r>
        <w:rPr>
          <w:rFonts w:ascii="Arial" w:cs="Arial" w:eastAsia="Arial" w:hAnsi="Arial"/>
          <w:sz w:val="12"/>
          <w:szCs w:val="12"/>
          <w:color w:val="auto"/>
        </w:rPr>
        <w:t xml:space="preserve"> and excluding Dissenting Shares) shall be converted solely into the right to receive a number of shares of Zordich Common Stock equal to the Exchange Ratio (the “</w:t>
      </w:r>
      <w:r>
        <w:rPr>
          <w:rFonts w:ascii="Arial" w:cs="Arial" w:eastAsia="Arial" w:hAnsi="Arial"/>
          <w:sz w:val="12"/>
          <w:szCs w:val="12"/>
          <w:b w:val="1"/>
          <w:bCs w:val="1"/>
          <w:color w:val="auto"/>
        </w:rPr>
        <w:t>Merger Consideration</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840" w:right="839" w:firstLine="654"/>
        <w:spacing w:after="0" w:line="284" w:lineRule="auto"/>
        <w:tabs>
          <w:tab w:leader="none" w:pos="1764" w:val="left"/>
        </w:tabs>
        <w:numPr>
          <w:ilvl w:val="0"/>
          <w:numId w:val="19"/>
        </w:numPr>
        <w:rPr>
          <w:rFonts w:ascii="Arial" w:cs="Arial" w:eastAsia="Arial" w:hAnsi="Arial"/>
          <w:sz w:val="11"/>
          <w:szCs w:val="11"/>
          <w:color w:val="auto"/>
        </w:rPr>
      </w:pPr>
      <w:r>
        <w:rPr>
          <w:rFonts w:ascii="Arial" w:cs="Arial" w:eastAsia="Arial" w:hAnsi="Arial"/>
          <w:sz w:val="11"/>
          <w:szCs w:val="11"/>
          <w:color w:val="auto"/>
        </w:rPr>
        <w:t>If any shares of Company Common Stock outstanding immediately prior to the Effective Time are unvested or are subject to a repurchase option or a risk of forfeiture under any applicable restricted stock purchase agreement or other similar agreement with the Company, then the shares of Zordich Common Stock issued in exchange for such shares of Company Common Stock will to the same extent be unvested and subject to the same repurchase option or risk of forfeiture, and such shares of Zordich Common Stock shall accordingly be marked with appropriate legends. The Company shall take all actions that may be necessary to ensure that, from and after the Effective Time, Zordich is entitled to exercise any such repurchase option or other right set forth in any such restricted stock purchase agreement or other agreement.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230" w:right="1440" w:bottom="1440" w:gutter="0" w:footer="0" w:header="0"/>
        </w:sectPr>
      </w:pPr>
    </w:p>
    <w:bookmarkStart w:id="30" w:name="page31"/>
    <w:bookmarkEnd w:id="30"/>
    <w:p>
      <w:pPr>
        <w:ind w:left="840" w:right="1059" w:firstLine="654"/>
        <w:spacing w:after="0" w:line="277" w:lineRule="auto"/>
        <w:tabs>
          <w:tab w:leader="none" w:pos="1757" w:val="left"/>
        </w:tabs>
        <w:numPr>
          <w:ilvl w:val="0"/>
          <w:numId w:val="2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 fractional shares of Zordich Common Stock shall be issued in connection with the Merger, and no certificates or scrip for any such fractional shares shall be issued, with no cash being paid for any fractional share eliminated by such rounding.</w:t>
      </w:r>
    </w:p>
    <w:p>
      <w:pPr>
        <w:spacing w:after="0" w:line="114" w:lineRule="exact"/>
        <w:rPr>
          <w:rFonts w:ascii="Arial" w:cs="Arial" w:eastAsia="Arial" w:hAnsi="Arial"/>
          <w:sz w:val="12"/>
          <w:szCs w:val="12"/>
          <w:color w:val="auto"/>
        </w:rPr>
      </w:pPr>
    </w:p>
    <w:p>
      <w:pPr>
        <w:ind w:left="1740" w:hanging="246"/>
        <w:spacing w:after="0"/>
        <w:tabs>
          <w:tab w:leader="none" w:pos="174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All Holdings Options outstanding immediately prior to the Effective Time under the Holdings Plan shall be treated in accordance</w:t>
      </w:r>
    </w:p>
    <w:p>
      <w:pPr>
        <w:spacing w:after="0" w:line="26" w:lineRule="exact"/>
        <w:rPr>
          <w:rFonts w:ascii="Arial" w:cs="Arial" w:eastAsia="Arial" w:hAnsi="Arial"/>
          <w:sz w:val="11"/>
          <w:szCs w:val="11"/>
          <w:color w:val="auto"/>
        </w:rPr>
      </w:pPr>
    </w:p>
    <w:p>
      <w:pPr>
        <w:ind w:left="840"/>
        <w:spacing w:after="0"/>
        <w:rPr>
          <w:rFonts w:ascii="Arial" w:cs="Arial" w:eastAsia="Arial" w:hAnsi="Arial"/>
          <w:sz w:val="11"/>
          <w:szCs w:val="11"/>
          <w:color w:val="auto"/>
        </w:rPr>
      </w:pPr>
      <w:r>
        <w:rPr>
          <w:rFonts w:ascii="Arial" w:cs="Arial" w:eastAsia="Arial" w:hAnsi="Arial"/>
          <w:sz w:val="12"/>
          <w:szCs w:val="12"/>
          <w:color w:val="auto"/>
        </w:rPr>
        <w:t xml:space="preserve">with </w:t>
      </w:r>
      <w:r>
        <w:rPr>
          <w:rFonts w:ascii="Arial" w:cs="Arial" w:eastAsia="Arial" w:hAnsi="Arial"/>
          <w:sz w:val="12"/>
          <w:szCs w:val="12"/>
          <w:u w:val="single" w:color="auto"/>
          <w:color w:val="auto"/>
        </w:rPr>
        <w:t>Section 6.5.</w:t>
      </w:r>
    </w:p>
    <w:p>
      <w:pPr>
        <w:spacing w:after="0" w:line="142" w:lineRule="exact"/>
        <w:rPr>
          <w:rFonts w:ascii="Arial" w:cs="Arial" w:eastAsia="Arial" w:hAnsi="Arial"/>
          <w:sz w:val="11"/>
          <w:szCs w:val="11"/>
          <w:color w:val="auto"/>
        </w:rPr>
      </w:pPr>
    </w:p>
    <w:p>
      <w:pPr>
        <w:ind w:left="840" w:right="979" w:firstLine="654"/>
        <w:spacing w:after="0" w:line="260" w:lineRule="auto"/>
        <w:tabs>
          <w:tab w:leader="none" w:pos="1757" w:val="left"/>
        </w:tabs>
        <w:numPr>
          <w:ilvl w:val="0"/>
          <w:numId w:val="20"/>
        </w:numPr>
        <w:rPr>
          <w:rFonts w:ascii="Arial" w:cs="Arial" w:eastAsia="Arial" w:hAnsi="Arial"/>
          <w:sz w:val="12"/>
          <w:szCs w:val="12"/>
          <w:color w:val="auto"/>
        </w:rPr>
      </w:pPr>
      <w:r>
        <w:rPr>
          <w:rFonts w:ascii="Arial" w:cs="Arial" w:eastAsia="Arial" w:hAnsi="Arial"/>
          <w:sz w:val="12"/>
          <w:szCs w:val="12"/>
          <w:color w:val="auto"/>
        </w:rPr>
        <w:t>Each share of common stock, $0.01 par value per share, of Merger Sub issued and outstanding immediately prior to the Effective Time shall be converted into and exchanged for one validly issued, fully paid and nonassessable share of common stock, $0.01 par value per share, of the Surviving Corporation. Each stock certificate of Merger Sub evidencing ownership of any such shares shall, as of the Effective Time, evidence ownership of such shares of common stock of the Surviving Corporation.</w:t>
      </w:r>
    </w:p>
    <w:p>
      <w:pPr>
        <w:spacing w:after="0" w:line="124" w:lineRule="exact"/>
        <w:rPr>
          <w:rFonts w:ascii="Arial" w:cs="Arial" w:eastAsia="Arial" w:hAnsi="Arial"/>
          <w:sz w:val="12"/>
          <w:szCs w:val="12"/>
          <w:color w:val="auto"/>
        </w:rPr>
      </w:pPr>
    </w:p>
    <w:p>
      <w:pPr>
        <w:ind w:left="840" w:right="899" w:firstLine="654"/>
        <w:spacing w:after="0" w:line="280" w:lineRule="auto"/>
        <w:tabs>
          <w:tab w:leader="none" w:pos="1744" w:val="left"/>
        </w:tabs>
        <w:numPr>
          <w:ilvl w:val="0"/>
          <w:numId w:val="20"/>
        </w:numPr>
        <w:rPr>
          <w:rFonts w:ascii="Arial" w:cs="Arial" w:eastAsia="Arial" w:hAnsi="Arial"/>
          <w:sz w:val="11"/>
          <w:szCs w:val="11"/>
          <w:color w:val="auto"/>
        </w:rPr>
      </w:pPr>
      <w:r>
        <w:rPr>
          <w:rFonts w:ascii="Arial" w:cs="Arial" w:eastAsia="Arial" w:hAnsi="Arial"/>
          <w:sz w:val="11"/>
          <w:szCs w:val="11"/>
          <w:color w:val="auto"/>
        </w:rPr>
        <w:t>If, between the date of this Agreement and the Effective Time, the outstanding shares of Company Common Stock or Zordich Common Stock shall have been changed into, or exchanged for, a different number of shares or a different class, by reason of any stock dividend, subdivision, reclassification, recapitalization, split (including the Zordich Reverse Stock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Common Stock, Holdings Options and Zordich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Zordich to take any action with respect to Company Common Stock or Zordich Common Stock, respectively, that is prohibited or not expressly permitted by the terms of this Agreement.</w:t>
      </w:r>
    </w:p>
    <w:p>
      <w:pPr>
        <w:spacing w:after="0" w:line="116" w:lineRule="exact"/>
        <w:rPr>
          <w:sz w:val="20"/>
          <w:szCs w:val="20"/>
          <w:color w:val="auto"/>
        </w:rPr>
      </w:pPr>
    </w:p>
    <w:p>
      <w:pPr>
        <w:ind w:left="840" w:right="899" w:firstLine="295"/>
        <w:spacing w:after="0" w:line="281" w:lineRule="auto"/>
        <w:rPr>
          <w:sz w:val="20"/>
          <w:szCs w:val="20"/>
          <w:color w:val="auto"/>
        </w:rPr>
      </w:pPr>
      <w:r>
        <w:rPr>
          <w:rFonts w:ascii="Arial" w:cs="Arial" w:eastAsia="Arial" w:hAnsi="Arial"/>
          <w:sz w:val="11"/>
          <w:szCs w:val="11"/>
          <w:color w:val="auto"/>
        </w:rPr>
        <w:t xml:space="preserve">2.6 </w:t>
      </w:r>
      <w:r>
        <w:rPr>
          <w:rFonts w:ascii="Arial" w:cs="Arial" w:eastAsia="Arial" w:hAnsi="Arial"/>
          <w:sz w:val="11"/>
          <w:szCs w:val="11"/>
          <w:u w:val="single" w:color="auto"/>
          <w:color w:val="auto"/>
        </w:rPr>
        <w:t>Closing of the Company’s Transfer Books</w:t>
      </w:r>
      <w:r>
        <w:rPr>
          <w:rFonts w:ascii="Arial" w:cs="Arial" w:eastAsia="Arial" w:hAnsi="Arial"/>
          <w:sz w:val="11"/>
          <w:szCs w:val="11"/>
          <w:color w:val="auto"/>
        </w:rPr>
        <w:t xml:space="preserve">. At the Effective Time: (a) all shares of Company Common Stock outstanding immediately prior to the Effective Time shall be treated in accordance with </w:t>
      </w:r>
      <w:r>
        <w:rPr>
          <w:rFonts w:ascii="Arial" w:cs="Arial" w:eastAsia="Arial" w:hAnsi="Arial"/>
          <w:sz w:val="11"/>
          <w:szCs w:val="11"/>
          <w:u w:val="single" w:color="auto"/>
          <w:color w:val="auto"/>
        </w:rPr>
        <w:t>Section 2.5(a)</w:t>
      </w:r>
      <w:r>
        <w:rPr>
          <w:rFonts w:ascii="Arial" w:cs="Arial" w:eastAsia="Arial" w:hAnsi="Arial"/>
          <w:sz w:val="11"/>
          <w:szCs w:val="11"/>
          <w:color w:val="auto"/>
        </w:rPr>
        <w:t>, and all holders of certificates representing shares of Company Common Stock that were outstanding immediately prior to the Effective Time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w:t>
      </w:r>
      <w:r>
        <w:rPr>
          <w:rFonts w:ascii="Arial" w:cs="Arial" w:eastAsia="Arial" w:hAnsi="Arial"/>
          <w:sz w:val="11"/>
          <w:szCs w:val="11"/>
          <w:b w:val="1"/>
          <w:bCs w:val="1"/>
          <w:color w:val="auto"/>
        </w:rPr>
        <w:t>Company Stock Certificate</w:t>
      </w:r>
      <w:r>
        <w:rPr>
          <w:rFonts w:ascii="Arial" w:cs="Arial" w:eastAsia="Arial" w:hAnsi="Arial"/>
          <w:sz w:val="11"/>
          <w:szCs w:val="11"/>
          <w:color w:val="auto"/>
        </w:rPr>
        <w:t xml:space="preserve">”) is presented to the Exchange Agent or to the Surviving Corporation, such Company Stock Certificate shall be canceled and shall be exchanged as provided in </w:t>
      </w:r>
      <w:r>
        <w:rPr>
          <w:rFonts w:ascii="Arial" w:cs="Arial" w:eastAsia="Arial" w:hAnsi="Arial"/>
          <w:sz w:val="11"/>
          <w:szCs w:val="11"/>
          <w:u w:val="single" w:color="auto"/>
          <w:color w:val="auto"/>
        </w:rPr>
        <w:t>Sections 2.5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2.7</w:t>
      </w:r>
      <w:r>
        <w:rPr>
          <w:rFonts w:ascii="Arial" w:cs="Arial" w:eastAsia="Arial" w:hAnsi="Arial"/>
          <w:sz w:val="11"/>
          <w:szCs w:val="11"/>
          <w:color w:val="auto"/>
        </w:rPr>
        <w:t>.</w:t>
      </w:r>
    </w:p>
    <w:p>
      <w:pPr>
        <w:spacing w:after="0" w:line="188"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2.7</w:t>
      </w:r>
      <w:r>
        <w:rPr>
          <w:sz w:val="20"/>
          <w:szCs w:val="20"/>
          <w:color w:val="auto"/>
        </w:rPr>
        <w:tab/>
      </w:r>
      <w:r>
        <w:rPr>
          <w:rFonts w:ascii="Arial" w:cs="Arial" w:eastAsia="Arial" w:hAnsi="Arial"/>
          <w:sz w:val="10"/>
          <w:szCs w:val="10"/>
          <w:u w:val="single" w:color="auto"/>
          <w:color w:val="auto"/>
        </w:rPr>
        <w:t>Surrender of Certificates</w:t>
      </w:r>
      <w:r>
        <w:rPr>
          <w:rFonts w:ascii="Arial" w:cs="Arial" w:eastAsia="Arial" w:hAnsi="Arial"/>
          <w:sz w:val="10"/>
          <w:szCs w:val="10"/>
          <w:color w:val="auto"/>
        </w:rPr>
        <w:t>.</w:t>
      </w:r>
    </w:p>
    <w:p>
      <w:pPr>
        <w:spacing w:after="0" w:line="79" w:lineRule="exact"/>
        <w:rPr>
          <w:sz w:val="20"/>
          <w:szCs w:val="20"/>
          <w:color w:val="auto"/>
        </w:rPr>
      </w:pPr>
    </w:p>
    <w:p>
      <w:pPr>
        <w:ind w:left="840" w:right="899" w:firstLine="654"/>
        <w:spacing w:after="0" w:line="299" w:lineRule="auto"/>
        <w:tabs>
          <w:tab w:leader="none" w:pos="1667" w:val="left"/>
        </w:tabs>
        <w:numPr>
          <w:ilvl w:val="0"/>
          <w:numId w:val="21"/>
        </w:numPr>
        <w:rPr>
          <w:rFonts w:ascii="Arial" w:cs="Arial" w:eastAsia="Arial" w:hAnsi="Arial"/>
          <w:sz w:val="11"/>
          <w:szCs w:val="11"/>
          <w:color w:val="auto"/>
        </w:rPr>
      </w:pPr>
      <w:r>
        <w:rPr>
          <w:rFonts w:ascii="Arial" w:cs="Arial" w:eastAsia="Arial" w:hAnsi="Arial"/>
          <w:sz w:val="11"/>
          <w:szCs w:val="11"/>
          <w:color w:val="auto"/>
        </w:rPr>
        <w:t>On or prior to the Closing Date, Zordich shall select a reputable bank, transfer agent or trust company to act as exchange agent in the Merger (the “</w:t>
      </w:r>
      <w:r>
        <w:rPr>
          <w:rFonts w:ascii="Arial" w:cs="Arial" w:eastAsia="Arial" w:hAnsi="Arial"/>
          <w:sz w:val="11"/>
          <w:szCs w:val="11"/>
          <w:b w:val="1"/>
          <w:bCs w:val="1"/>
          <w:color w:val="auto"/>
        </w:rPr>
        <w:t>Exchange Agent</w:t>
      </w:r>
      <w:r>
        <w:rPr>
          <w:rFonts w:ascii="Arial" w:cs="Arial" w:eastAsia="Arial" w:hAnsi="Arial"/>
          <w:sz w:val="11"/>
          <w:szCs w:val="11"/>
          <w:color w:val="auto"/>
        </w:rPr>
        <w:t xml:space="preserve">”). At the Effective Time, Zordich shall deposit with the Exchange Agent evidence of book-entry shares representing the shares of Zordich Common Stock issuable pursuant to </w:t>
      </w:r>
      <w:r>
        <w:rPr>
          <w:rFonts w:ascii="Arial" w:cs="Arial" w:eastAsia="Arial" w:hAnsi="Arial"/>
          <w:sz w:val="11"/>
          <w:szCs w:val="11"/>
          <w:u w:val="single" w:color="auto"/>
          <w:color w:val="auto"/>
        </w:rPr>
        <w:t>Section 2.5(a)</w:t>
      </w:r>
      <w:r>
        <w:rPr>
          <w:rFonts w:ascii="Arial" w:cs="Arial" w:eastAsia="Arial" w:hAnsi="Arial"/>
          <w:sz w:val="11"/>
          <w:szCs w:val="11"/>
          <w:color w:val="auto"/>
        </w:rPr>
        <w:t xml:space="preserve"> in exchange for shares of Company Common Stock.</w:t>
      </w:r>
    </w:p>
    <w:p>
      <w:pPr>
        <w:spacing w:after="0" w:line="105" w:lineRule="exact"/>
        <w:rPr>
          <w:rFonts w:ascii="Arial" w:cs="Arial" w:eastAsia="Arial" w:hAnsi="Arial"/>
          <w:sz w:val="11"/>
          <w:szCs w:val="11"/>
          <w:color w:val="auto"/>
        </w:rPr>
      </w:pPr>
    </w:p>
    <w:p>
      <w:pPr>
        <w:ind w:left="840" w:right="959" w:firstLine="654"/>
        <w:spacing w:after="0" w:line="264" w:lineRule="auto"/>
        <w:tabs>
          <w:tab w:leader="none" w:pos="1764"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Promptly after the Effective Time, the Parties shall cause the Exchange Agent to mail to the Persons who were record holders of shares of Company Common Stock that were converted into the right to receive the Merger Consideration: (i) a letter of transmittal in customary form and containing such provisions as Zordich may reasonably specify (including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230" w:right="1440" w:bottom="1440" w:gutter="0" w:footer="0" w:header="0"/>
        </w:sectPr>
      </w:pPr>
    </w:p>
    <w:bookmarkStart w:id="31" w:name="page32"/>
    <w:bookmarkEnd w:id="31"/>
    <w:p>
      <w:pPr>
        <w:ind w:left="8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provision confirming that delivery of Company Stock Certificates shall be effected, and risk of loss and title to Company Stock Certificates shall pass,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only upon delivery of such Company Stock Certificates to the Exchange Agent) and (ii) instructions for effecting the surrender of Company Stock</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Certificates in exchange for book-entry shares of Zordich Common Stock. Upon surrender of a Company Stock Certificate to the Exchange Agent for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exchange, together with a duly executed letter of transmittal and such other documents as may be reasonably required by the Exchange Agent or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Zordich: (A) the holder of such Company Stock Certificate shall be entitled to receive in exchange therefor book-entry shares representing the Merger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Consideration (in a number of whole shares of Zordich Common Stock) that such holder has the right to receive pursuant to the provisions of</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u w:val="single" w:color="auto"/>
          <w:color w:val="auto"/>
        </w:rPr>
        <w:t>Section 2.5(a)</w:t>
      </w:r>
      <w:r>
        <w:rPr>
          <w:rFonts w:ascii="Arial" w:cs="Arial" w:eastAsia="Arial" w:hAnsi="Arial"/>
          <w:sz w:val="10"/>
          <w:szCs w:val="10"/>
          <w:color w:val="auto"/>
        </w:rPr>
        <w:t xml:space="preserve"> and (B) the Company Stock Certificate so surrendered shall be canceled. Until surrendered as contemplated by this </w:t>
      </w:r>
      <w:r>
        <w:rPr>
          <w:rFonts w:ascii="Arial" w:cs="Arial" w:eastAsia="Arial" w:hAnsi="Arial"/>
          <w:sz w:val="10"/>
          <w:szCs w:val="10"/>
          <w:u w:val="single" w:color="auto"/>
          <w:color w:val="auto"/>
        </w:rPr>
        <w:t>Section 2.7(b)</w:t>
      </w:r>
      <w:r>
        <w:rPr>
          <w:rFonts w:ascii="Arial" w:cs="Arial" w:eastAsia="Arial" w:hAnsi="Arial"/>
          <w:sz w:val="10"/>
          <w:szCs w:val="10"/>
          <w:color w:val="auto"/>
        </w:rPr>
        <w:t>, each</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Company Stock Certificate shall be deemed, from and after the Effective Time, to represent only the right to receive book-entry shares of Zordich</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Common Stock representing the Merger Consideration. If any Company Stock Certificate shall have been lost, stolen or destroyed, Zordich may, in its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discretion and as a condition precedent to the delivery of any shares of Zordich Common Stock, require the owner of such lost, stolen or destroyed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Company Stock Certificate to provide an applicable affidavit with respect to such Company Stock Certificate and post a bond indemnifying Zordich</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against any claim suffered by Zordich related to the lost, stolen or destroyed Company Stock Certificate or any Zordich Common Stock issued in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exchange therefor as Zordich may reasonably request.</w:t>
      </w:r>
    </w:p>
    <w:p>
      <w:pPr>
        <w:spacing w:after="0" w:line="142" w:lineRule="exact"/>
        <w:rPr>
          <w:sz w:val="20"/>
          <w:szCs w:val="20"/>
          <w:color w:val="auto"/>
        </w:rPr>
      </w:pPr>
    </w:p>
    <w:p>
      <w:pPr>
        <w:ind w:left="840" w:right="839" w:firstLine="654"/>
        <w:spacing w:after="0" w:line="257" w:lineRule="auto"/>
        <w:tabs>
          <w:tab w:leader="none" w:pos="1757"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No dividends or other distributions declared or made with respect to Zordich Common Stock with a record date after the Effective Time shall be paid to the holder of any unsurrendered Company Stock Certificate with respect to the shares of Zordich Common Stock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(at which time such holder shall be entitled, subject to the effect of applicable abandoned property, escheat or similar Laws, to receive all such dividends and distributions, without interest).</w:t>
      </w:r>
    </w:p>
    <w:p>
      <w:pPr>
        <w:spacing w:after="0" w:line="127" w:lineRule="exact"/>
        <w:rPr>
          <w:rFonts w:ascii="Arial" w:cs="Arial" w:eastAsia="Arial" w:hAnsi="Arial"/>
          <w:sz w:val="12"/>
          <w:szCs w:val="12"/>
          <w:color w:val="auto"/>
        </w:rPr>
      </w:pPr>
    </w:p>
    <w:p>
      <w:pPr>
        <w:ind w:left="840" w:right="879" w:firstLine="654"/>
        <w:spacing w:after="0" w:line="290" w:lineRule="auto"/>
        <w:tabs>
          <w:tab w:leader="none" w:pos="1757" w:val="left"/>
        </w:tabs>
        <w:numPr>
          <w:ilvl w:val="0"/>
          <w:numId w:val="22"/>
        </w:numPr>
        <w:rPr>
          <w:rFonts w:ascii="Arial" w:cs="Arial" w:eastAsia="Arial" w:hAnsi="Arial"/>
          <w:sz w:val="11"/>
          <w:szCs w:val="11"/>
          <w:color w:val="auto"/>
        </w:rPr>
      </w:pPr>
      <w:r>
        <w:rPr>
          <w:rFonts w:ascii="Arial" w:cs="Arial" w:eastAsia="Arial" w:hAnsi="Arial"/>
          <w:sz w:val="11"/>
          <w:szCs w:val="11"/>
          <w:color w:val="auto"/>
        </w:rPr>
        <w:t xml:space="preserve">Any shares of Zordich Common Stock deposited with the Exchange Agent that remain undistributed to holders of Company Stock Certificates as of the date that is 180 days after the Closing Date shall be delivered to Zordich upon demand, and any holders of Company Stock Certificates who have not theretofore surrendered their Company Stock Certificates in accordance with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shall thereafter look only to Zordich for satisfaction of their claims for Zordich Common Stock and any dividends or distributions with respect to shares of Zordich Common Stock.</w:t>
      </w:r>
    </w:p>
    <w:p>
      <w:pPr>
        <w:spacing w:after="0" w:line="110" w:lineRule="exact"/>
        <w:rPr>
          <w:rFonts w:ascii="Arial" w:cs="Arial" w:eastAsia="Arial" w:hAnsi="Arial"/>
          <w:sz w:val="11"/>
          <w:szCs w:val="11"/>
          <w:color w:val="auto"/>
        </w:rPr>
      </w:pPr>
    </w:p>
    <w:p>
      <w:pPr>
        <w:ind w:left="840" w:right="879" w:firstLine="654"/>
        <w:spacing w:after="0" w:line="290" w:lineRule="auto"/>
        <w:tabs>
          <w:tab w:leader="none" w:pos="1757" w:val="left"/>
        </w:tabs>
        <w:numPr>
          <w:ilvl w:val="0"/>
          <w:numId w:val="22"/>
        </w:numPr>
        <w:rPr>
          <w:rFonts w:ascii="Arial" w:cs="Arial" w:eastAsia="Arial" w:hAnsi="Arial"/>
          <w:sz w:val="11"/>
          <w:szCs w:val="11"/>
          <w:color w:val="auto"/>
        </w:rPr>
      </w:pPr>
      <w:r>
        <w:rPr>
          <w:rFonts w:ascii="Arial" w:cs="Arial" w:eastAsia="Arial" w:hAnsi="Arial"/>
          <w:sz w:val="11"/>
          <w:szCs w:val="11"/>
          <w:color w:val="auto"/>
        </w:rPr>
        <w:t>Each of the Exchange Agent, Zordich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taxing authority, such amounts shall be treated for all purposes under this Agreement as having been paid to the Person to whom such amounts would otherwise have been paid.</w:t>
      </w:r>
    </w:p>
    <w:p>
      <w:pPr>
        <w:spacing w:after="0" w:line="110" w:lineRule="exact"/>
        <w:rPr>
          <w:rFonts w:ascii="Arial" w:cs="Arial" w:eastAsia="Arial" w:hAnsi="Arial"/>
          <w:sz w:val="11"/>
          <w:szCs w:val="11"/>
          <w:color w:val="auto"/>
        </w:rPr>
      </w:pPr>
    </w:p>
    <w:p>
      <w:pPr>
        <w:ind w:left="840" w:right="919" w:firstLine="654"/>
        <w:spacing w:after="0" w:line="264" w:lineRule="auto"/>
        <w:tabs>
          <w:tab w:leader="none" w:pos="1744"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 Party shall be liable to any holder of any Company Stock Certificate or to any other Person with respect to any shares of Zordich Common Stock (or dividends or distributions with respect thereto) or for any cash amounts delivered to any public official pursuant to any applicable abandoned property Law, escheat Law or similar Law.</w:t>
      </w:r>
    </w:p>
    <w:p>
      <w:pPr>
        <w:spacing w:after="0" w:line="19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2.8</w:t>
      </w:r>
      <w:r>
        <w:rPr>
          <w:sz w:val="20"/>
          <w:szCs w:val="20"/>
          <w:color w:val="auto"/>
        </w:rPr>
        <w:tab/>
      </w:r>
      <w:r>
        <w:rPr>
          <w:rFonts w:ascii="Arial" w:cs="Arial" w:eastAsia="Arial" w:hAnsi="Arial"/>
          <w:sz w:val="10"/>
          <w:szCs w:val="10"/>
          <w:u w:val="single" w:color="auto"/>
          <w:color w:val="auto"/>
        </w:rPr>
        <w:t>Calculation of Net Cash</w:t>
      </w:r>
      <w:r>
        <w:rPr>
          <w:rFonts w:ascii="Arial" w:cs="Arial" w:eastAsia="Arial" w:hAnsi="Arial"/>
          <w:sz w:val="10"/>
          <w:szCs w:val="10"/>
          <w:color w:val="auto"/>
        </w:rPr>
        <w:t>.</w:t>
      </w:r>
    </w:p>
    <w:p>
      <w:pPr>
        <w:spacing w:after="0" w:line="75" w:lineRule="exact"/>
        <w:rPr>
          <w:sz w:val="20"/>
          <w:szCs w:val="20"/>
          <w:color w:val="auto"/>
        </w:rPr>
      </w:pPr>
    </w:p>
    <w:p>
      <w:pPr>
        <w:ind w:left="840" w:right="999" w:firstLine="654"/>
        <w:spacing w:after="0" w:line="284" w:lineRule="auto"/>
        <w:tabs>
          <w:tab w:leader="none" w:pos="1757"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 later than the Determination Date, Zordich will deliver to the Company a schedule (the “</w:t>
      </w:r>
      <w:r>
        <w:rPr>
          <w:rFonts w:ascii="Arial" w:cs="Arial" w:eastAsia="Arial" w:hAnsi="Arial"/>
          <w:sz w:val="12"/>
          <w:szCs w:val="12"/>
          <w:b w:val="1"/>
          <w:bCs w:val="1"/>
          <w:color w:val="auto"/>
        </w:rPr>
        <w:t>Net Cash Schedule</w:t>
      </w:r>
      <w:r>
        <w:rPr>
          <w:rFonts w:ascii="Arial" w:cs="Arial" w:eastAsia="Arial" w:hAnsi="Arial"/>
          <w:sz w:val="12"/>
          <w:szCs w:val="12"/>
          <w:color w:val="auto"/>
        </w:rPr>
        <w:t>”) setting forth, in reasonable detail, Zordich’s good</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230" w:right="1440" w:bottom="1440" w:gutter="0" w:footer="0" w:header="0"/>
        </w:sectPr>
      </w:pPr>
    </w:p>
    <w:bookmarkStart w:id="32" w:name="page33"/>
    <w:bookmarkEnd w:id="32"/>
    <w:p>
      <w:pPr>
        <w:ind w:left="840" w:right="839"/>
        <w:spacing w:after="0" w:line="25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faith, estimated calculation of Net Cash (the “</w:t>
      </w:r>
      <w:r>
        <w:rPr>
          <w:rFonts w:ascii="Arial" w:cs="Arial" w:eastAsia="Arial" w:hAnsi="Arial"/>
          <w:sz w:val="12"/>
          <w:szCs w:val="12"/>
          <w:b w:val="1"/>
          <w:bCs w:val="1"/>
          <w:color w:val="auto"/>
        </w:rPr>
        <w:t>Net Cash Calculation</w:t>
      </w:r>
      <w:r>
        <w:rPr>
          <w:rFonts w:ascii="Arial" w:cs="Arial" w:eastAsia="Arial" w:hAnsi="Arial"/>
          <w:sz w:val="12"/>
          <w:szCs w:val="12"/>
          <w:color w:val="auto"/>
        </w:rPr>
        <w:t>” and the date of delivery of such schedule being the “</w:t>
      </w:r>
      <w:r>
        <w:rPr>
          <w:rFonts w:ascii="Arial" w:cs="Arial" w:eastAsia="Arial" w:hAnsi="Arial"/>
          <w:sz w:val="12"/>
          <w:szCs w:val="12"/>
          <w:b w:val="1"/>
          <w:bCs w:val="1"/>
          <w:color w:val="auto"/>
        </w:rPr>
        <w:t>Delivery Date</w:t>
      </w:r>
      <w:r>
        <w:rPr>
          <w:rFonts w:ascii="Arial" w:cs="Arial" w:eastAsia="Arial" w:hAnsi="Arial"/>
          <w:sz w:val="12"/>
          <w:szCs w:val="12"/>
          <w:color w:val="auto"/>
        </w:rPr>
        <w:t>”) as of the close of business on the last Business Day prior to the Anticipated Closing Date (the “</w:t>
      </w:r>
      <w:r>
        <w:rPr>
          <w:rFonts w:ascii="Arial" w:cs="Arial" w:eastAsia="Arial" w:hAnsi="Arial"/>
          <w:sz w:val="12"/>
          <w:szCs w:val="12"/>
          <w:b w:val="1"/>
          <w:bCs w:val="1"/>
          <w:color w:val="auto"/>
        </w:rPr>
        <w:t>Cash Determination Time</w:t>
      </w:r>
      <w:r>
        <w:rPr>
          <w:rFonts w:ascii="Arial" w:cs="Arial" w:eastAsia="Arial" w:hAnsi="Arial"/>
          <w:sz w:val="12"/>
          <w:szCs w:val="12"/>
          <w:color w:val="auto"/>
        </w:rPr>
        <w:t>”) prepared and certified by Zordich’s Chief Financial Officer. Zordich shall make available to the Company, as reasonably requested by the Company, the work papers and back-up materials used or useful in preparing the Net Cash Schedule and, if reasonably requested by the Company, Zordich’s accountants and counsel at reasonable times and upon reasonable notice. The Net Cash Calculation shall include Zordich’s determination, as of the Cash Determination Time, of the defined terms in Section 1.1(a) necessary to calculate the Exchange Ratio.</w:t>
      </w:r>
    </w:p>
    <w:p>
      <w:pPr>
        <w:spacing w:after="0" w:line="125" w:lineRule="exact"/>
        <w:rPr>
          <w:sz w:val="20"/>
          <w:szCs w:val="20"/>
          <w:color w:val="auto"/>
        </w:rPr>
      </w:pPr>
    </w:p>
    <w:p>
      <w:pPr>
        <w:ind w:left="840" w:right="819" w:firstLine="654"/>
        <w:spacing w:after="0" w:line="319" w:lineRule="auto"/>
        <w:tabs>
          <w:tab w:leader="none" w:pos="1764" w:val="left"/>
        </w:tabs>
        <w:numPr>
          <w:ilvl w:val="0"/>
          <w:numId w:val="24"/>
        </w:numPr>
        <w:rPr>
          <w:rFonts w:ascii="Arial" w:cs="Arial" w:eastAsia="Arial" w:hAnsi="Arial"/>
          <w:sz w:val="10"/>
          <w:szCs w:val="10"/>
          <w:color w:val="auto"/>
        </w:rPr>
      </w:pPr>
      <w:r>
        <w:rPr>
          <w:rFonts w:ascii="Arial" w:cs="Arial" w:eastAsia="Arial" w:hAnsi="Arial"/>
          <w:sz w:val="10"/>
          <w:szCs w:val="10"/>
          <w:color w:val="auto"/>
        </w:rPr>
        <w:t>No later than the Determination Date, the Company will deliver to Zordich a schedule (the “</w:t>
      </w:r>
      <w:r>
        <w:rPr>
          <w:rFonts w:ascii="Arial" w:cs="Arial" w:eastAsia="Arial" w:hAnsi="Arial"/>
          <w:sz w:val="10"/>
          <w:szCs w:val="10"/>
          <w:b w:val="1"/>
          <w:bCs w:val="1"/>
          <w:color w:val="auto"/>
        </w:rPr>
        <w:t>Company Net Cash Schedule</w:t>
      </w:r>
      <w:r>
        <w:rPr>
          <w:rFonts w:ascii="Arial" w:cs="Arial" w:eastAsia="Arial" w:hAnsi="Arial"/>
          <w:sz w:val="10"/>
          <w:szCs w:val="10"/>
          <w:color w:val="auto"/>
        </w:rPr>
        <w:t>”) setting forth, in reasonable detail, the Company’s good faith, estimated calculation of Company Net Cash (the “</w:t>
      </w:r>
      <w:r>
        <w:rPr>
          <w:rFonts w:ascii="Arial" w:cs="Arial" w:eastAsia="Arial" w:hAnsi="Arial"/>
          <w:sz w:val="10"/>
          <w:szCs w:val="10"/>
          <w:b w:val="1"/>
          <w:bCs w:val="1"/>
          <w:color w:val="auto"/>
        </w:rPr>
        <w:t>Company Net Cash Calculation</w:t>
      </w:r>
      <w:r>
        <w:rPr>
          <w:rFonts w:ascii="Arial" w:cs="Arial" w:eastAsia="Arial" w:hAnsi="Arial"/>
          <w:sz w:val="10"/>
          <w:szCs w:val="10"/>
          <w:color w:val="auto"/>
        </w:rPr>
        <w:t>”) and the date of delivery of such schedule being the “</w:t>
      </w:r>
      <w:r>
        <w:rPr>
          <w:rFonts w:ascii="Arial" w:cs="Arial" w:eastAsia="Arial" w:hAnsi="Arial"/>
          <w:sz w:val="10"/>
          <w:szCs w:val="10"/>
          <w:b w:val="1"/>
          <w:bCs w:val="1"/>
          <w:color w:val="auto"/>
        </w:rPr>
        <w:t>Company Net Cash Delivery Date</w:t>
      </w:r>
      <w:r>
        <w:rPr>
          <w:rFonts w:ascii="Arial" w:cs="Arial" w:eastAsia="Arial" w:hAnsi="Arial"/>
          <w:sz w:val="10"/>
          <w:szCs w:val="10"/>
          <w:color w:val="auto"/>
        </w:rPr>
        <w:t>”) as of the close of business on the last Business Day prior to the Anticipated Closing Date (the “</w:t>
      </w:r>
      <w:r>
        <w:rPr>
          <w:rFonts w:ascii="Arial" w:cs="Arial" w:eastAsia="Arial" w:hAnsi="Arial"/>
          <w:sz w:val="10"/>
          <w:szCs w:val="10"/>
          <w:b w:val="1"/>
          <w:bCs w:val="1"/>
          <w:color w:val="auto"/>
        </w:rPr>
        <w:t>Company Cash Determination Time</w:t>
      </w:r>
      <w:r>
        <w:rPr>
          <w:rFonts w:ascii="Arial" w:cs="Arial" w:eastAsia="Arial" w:hAnsi="Arial"/>
          <w:sz w:val="10"/>
          <w:szCs w:val="10"/>
          <w:color w:val="auto"/>
        </w:rPr>
        <w:t>”) prepared and certified by the Company’s Chief Financial Officer. The Company shall make available to Zordich, as reasonably requested by Zordich, the work papers and back-up materials used or useful in preparing the Company Net Cash Schedule and, if reasonably requested by Zordich, the Company’s accountants and counsel at reasonable times and upon reasonable notice.</w:t>
      </w:r>
    </w:p>
    <w:p>
      <w:pPr>
        <w:spacing w:after="0" w:line="94" w:lineRule="exact"/>
        <w:rPr>
          <w:rFonts w:ascii="Arial" w:cs="Arial" w:eastAsia="Arial" w:hAnsi="Arial"/>
          <w:sz w:val="10"/>
          <w:szCs w:val="10"/>
          <w:color w:val="auto"/>
        </w:rPr>
      </w:pPr>
    </w:p>
    <w:p>
      <w:pPr>
        <w:jc w:val="both"/>
        <w:ind w:left="840" w:right="939" w:firstLine="654"/>
        <w:spacing w:after="0" w:line="262" w:lineRule="auto"/>
        <w:tabs>
          <w:tab w:leader="none" w:pos="1757"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 later than three (3) days after the Delivery Date (the last day of such period, the “</w:t>
      </w:r>
      <w:r>
        <w:rPr>
          <w:rFonts w:ascii="Arial" w:cs="Arial" w:eastAsia="Arial" w:hAnsi="Arial"/>
          <w:sz w:val="12"/>
          <w:szCs w:val="12"/>
          <w:b w:val="1"/>
          <w:bCs w:val="1"/>
          <w:color w:val="auto"/>
        </w:rPr>
        <w:t>Response Date</w:t>
      </w:r>
      <w:r>
        <w:rPr>
          <w:rFonts w:ascii="Arial" w:cs="Arial" w:eastAsia="Arial" w:hAnsi="Arial"/>
          <w:sz w:val="12"/>
          <w:szCs w:val="12"/>
          <w:color w:val="auto"/>
        </w:rPr>
        <w:t>”), the Company shall have the right to dispute any part of the Net Cash Calculation by delivering a written notice to that effect to Zordich (a “</w:t>
      </w:r>
      <w:r>
        <w:rPr>
          <w:rFonts w:ascii="Arial" w:cs="Arial" w:eastAsia="Arial" w:hAnsi="Arial"/>
          <w:sz w:val="12"/>
          <w:szCs w:val="12"/>
          <w:b w:val="1"/>
          <w:bCs w:val="1"/>
          <w:color w:val="auto"/>
        </w:rPr>
        <w:t>Dispute Notice</w:t>
      </w:r>
      <w:r>
        <w:rPr>
          <w:rFonts w:ascii="Arial" w:cs="Arial" w:eastAsia="Arial" w:hAnsi="Arial"/>
          <w:sz w:val="12"/>
          <w:szCs w:val="12"/>
          <w:color w:val="auto"/>
        </w:rPr>
        <w:t>”). Any Dispute Notice shall identify in reasonable detail and to the extent known the nature and amounts of any proposed revisions to the Net Cash Calculation and will be accompanied by reasonably detailed materials supporting the basis for such revisions.</w:t>
      </w:r>
    </w:p>
    <w:p>
      <w:pPr>
        <w:spacing w:after="0" w:line="119" w:lineRule="exact"/>
        <w:rPr>
          <w:rFonts w:ascii="Arial" w:cs="Arial" w:eastAsia="Arial" w:hAnsi="Arial"/>
          <w:sz w:val="12"/>
          <w:szCs w:val="12"/>
          <w:color w:val="auto"/>
        </w:rPr>
      </w:pPr>
    </w:p>
    <w:p>
      <w:pPr>
        <w:ind w:left="840" w:right="959" w:firstLine="654"/>
        <w:spacing w:after="0" w:line="259" w:lineRule="auto"/>
        <w:tabs>
          <w:tab w:leader="none" w:pos="1764"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 later than three (3) days after the Company Net Cash Delivery Date (the last day of such period, the “</w:t>
      </w:r>
      <w:r>
        <w:rPr>
          <w:rFonts w:ascii="Arial" w:cs="Arial" w:eastAsia="Arial" w:hAnsi="Arial"/>
          <w:sz w:val="12"/>
          <w:szCs w:val="12"/>
          <w:b w:val="1"/>
          <w:bCs w:val="1"/>
          <w:color w:val="auto"/>
        </w:rPr>
        <w:t>Company Net Cash</w:t>
      </w:r>
      <w:r>
        <w:rPr>
          <w:rFonts w:ascii="Arial" w:cs="Arial" w:eastAsia="Arial" w:hAnsi="Arial"/>
          <w:sz w:val="12"/>
          <w:szCs w:val="12"/>
          <w:color w:val="auto"/>
        </w:rPr>
        <w:t xml:space="preserve"> </w:t>
      </w:r>
      <w:r>
        <w:rPr>
          <w:rFonts w:ascii="Arial" w:cs="Arial" w:eastAsia="Arial" w:hAnsi="Arial"/>
          <w:sz w:val="12"/>
          <w:szCs w:val="12"/>
          <w:b w:val="1"/>
          <w:bCs w:val="1"/>
          <w:color w:val="auto"/>
        </w:rPr>
        <w:t>Response Date</w:t>
      </w:r>
      <w:r>
        <w:rPr>
          <w:rFonts w:ascii="Arial" w:cs="Arial" w:eastAsia="Arial" w:hAnsi="Arial"/>
          <w:sz w:val="12"/>
          <w:szCs w:val="12"/>
          <w:color w:val="auto"/>
        </w:rPr>
        <w:t>”), Zordich shall have the right to dispute any part of the Company Net Cash Calculation by delivering a written notice to that effect to</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(a “</w:t>
      </w:r>
      <w:r>
        <w:rPr>
          <w:rFonts w:ascii="Arial" w:cs="Arial" w:eastAsia="Arial" w:hAnsi="Arial"/>
          <w:sz w:val="12"/>
          <w:szCs w:val="12"/>
          <w:b w:val="1"/>
          <w:bCs w:val="1"/>
          <w:color w:val="auto"/>
        </w:rPr>
        <w:t>Company Net Cash Dispute Notice</w:t>
      </w:r>
      <w:r>
        <w:rPr>
          <w:rFonts w:ascii="Arial" w:cs="Arial" w:eastAsia="Arial" w:hAnsi="Arial"/>
          <w:sz w:val="12"/>
          <w:szCs w:val="12"/>
          <w:color w:val="auto"/>
        </w:rPr>
        <w:t>”). Any Company Net Cash Dispute Notice shall identify in reasonable detail and to the extent known the nature and amounts of any proposed revisions to the Company Net Cash Calculation and will be accompanied by reasonably detailed materials supporting the basis for such revisions.</w:t>
      </w:r>
    </w:p>
    <w:p>
      <w:pPr>
        <w:spacing w:after="0" w:line="126" w:lineRule="exact"/>
        <w:rPr>
          <w:rFonts w:ascii="Arial" w:cs="Arial" w:eastAsia="Arial" w:hAnsi="Arial"/>
          <w:sz w:val="12"/>
          <w:szCs w:val="12"/>
          <w:color w:val="auto"/>
        </w:rPr>
      </w:pPr>
    </w:p>
    <w:p>
      <w:pPr>
        <w:ind w:left="840" w:right="879" w:firstLine="654"/>
        <w:spacing w:after="0" w:line="260" w:lineRule="auto"/>
        <w:tabs>
          <w:tab w:leader="none" w:pos="1757"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If, on or prior to the Response Date, the Company notifies Zordich in writing that it has no objections to the Net Cash Calculation or, if on the Response Date, the Company fails to deliver a Dispute Notice as provided in </w:t>
      </w:r>
      <w:r>
        <w:rPr>
          <w:rFonts w:ascii="Arial" w:cs="Arial" w:eastAsia="Arial" w:hAnsi="Arial"/>
          <w:sz w:val="12"/>
          <w:szCs w:val="12"/>
          <w:u w:val="single" w:color="auto"/>
          <w:color w:val="auto"/>
        </w:rPr>
        <w:t>Section 2.8(c)</w:t>
      </w:r>
      <w:r>
        <w:rPr>
          <w:rFonts w:ascii="Arial" w:cs="Arial" w:eastAsia="Arial" w:hAnsi="Arial"/>
          <w:sz w:val="12"/>
          <w:szCs w:val="12"/>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24" w:lineRule="exact"/>
        <w:rPr>
          <w:rFonts w:ascii="Arial" w:cs="Arial" w:eastAsia="Arial" w:hAnsi="Arial"/>
          <w:sz w:val="12"/>
          <w:szCs w:val="12"/>
          <w:color w:val="auto"/>
        </w:rPr>
      </w:pPr>
    </w:p>
    <w:p>
      <w:pPr>
        <w:ind w:left="840" w:right="839" w:firstLine="654"/>
        <w:spacing w:after="0" w:line="328" w:lineRule="auto"/>
        <w:tabs>
          <w:tab w:leader="none" w:pos="1744" w:val="left"/>
        </w:tabs>
        <w:numPr>
          <w:ilvl w:val="0"/>
          <w:numId w:val="24"/>
        </w:numPr>
        <w:rPr>
          <w:rFonts w:ascii="Arial" w:cs="Arial" w:eastAsia="Arial" w:hAnsi="Arial"/>
          <w:sz w:val="10"/>
          <w:szCs w:val="10"/>
          <w:color w:val="auto"/>
        </w:rPr>
      </w:pPr>
      <w:r>
        <w:rPr>
          <w:rFonts w:ascii="Arial" w:cs="Arial" w:eastAsia="Arial" w:hAnsi="Arial"/>
          <w:sz w:val="10"/>
          <w:szCs w:val="10"/>
          <w:color w:val="auto"/>
        </w:rPr>
        <w:t xml:space="preserve">If, on or prior to the Company Net Cash Response Date, Zordich notifies the Company in writing that it has no objections to the Company Net Cash Calculation or, if on the Company Net Cash Response Date, Zordich fails to deliver a Company Net Cash Dispute Notice as provided in </w:t>
      </w:r>
      <w:r>
        <w:rPr>
          <w:rFonts w:ascii="Arial" w:cs="Arial" w:eastAsia="Arial" w:hAnsi="Arial"/>
          <w:sz w:val="10"/>
          <w:szCs w:val="10"/>
          <w:u w:val="single" w:color="auto"/>
          <w:color w:val="auto"/>
        </w:rPr>
        <w:t>Section 2.8(d)</w:t>
      </w:r>
      <w:r>
        <w:rPr>
          <w:rFonts w:ascii="Arial" w:cs="Arial" w:eastAsia="Arial" w:hAnsi="Arial"/>
          <w:sz w:val="10"/>
          <w:szCs w:val="10"/>
          <w:color w:val="auto"/>
        </w:rPr>
        <w:t>, then the Company Net Cash Calculation as set forth in the Company Net Cash Schedule shall be deemed to have been finally determined for purposes of this Agreement and to represent the Company Net Cash at the Cash Determination Time for purposes of this Agreement.</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226" w:right="1440" w:bottom="1440" w:gutter="0" w:footer="0" w:header="0"/>
        </w:sectPr>
      </w:pPr>
    </w:p>
    <w:bookmarkStart w:id="33" w:name="page34"/>
    <w:bookmarkEnd w:id="33"/>
    <w:p>
      <w:pPr>
        <w:ind w:left="840" w:right="819" w:firstLine="654"/>
        <w:spacing w:after="0" w:line="260" w:lineRule="auto"/>
        <w:tabs>
          <w:tab w:leader="none" w:pos="1764" w:val="left"/>
        </w:tabs>
        <w:numPr>
          <w:ilvl w:val="0"/>
          <w:numId w:val="2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If the Company delivers a Dispute Notice on or prior to the Response Date, then Representatives of Zordich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24" w:lineRule="exact"/>
        <w:rPr>
          <w:rFonts w:ascii="Arial" w:cs="Arial" w:eastAsia="Arial" w:hAnsi="Arial"/>
          <w:sz w:val="12"/>
          <w:szCs w:val="12"/>
          <w:color w:val="auto"/>
        </w:rPr>
      </w:pPr>
    </w:p>
    <w:p>
      <w:pPr>
        <w:jc w:val="both"/>
        <w:ind w:left="840" w:right="899" w:firstLine="654"/>
        <w:spacing w:after="0" w:line="290" w:lineRule="auto"/>
        <w:tabs>
          <w:tab w:leader="none" w:pos="1764" w:val="left"/>
        </w:tabs>
        <w:numPr>
          <w:ilvl w:val="0"/>
          <w:numId w:val="25"/>
        </w:numPr>
        <w:rPr>
          <w:rFonts w:ascii="Arial" w:cs="Arial" w:eastAsia="Arial" w:hAnsi="Arial"/>
          <w:sz w:val="11"/>
          <w:szCs w:val="11"/>
          <w:color w:val="auto"/>
        </w:rPr>
      </w:pPr>
      <w:r>
        <w:rPr>
          <w:rFonts w:ascii="Arial" w:cs="Arial" w:eastAsia="Arial" w:hAnsi="Arial"/>
          <w:sz w:val="11"/>
          <w:szCs w:val="11"/>
          <w:color w:val="auto"/>
        </w:rPr>
        <w:t>If Zordich delivers a Company Net Cash Dispute Notice on or prior to the Company Net Cash Response Date, then Representatives of Zordich and the Company shall promptly meet and attempt in good faith to resolve the disputed item(s) and negotiate an agreed-upon determination of Company Net Cash, which agreed upon Company Net Cash amount shall be deemed to have been finally determined for purposes of this Agreement and to represent the Company Net Cash at the Cash Determination Time for purposes of this Agreement.</w:t>
      </w:r>
    </w:p>
    <w:p>
      <w:pPr>
        <w:spacing w:after="0" w:line="110" w:lineRule="exact"/>
        <w:rPr>
          <w:rFonts w:ascii="Arial" w:cs="Arial" w:eastAsia="Arial" w:hAnsi="Arial"/>
          <w:sz w:val="11"/>
          <w:szCs w:val="11"/>
          <w:color w:val="auto"/>
        </w:rPr>
      </w:pPr>
    </w:p>
    <w:p>
      <w:pPr>
        <w:ind w:left="840" w:right="859" w:firstLine="654"/>
        <w:spacing w:after="0" w:line="305" w:lineRule="auto"/>
        <w:tabs>
          <w:tab w:leader="none" w:pos="1737" w:val="left"/>
        </w:tabs>
        <w:numPr>
          <w:ilvl w:val="0"/>
          <w:numId w:val="25"/>
        </w:numPr>
        <w:rPr>
          <w:rFonts w:ascii="Arial" w:cs="Arial" w:eastAsia="Arial" w:hAnsi="Arial"/>
          <w:sz w:val="10"/>
          <w:szCs w:val="10"/>
          <w:color w:val="auto"/>
        </w:rPr>
      </w:pPr>
      <w:r>
        <w:rPr>
          <w:rFonts w:ascii="Arial" w:cs="Arial" w:eastAsia="Arial" w:hAnsi="Arial"/>
          <w:sz w:val="10"/>
          <w:szCs w:val="10"/>
          <w:color w:val="auto"/>
        </w:rPr>
        <w:t xml:space="preserve">If Representatives of Zordich and the Company are unable to negotiate an agreed-upon determination of Net Cash or Company Net Cash, as applicable, as of the Cash Determination Time pursuant to </w:t>
      </w:r>
      <w:r>
        <w:rPr>
          <w:rFonts w:ascii="Arial" w:cs="Arial" w:eastAsia="Arial" w:hAnsi="Arial"/>
          <w:sz w:val="10"/>
          <w:szCs w:val="10"/>
          <w:u w:val="single" w:color="auto"/>
          <w:color w:val="auto"/>
        </w:rPr>
        <w:t>Section 2.8(g)</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2.8(h)</w:t>
      </w:r>
      <w:r>
        <w:rPr>
          <w:rFonts w:ascii="Arial" w:cs="Arial" w:eastAsia="Arial" w:hAnsi="Arial"/>
          <w:sz w:val="10"/>
          <w:szCs w:val="10"/>
          <w:color w:val="auto"/>
        </w:rPr>
        <w:t xml:space="preserve"> within three days after delivery of the Dispute Notice (or such other period as Zordich and the Company may mutually agree upon), then any remaining disagreements as to the calculation of Net Cash or Company Net Cash, as applicable, shall be referred to an independent auditor of recognized national standing jointly selected by Zordich and the Company. If the parties are unable to select an independent auditor within five days, then either Zordich or the Company may thereafter request that the Boston, Massachusetts Office of the American Arbitration Association (“</w:t>
      </w:r>
      <w:r>
        <w:rPr>
          <w:rFonts w:ascii="Arial" w:cs="Arial" w:eastAsia="Arial" w:hAnsi="Arial"/>
          <w:sz w:val="10"/>
          <w:szCs w:val="10"/>
          <w:b w:val="1"/>
          <w:bCs w:val="1"/>
          <w:color w:val="auto"/>
        </w:rPr>
        <w:t>AAA</w:t>
      </w:r>
      <w:r>
        <w:rPr>
          <w:rFonts w:ascii="Arial" w:cs="Arial" w:eastAsia="Arial" w:hAnsi="Arial"/>
          <w:sz w:val="10"/>
          <w:szCs w:val="10"/>
          <w:color w:val="auto"/>
        </w:rPr>
        <w:t>”) make such selection (either the independent auditor jointly selected by both parties or such independent auditor selected by the AAA, the “</w:t>
      </w:r>
      <w:r>
        <w:rPr>
          <w:rFonts w:ascii="Arial" w:cs="Arial" w:eastAsia="Arial" w:hAnsi="Arial"/>
          <w:sz w:val="10"/>
          <w:szCs w:val="10"/>
          <w:b w:val="1"/>
          <w:bCs w:val="1"/>
          <w:color w:val="auto"/>
        </w:rPr>
        <w:t>Accounting Firm</w:t>
      </w:r>
      <w:r>
        <w:rPr>
          <w:rFonts w:ascii="Arial" w:cs="Arial" w:eastAsia="Arial" w:hAnsi="Arial"/>
          <w:sz w:val="10"/>
          <w:szCs w:val="10"/>
          <w:color w:val="auto"/>
        </w:rPr>
        <w:t xml:space="preserve">”). Zordich and the Company shall promptly deliver to the Accounting Firm the work papers and back-up materials used in preparing the Net Cash Schedule or Company Net Cash Schedule, as applicable, and the Dispute Notice and the Company Net Cash Dispute Notice, and Zordich and the Company shall use commercially reasonable efforts to cause the Accounting Firm to make its determination within 5 Business Days of accepting its selection. Zordich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Zordich and the Company. The determination of the Accounting Firm shall be limited to the disagreements submitted to the Accounting Firm. The determination of the amount of Net Cash or Company Net Cash, as applicable, made by the Accounting Firm shall be made in writing delivered to each of Zordich and the Company, shall be final and binding on Zordich and the Company and shall (absent manifest error) be deemed to have been finally determined for purposes of this Agreement and to represent the Net Cash or Company Net Cash, as applicable, at the Cash Determination Time for purposes of this Agreement. The Parties shall delay the Closing until the resolution of the matters described in this </w:t>
      </w:r>
      <w:r>
        <w:rPr>
          <w:rFonts w:ascii="Arial" w:cs="Arial" w:eastAsia="Arial" w:hAnsi="Arial"/>
          <w:sz w:val="10"/>
          <w:szCs w:val="10"/>
          <w:u w:val="single" w:color="auto"/>
          <w:color w:val="auto"/>
        </w:rPr>
        <w:t>Section 2.8(i)</w:t>
      </w:r>
      <w:r>
        <w:rPr>
          <w:rFonts w:ascii="Arial" w:cs="Arial" w:eastAsia="Arial" w:hAnsi="Arial"/>
          <w:sz w:val="10"/>
          <w:szCs w:val="10"/>
          <w:color w:val="auto"/>
        </w:rPr>
        <w:t xml:space="preserve">. The fees and expenses of the Accounting Firm shall be allocated between Zordich and the Company in the same proportion that the disputed amount of the Net Cash or Company Net Cash, as applicable, that was unsuccessfully disputed by such Party (as finally determined by the Accounting Firm) bears to the total disputed amount of the Net Cash or Company Net Cash amount. If this </w:t>
      </w:r>
      <w:r>
        <w:rPr>
          <w:rFonts w:ascii="Arial" w:cs="Arial" w:eastAsia="Arial" w:hAnsi="Arial"/>
          <w:sz w:val="10"/>
          <w:szCs w:val="10"/>
          <w:u w:val="single" w:color="auto"/>
          <w:color w:val="auto"/>
        </w:rPr>
        <w:t>Section 2.8(i)</w:t>
      </w:r>
      <w:r>
        <w:rPr>
          <w:rFonts w:ascii="Arial" w:cs="Arial" w:eastAsia="Arial" w:hAnsi="Arial"/>
          <w:sz w:val="10"/>
          <w:szCs w:val="10"/>
          <w:color w:val="auto"/>
        </w:rPr>
        <w:t xml:space="preserve"> applies as to the determination of the Net Cash or the Company Net Cash at the Cash Determination Time described in </w:t>
      </w:r>
      <w:r>
        <w:rPr>
          <w:rFonts w:ascii="Arial" w:cs="Arial" w:eastAsia="Arial" w:hAnsi="Arial"/>
          <w:sz w:val="10"/>
          <w:szCs w:val="10"/>
          <w:u w:val="single" w:color="auto"/>
          <w:color w:val="auto"/>
        </w:rPr>
        <w:t>Section 2.8(a)</w:t>
      </w:r>
      <w:r>
        <w:rPr>
          <w:rFonts w:ascii="Arial" w:cs="Arial" w:eastAsia="Arial" w:hAnsi="Arial"/>
          <w:sz w:val="10"/>
          <w:szCs w:val="10"/>
          <w:color w:val="auto"/>
        </w:rPr>
        <w:t xml:space="preserve">, upon resolution of the matter in accordance with this </w:t>
      </w:r>
      <w:r>
        <w:rPr>
          <w:rFonts w:ascii="Arial" w:cs="Arial" w:eastAsia="Arial" w:hAnsi="Arial"/>
          <w:sz w:val="10"/>
          <w:szCs w:val="10"/>
          <w:u w:val="single" w:color="auto"/>
          <w:color w:val="auto"/>
        </w:rPr>
        <w:t>Section 2.8(i)</w:t>
      </w:r>
      <w:r>
        <w:rPr>
          <w:rFonts w:ascii="Arial" w:cs="Arial" w:eastAsia="Arial" w:hAnsi="Arial"/>
          <w:sz w:val="10"/>
          <w:szCs w:val="10"/>
          <w:color w:val="auto"/>
        </w:rPr>
        <w:t>, the Parties shall not be required to determine Net Cash or Company Net Cash again even though the Closing Date may occur later than the Anticipated Closing Date, except that either Zordich and the Company may request a redetermination of Net Cash or Company Net Cash if the Closing Date is more than 30 days after the Anticipated Closing Date.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230" w:right="1440" w:bottom="1440" w:gutter="0" w:footer="0" w:header="0"/>
        </w:sectPr>
      </w:pPr>
    </w:p>
    <w:bookmarkStart w:id="34" w:name="page35"/>
    <w:bookmarkEnd w:id="34"/>
    <w:p>
      <w:pPr>
        <w:ind w:left="840" w:right="899" w:firstLine="654"/>
        <w:spacing w:after="0" w:line="264" w:lineRule="auto"/>
        <w:tabs>
          <w:tab w:leader="none" w:pos="1730" w:val="left"/>
        </w:tabs>
        <w:numPr>
          <w:ilvl w:val="0"/>
          <w:numId w:val="2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All determinations made pursuant to this </w:t>
      </w:r>
      <w:r>
        <w:rPr>
          <w:rFonts w:ascii="Arial" w:cs="Arial" w:eastAsia="Arial" w:hAnsi="Arial"/>
          <w:sz w:val="12"/>
          <w:szCs w:val="12"/>
          <w:u w:val="single" w:color="auto"/>
          <w:color w:val="auto"/>
        </w:rPr>
        <w:t>Section 2.8</w:t>
      </w:r>
      <w:r>
        <w:rPr>
          <w:rFonts w:ascii="Arial" w:cs="Arial" w:eastAsia="Arial" w:hAnsi="Arial"/>
          <w:sz w:val="12"/>
          <w:szCs w:val="12"/>
          <w:color w:val="auto"/>
        </w:rPr>
        <w:t xml:space="preserve"> shall be null and void, and the Parties shall again comply with the provisions of this </w:t>
      </w:r>
      <w:r>
        <w:rPr>
          <w:rFonts w:ascii="Arial" w:cs="Arial" w:eastAsia="Arial" w:hAnsi="Arial"/>
          <w:sz w:val="12"/>
          <w:szCs w:val="12"/>
          <w:u w:val="single" w:color="auto"/>
          <w:color w:val="auto"/>
        </w:rPr>
        <w:t>Section 2.8</w:t>
      </w:r>
      <w:r>
        <w:rPr>
          <w:rFonts w:ascii="Arial" w:cs="Arial" w:eastAsia="Arial" w:hAnsi="Arial"/>
          <w:sz w:val="12"/>
          <w:szCs w:val="12"/>
          <w:color w:val="auto"/>
        </w:rPr>
        <w:t xml:space="preserve">, </w:t>
      </w:r>
      <w:r>
        <w:rPr>
          <w:rFonts w:ascii="Arial" w:cs="Arial" w:eastAsia="Arial" w:hAnsi="Arial"/>
          <w:sz w:val="12"/>
          <w:szCs w:val="12"/>
          <w:i w:val="1"/>
          <w:iCs w:val="1"/>
          <w:color w:val="auto"/>
        </w:rPr>
        <w:t>ab initio</w:t>
      </w:r>
      <w:r>
        <w:rPr>
          <w:rFonts w:ascii="Arial" w:cs="Arial" w:eastAsia="Arial" w:hAnsi="Arial"/>
          <w:sz w:val="12"/>
          <w:szCs w:val="12"/>
          <w:color w:val="auto"/>
        </w:rPr>
        <w:t>, in the event that for any reason the Required Zordich Stockholder Vote is not obtained within thirty (30) days of the Determination Date.</w:t>
      </w:r>
    </w:p>
    <w:p>
      <w:pPr>
        <w:spacing w:after="0" w:line="19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2.9</w:t>
      </w:r>
      <w:r>
        <w:rPr>
          <w:sz w:val="20"/>
          <w:szCs w:val="20"/>
          <w:color w:val="auto"/>
        </w:rPr>
        <w:tab/>
      </w:r>
      <w:r>
        <w:rPr>
          <w:rFonts w:ascii="Arial" w:cs="Arial" w:eastAsia="Arial" w:hAnsi="Arial"/>
          <w:sz w:val="11"/>
          <w:szCs w:val="11"/>
          <w:u w:val="single" w:color="auto"/>
          <w:color w:val="auto"/>
        </w:rPr>
        <w:t>Appraisal Rights</w:t>
      </w:r>
      <w:r>
        <w:rPr>
          <w:rFonts w:ascii="Arial" w:cs="Arial" w:eastAsia="Arial" w:hAnsi="Arial"/>
          <w:sz w:val="11"/>
          <w:szCs w:val="11"/>
          <w:color w:val="auto"/>
        </w:rPr>
        <w:t>.</w:t>
      </w:r>
    </w:p>
    <w:p>
      <w:pPr>
        <w:spacing w:after="0" w:line="79" w:lineRule="exact"/>
        <w:rPr>
          <w:sz w:val="20"/>
          <w:szCs w:val="20"/>
          <w:color w:val="auto"/>
        </w:rPr>
      </w:pPr>
    </w:p>
    <w:p>
      <w:pPr>
        <w:ind w:left="840" w:right="859" w:firstLine="654"/>
        <w:spacing w:after="0" w:line="280" w:lineRule="auto"/>
        <w:tabs>
          <w:tab w:leader="none" w:pos="1757" w:val="left"/>
        </w:tabs>
        <w:numPr>
          <w:ilvl w:val="0"/>
          <w:numId w:val="27"/>
        </w:numPr>
        <w:rPr>
          <w:rFonts w:ascii="Arial" w:cs="Arial" w:eastAsia="Arial" w:hAnsi="Arial"/>
          <w:sz w:val="11"/>
          <w:szCs w:val="11"/>
          <w:color w:val="auto"/>
        </w:rPr>
      </w:pPr>
      <w:r>
        <w:rPr>
          <w:rFonts w:ascii="Arial" w:cs="Arial" w:eastAsia="Arial" w:hAnsi="Arial"/>
          <w:sz w:val="11"/>
          <w:szCs w:val="11"/>
          <w:color w:val="auto"/>
        </w:rPr>
        <w:t>Notwithstanding any provision of this Agreement to the contrary, shares of Company Common Stock that are outstanding immediately prior to the Effective Time and which are held by stockholders who have exercised and perfected appraisal rights for such shares of Company Common Stock in accordance with the DGCL (collectively, the “</w:t>
      </w:r>
      <w:r>
        <w:rPr>
          <w:rFonts w:ascii="Arial" w:cs="Arial" w:eastAsia="Arial" w:hAnsi="Arial"/>
          <w:sz w:val="11"/>
          <w:szCs w:val="11"/>
          <w:b w:val="1"/>
          <w:bCs w:val="1"/>
          <w:color w:val="auto"/>
        </w:rPr>
        <w:t>Dissenting Shares</w:t>
      </w:r>
      <w:r>
        <w:rPr>
          <w:rFonts w:ascii="Arial" w:cs="Arial" w:eastAsia="Arial" w:hAnsi="Arial"/>
          <w:sz w:val="11"/>
          <w:szCs w:val="11"/>
          <w:color w:val="auto"/>
        </w:rPr>
        <w:t xml:space="preserve">”) shall not be converted into or represent the right to receive the Merger Consideration described in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 Company Common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Arial" w:cs="Arial" w:eastAsia="Arial" w:hAnsi="Arial"/>
          <w:sz w:val="11"/>
          <w:szCs w:val="11"/>
          <w:u w:val="single" w:color="auto"/>
          <w:color w:val="auto"/>
        </w:rPr>
        <w:t>Section 2.5</w:t>
      </w:r>
      <w:r>
        <w:rPr>
          <w:rFonts w:ascii="Arial" w:cs="Arial" w:eastAsia="Arial" w:hAnsi="Arial"/>
          <w:sz w:val="11"/>
          <w:szCs w:val="11"/>
          <w:color w:val="auto"/>
        </w:rPr>
        <w:t>.</w:t>
      </w:r>
    </w:p>
    <w:p>
      <w:pPr>
        <w:spacing w:after="0" w:line="116" w:lineRule="exact"/>
        <w:rPr>
          <w:rFonts w:ascii="Arial" w:cs="Arial" w:eastAsia="Arial" w:hAnsi="Arial"/>
          <w:sz w:val="11"/>
          <w:szCs w:val="11"/>
          <w:color w:val="auto"/>
        </w:rPr>
      </w:pPr>
    </w:p>
    <w:p>
      <w:pPr>
        <w:ind w:left="840" w:right="899" w:firstLine="654"/>
        <w:spacing w:after="0" w:line="260" w:lineRule="auto"/>
        <w:tabs>
          <w:tab w:leader="none" w:pos="1761"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Company shall give Zordich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Zordich’s prior written consent, make any payment with respect to, or settle or offer to settle, any such demands, or agree to do any of the foregoing.</w:t>
      </w:r>
    </w:p>
    <w:p>
      <w:pPr>
        <w:spacing w:after="0" w:line="124" w:lineRule="exact"/>
        <w:rPr>
          <w:sz w:val="20"/>
          <w:szCs w:val="20"/>
          <w:color w:val="auto"/>
        </w:rPr>
      </w:pPr>
    </w:p>
    <w:p>
      <w:pPr>
        <w:ind w:left="840" w:right="899" w:firstLine="295"/>
        <w:spacing w:after="0" w:line="257"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Further Action</w:t>
      </w:r>
      <w:r>
        <w:rPr>
          <w:rFonts w:ascii="Arial" w:cs="Arial" w:eastAsia="Arial" w:hAnsi="Arial"/>
          <w:sz w:val="12"/>
          <w:szCs w:val="12"/>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28" w:lineRule="exact"/>
        <w:rPr>
          <w:sz w:val="20"/>
          <w:szCs w:val="20"/>
          <w:color w:val="auto"/>
        </w:rPr>
      </w:pPr>
    </w:p>
    <w:p>
      <w:pPr>
        <w:ind w:left="840" w:right="899" w:firstLine="295"/>
        <w:spacing w:after="0" w:line="264" w:lineRule="auto"/>
        <w:rPr>
          <w:sz w:val="20"/>
          <w:szCs w:val="20"/>
          <w:color w:val="auto"/>
        </w:rPr>
      </w:pPr>
      <w:r>
        <w:rPr>
          <w:rFonts w:ascii="Arial" w:cs="Arial" w:eastAsia="Arial" w:hAnsi="Arial"/>
          <w:sz w:val="12"/>
          <w:szCs w:val="12"/>
          <w:color w:val="auto"/>
        </w:rPr>
        <w:t xml:space="preserve">2.11 </w:t>
      </w:r>
      <w:r>
        <w:rPr>
          <w:rFonts w:ascii="Arial" w:cs="Arial" w:eastAsia="Arial" w:hAnsi="Arial"/>
          <w:sz w:val="12"/>
          <w:szCs w:val="12"/>
          <w:u w:val="single" w:color="auto"/>
          <w:color w:val="auto"/>
        </w:rPr>
        <w:t>Tax Consequences</w:t>
      </w:r>
      <w:r>
        <w:rPr>
          <w:rFonts w:ascii="Arial" w:cs="Arial" w:eastAsia="Arial" w:hAnsi="Arial"/>
          <w:sz w:val="12"/>
          <w:szCs w:val="12"/>
          <w:color w:val="auto"/>
        </w:rPr>
        <w:t>. For United States federal income tax purposes (and applicable state and local), the Merger is intended to constitute a reorganization within the meaning of Section 368(a) of the Code. The Parties adopt this Agreement as a “plan of reorganization” within the meaning of Treasury Regulations Section 1.368-2(g).</w:t>
      </w:r>
    </w:p>
    <w:p>
      <w:pPr>
        <w:spacing w:after="0" w:line="122" w:lineRule="exact"/>
        <w:rPr>
          <w:sz w:val="20"/>
          <w:szCs w:val="20"/>
          <w:color w:val="auto"/>
        </w:rPr>
      </w:pPr>
    </w:p>
    <w:p>
      <w:pPr>
        <w:ind w:left="840" w:right="899" w:firstLine="295"/>
        <w:spacing w:after="0" w:line="381" w:lineRule="auto"/>
        <w:rPr>
          <w:sz w:val="20"/>
          <w:szCs w:val="20"/>
          <w:color w:val="auto"/>
        </w:rPr>
      </w:pPr>
      <w:r>
        <w:rPr>
          <w:rFonts w:ascii="Arial" w:cs="Arial" w:eastAsia="Arial" w:hAnsi="Arial"/>
          <w:sz w:val="10"/>
          <w:szCs w:val="10"/>
          <w:color w:val="auto"/>
        </w:rPr>
        <w:t xml:space="preserve">Section 3. </w:t>
      </w:r>
      <w:r>
        <w:rPr>
          <w:rFonts w:ascii="Arial" w:cs="Arial" w:eastAsia="Arial" w:hAnsi="Arial"/>
          <w:sz w:val="10"/>
          <w:szCs w:val="10"/>
          <w:u w:val="single" w:color="auto"/>
          <w:color w:val="auto"/>
        </w:rPr>
        <w:t>Representations and Warranties of the Company</w:t>
      </w:r>
      <w:r>
        <w:rPr>
          <w:rFonts w:ascii="Arial" w:cs="Arial" w:eastAsia="Arial" w:hAnsi="Arial"/>
          <w:sz w:val="10"/>
          <w:szCs w:val="10"/>
          <w:color w:val="auto"/>
        </w:rPr>
        <w:t>. Subject to Section 3, except as set forth in the written disclosure schedule delivered by the Company to Zordich (the “</w:t>
      </w:r>
      <w:r>
        <w:rPr>
          <w:rFonts w:ascii="Arial" w:cs="Arial" w:eastAsia="Arial" w:hAnsi="Arial"/>
          <w:sz w:val="10"/>
          <w:szCs w:val="10"/>
          <w:b w:val="1"/>
          <w:bCs w:val="1"/>
          <w:color w:val="auto"/>
        </w:rPr>
        <w:t>Company Disclosure Schedule</w:t>
      </w:r>
      <w:r>
        <w:rPr>
          <w:rFonts w:ascii="Arial" w:cs="Arial" w:eastAsia="Arial" w:hAnsi="Arial"/>
          <w:sz w:val="10"/>
          <w:szCs w:val="10"/>
          <w:color w:val="auto"/>
        </w:rPr>
        <w:t>”), the Company represents and warrants to Zordich and Merger Sub as follows:</w:t>
      </w:r>
    </w:p>
    <w:p>
      <w:pPr>
        <w:spacing w:after="0" w:line="140"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0"/>
          <w:szCs w:val="10"/>
          <w:u w:val="single" w:color="auto"/>
          <w:color w:val="auto"/>
        </w:rPr>
        <w:t>Due Organization; Subsidiaries.</w:t>
      </w:r>
    </w:p>
    <w:p>
      <w:pPr>
        <w:spacing w:after="0" w:line="79" w:lineRule="exact"/>
        <w:rPr>
          <w:sz w:val="20"/>
          <w:szCs w:val="20"/>
          <w:color w:val="auto"/>
        </w:rPr>
      </w:pPr>
    </w:p>
    <w:p>
      <w:pPr>
        <w:jc w:val="both"/>
        <w:ind w:left="840" w:right="839" w:firstLine="654"/>
        <w:spacing w:after="0" w:line="328" w:lineRule="auto"/>
        <w:tabs>
          <w:tab w:leader="none" w:pos="1757" w:val="left"/>
        </w:tabs>
        <w:numPr>
          <w:ilvl w:val="0"/>
          <w:numId w:val="28"/>
        </w:numPr>
        <w:rPr>
          <w:rFonts w:ascii="Arial" w:cs="Arial" w:eastAsia="Arial" w:hAnsi="Arial"/>
          <w:sz w:val="10"/>
          <w:szCs w:val="10"/>
          <w:color w:val="auto"/>
        </w:rPr>
      </w:pPr>
      <w:r>
        <w:rPr>
          <w:rFonts w:ascii="Arial" w:cs="Arial" w:eastAsia="Arial" w:hAnsi="Arial"/>
          <w:sz w:val="10"/>
          <w:szCs w:val="10"/>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9019"/>
          </w:cols>
          <w:pgMar w:left="1440" w:top="230" w:right="1440" w:bottom="1440" w:gutter="0" w:footer="0" w:header="0"/>
        </w:sectPr>
      </w:pPr>
    </w:p>
    <w:bookmarkStart w:id="35" w:name="page36"/>
    <w:bookmarkEnd w:id="35"/>
    <w:p>
      <w:pPr>
        <w:ind w:left="840" w:right="839" w:firstLine="654"/>
        <w:spacing w:after="0" w:line="260" w:lineRule="auto"/>
        <w:tabs>
          <w:tab w:leader="none" w:pos="1764" w:val="left"/>
        </w:tabs>
        <w:numPr>
          <w:ilvl w:val="0"/>
          <w:numId w:val="2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24" w:lineRule="exact"/>
        <w:rPr>
          <w:rFonts w:ascii="Arial" w:cs="Arial" w:eastAsia="Arial" w:hAnsi="Arial"/>
          <w:sz w:val="12"/>
          <w:szCs w:val="12"/>
          <w:color w:val="auto"/>
        </w:rPr>
      </w:pPr>
    </w:p>
    <w:p>
      <w:pPr>
        <w:ind w:left="840" w:right="839" w:firstLine="654"/>
        <w:spacing w:after="0" w:line="281" w:lineRule="auto"/>
        <w:tabs>
          <w:tab w:leader="none" w:pos="1755"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Company has no Subsidiaries, except for the Entities identified in Section 3.1(c) of the Company Disclosure Schedule; and neither the Company nor any of the Entities identified in Section 3.1(c) of the Company Disclosure Schedule owns any capital stock of, or any equity, ownership or profit sharing interest of any nature in, or controls directly or indirectly, any other Entity other than the Entities identified in Section 3.1(c) of the Company Disclosure Schedule. Neither the Company nor any of its Subsidiaries is and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15" w:lineRule="exact"/>
        <w:rPr>
          <w:sz w:val="20"/>
          <w:szCs w:val="20"/>
          <w:color w:val="auto"/>
        </w:rPr>
      </w:pPr>
    </w:p>
    <w:p>
      <w:pPr>
        <w:ind w:left="840" w:right="899" w:firstLine="295"/>
        <w:spacing w:after="0" w:line="264"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Organizational Documents</w:t>
      </w:r>
      <w:r>
        <w:rPr>
          <w:rFonts w:ascii="Arial" w:cs="Arial" w:eastAsia="Arial" w:hAnsi="Arial"/>
          <w:sz w:val="12"/>
          <w:szCs w:val="12"/>
          <w:color w:val="auto"/>
        </w:rPr>
        <w:t>. The Company has delivered to Zordich accurate and complete copies of the Organizational Documents of the Company and each of its Subsidiaries. Neither the Company nor any of its Subsidiaries is in breach or violation of its Organizational Documents in any material respect.</w:t>
      </w:r>
    </w:p>
    <w:p>
      <w:pPr>
        <w:spacing w:after="0" w:line="122" w:lineRule="exact"/>
        <w:rPr>
          <w:sz w:val="20"/>
          <w:szCs w:val="20"/>
          <w:color w:val="auto"/>
        </w:rPr>
      </w:pPr>
    </w:p>
    <w:p>
      <w:pPr>
        <w:ind w:left="840" w:right="859" w:firstLine="295"/>
        <w:spacing w:after="0" w:line="282" w:lineRule="auto"/>
        <w:rPr>
          <w:sz w:val="20"/>
          <w:szCs w:val="20"/>
          <w:color w:val="auto"/>
        </w:rPr>
      </w:pPr>
      <w:r>
        <w:rPr>
          <w:rFonts w:ascii="Arial" w:cs="Arial" w:eastAsia="Arial" w:hAnsi="Arial"/>
          <w:sz w:val="11"/>
          <w:szCs w:val="11"/>
          <w:color w:val="auto"/>
        </w:rPr>
        <w:t xml:space="preserve">3.3 </w:t>
      </w:r>
      <w:r>
        <w:rPr>
          <w:rFonts w:ascii="Arial" w:cs="Arial" w:eastAsia="Arial" w:hAnsi="Arial"/>
          <w:sz w:val="11"/>
          <w:szCs w:val="11"/>
          <w:u w:val="single" w:color="auto"/>
          <w:color w:val="auto"/>
        </w:rPr>
        <w:t>Authority; Binding Nature of Agreement</w:t>
      </w:r>
      <w:r>
        <w:rPr>
          <w:rFonts w:ascii="Arial" w:cs="Arial" w:eastAsia="Arial" w:hAnsi="Arial"/>
          <w:sz w:val="11"/>
          <w:szCs w:val="11"/>
          <w:color w:val="auto"/>
        </w:rPr>
        <w:t>. The Company and each of its Subsidiaries, if any, have all necessary corporate power and authority to enter into and to perform its obligations under this Agreement and to consummate the Contemplated Transactions. The Company Board has</w:t>
      </w:r>
    </w:p>
    <w:p>
      <w:pPr>
        <w:jc w:val="both"/>
        <w:ind w:left="840" w:right="919" w:hanging="9"/>
        <w:spacing w:after="0" w:line="301" w:lineRule="auto"/>
        <w:tabs>
          <w:tab w:leader="none" w:pos="984" w:val="left"/>
        </w:tabs>
        <w:numPr>
          <w:ilvl w:val="0"/>
          <w:numId w:val="30"/>
        </w:numPr>
        <w:rPr>
          <w:rFonts w:ascii="Arial" w:cs="Arial" w:eastAsia="Arial" w:hAnsi="Arial"/>
          <w:sz w:val="10"/>
          <w:szCs w:val="10"/>
          <w:color w:val="auto"/>
        </w:rPr>
      </w:pPr>
      <w:r>
        <w:rPr>
          <w:rFonts w:ascii="Arial" w:cs="Arial" w:eastAsia="Arial" w:hAnsi="Arial"/>
          <w:sz w:val="10"/>
          <w:szCs w:val="10"/>
          <w:color w:val="auto"/>
        </w:rPr>
        <w:t>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ind w:left="840" w:right="939"/>
        <w:spacing w:after="0" w:line="256" w:lineRule="auto"/>
        <w:rPr>
          <w:rFonts w:ascii="Arial" w:cs="Arial" w:eastAsia="Arial" w:hAnsi="Arial"/>
          <w:sz w:val="10"/>
          <w:szCs w:val="10"/>
          <w:color w:val="auto"/>
        </w:rPr>
      </w:pPr>
      <w:r>
        <w:rPr>
          <w:rFonts w:ascii="Arial" w:cs="Arial" w:eastAsia="Arial" w:hAnsi="Arial"/>
          <w:sz w:val="12"/>
          <w:szCs w:val="12"/>
          <w:color w:val="auto"/>
        </w:rPr>
        <w:t>This Agreement has been duly executed and delivered by the Company and assuming the due authorization, execution and delivery by Zordich and Merger Sub, constitutes the legal, valid and binding obligation of the Company, enforceable against the Company in accordance with its terms, subject to the Enforceability Exceptions.</w:t>
      </w:r>
    </w:p>
    <w:p>
      <w:pPr>
        <w:spacing w:after="0" w:line="127" w:lineRule="exact"/>
        <w:rPr>
          <w:sz w:val="20"/>
          <w:szCs w:val="20"/>
          <w:color w:val="auto"/>
        </w:rPr>
      </w:pPr>
    </w:p>
    <w:p>
      <w:pPr>
        <w:jc w:val="both"/>
        <w:ind w:left="840" w:right="839" w:firstLine="295"/>
        <w:spacing w:after="0" w:line="299" w:lineRule="auto"/>
        <w:rPr>
          <w:sz w:val="20"/>
          <w:szCs w:val="20"/>
          <w:color w:val="auto"/>
        </w:rPr>
      </w:pPr>
      <w:r>
        <w:rPr>
          <w:rFonts w:ascii="Arial" w:cs="Arial" w:eastAsia="Arial" w:hAnsi="Arial"/>
          <w:sz w:val="11"/>
          <w:szCs w:val="11"/>
          <w:color w:val="auto"/>
        </w:rPr>
        <w:t xml:space="preserve">3.4 </w:t>
      </w:r>
      <w:r>
        <w:rPr>
          <w:rFonts w:ascii="Arial" w:cs="Arial" w:eastAsia="Arial" w:hAnsi="Arial"/>
          <w:sz w:val="11"/>
          <w:szCs w:val="11"/>
          <w:u w:val="single" w:color="auto"/>
          <w:color w:val="auto"/>
        </w:rPr>
        <w:t>Vote Required</w:t>
      </w:r>
      <w:r>
        <w:rPr>
          <w:rFonts w:ascii="Arial" w:cs="Arial" w:eastAsia="Arial" w:hAnsi="Arial"/>
          <w:sz w:val="11"/>
          <w:szCs w:val="11"/>
          <w:color w:val="auto"/>
        </w:rPr>
        <w:t>. The affirmative vote of the holders of a majority of the shares of Company Common Stock outstanding on the record date for the Company Stockholder Written Consent and entitled to vote thereon (the “</w:t>
      </w:r>
      <w:r>
        <w:rPr>
          <w:rFonts w:ascii="Arial" w:cs="Arial" w:eastAsia="Arial" w:hAnsi="Arial"/>
          <w:sz w:val="11"/>
          <w:szCs w:val="11"/>
          <w:b w:val="1"/>
          <w:bCs w:val="1"/>
          <w:color w:val="auto"/>
        </w:rPr>
        <w:t>Required Company Stockholder Vote</w:t>
      </w:r>
      <w:r>
        <w:rPr>
          <w:rFonts w:ascii="Arial" w:cs="Arial" w:eastAsia="Arial" w:hAnsi="Arial"/>
          <w:sz w:val="11"/>
          <w:szCs w:val="11"/>
          <w:color w:val="auto"/>
        </w:rPr>
        <w:t>”), is the only vote of the holders of any class or series of Company Common Stock necessary to adopt and approve this Agreement and approve the Contemplated Transactions.</w:t>
      </w:r>
    </w:p>
    <w:p>
      <w:pPr>
        <w:spacing w:after="0" w:line="177"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3.5</w:t>
      </w:r>
      <w:r>
        <w:rPr>
          <w:sz w:val="20"/>
          <w:szCs w:val="20"/>
          <w:color w:val="auto"/>
        </w:rPr>
        <w:tab/>
      </w:r>
      <w:r>
        <w:rPr>
          <w:rFonts w:ascii="Arial" w:cs="Arial" w:eastAsia="Arial" w:hAnsi="Arial"/>
          <w:sz w:val="10"/>
          <w:szCs w:val="10"/>
          <w:u w:val="single" w:color="auto"/>
          <w:color w:val="auto"/>
        </w:rPr>
        <w:t>Non-Contravention; Consents</w:t>
      </w:r>
      <w:r>
        <w:rPr>
          <w:rFonts w:ascii="Arial" w:cs="Arial" w:eastAsia="Arial" w:hAnsi="Arial"/>
          <w:sz w:val="10"/>
          <w:szCs w:val="10"/>
          <w:color w:val="auto"/>
        </w:rPr>
        <w:t>.</w:t>
      </w:r>
    </w:p>
    <w:p>
      <w:pPr>
        <w:spacing w:after="0" w:line="79" w:lineRule="exact"/>
        <w:rPr>
          <w:sz w:val="20"/>
          <w:szCs w:val="20"/>
          <w:color w:val="auto"/>
        </w:rPr>
      </w:pPr>
    </w:p>
    <w:p>
      <w:pPr>
        <w:ind w:left="840" w:right="859" w:firstLine="654"/>
        <w:spacing w:after="0" w:line="264" w:lineRule="auto"/>
        <w:tabs>
          <w:tab w:leader="none" w:pos="1757" w:val="left"/>
        </w:tabs>
        <w:numPr>
          <w:ilvl w:val="0"/>
          <w:numId w:val="31"/>
        </w:numPr>
        <w:rPr>
          <w:rFonts w:ascii="Arial" w:cs="Arial" w:eastAsia="Arial" w:hAnsi="Arial"/>
          <w:sz w:val="12"/>
          <w:szCs w:val="12"/>
          <w:color w:val="auto"/>
        </w:rPr>
      </w:pPr>
      <w:r>
        <w:rPr>
          <w:rFonts w:ascii="Arial" w:cs="Arial" w:eastAsia="Arial" w:hAnsi="Arial"/>
          <w:sz w:val="12"/>
          <w:szCs w:val="12"/>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50" w:lineRule="exact"/>
        <w:rPr>
          <w:rFonts w:ascii="Arial" w:cs="Arial" w:eastAsia="Arial" w:hAnsi="Arial"/>
          <w:sz w:val="12"/>
          <w:szCs w:val="12"/>
          <w:color w:val="auto"/>
        </w:rPr>
      </w:pPr>
    </w:p>
    <w:p>
      <w:pPr>
        <w:ind w:left="2000" w:hanging="238"/>
        <w:spacing w:after="0"/>
        <w:tabs>
          <w:tab w:leader="none" w:pos="2000" w:val="left"/>
        </w:tabs>
        <w:numPr>
          <w:ilvl w:val="1"/>
          <w:numId w:val="31"/>
        </w:numPr>
        <w:rPr>
          <w:rFonts w:ascii="Arial" w:cs="Arial" w:eastAsia="Arial" w:hAnsi="Arial"/>
          <w:sz w:val="12"/>
          <w:szCs w:val="12"/>
          <w:color w:val="auto"/>
        </w:rPr>
      </w:pPr>
      <w:r>
        <w:rPr>
          <w:rFonts w:ascii="Arial" w:cs="Arial" w:eastAsia="Arial" w:hAnsi="Arial"/>
          <w:sz w:val="12"/>
          <w:szCs w:val="12"/>
          <w:color w:val="auto"/>
        </w:rPr>
        <w:t>contravene, conflict with or result in a violation of any of the provisions of the Company’s Organizational Documents;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230" w:right="1440" w:bottom="1440" w:gutter="0" w:footer="0" w:header="0"/>
        </w:sectPr>
      </w:pPr>
    </w:p>
    <w:bookmarkStart w:id="36" w:name="page37"/>
    <w:bookmarkEnd w:id="36"/>
    <w:p>
      <w:pPr>
        <w:ind w:left="1120" w:right="839" w:firstLine="642"/>
        <w:spacing w:after="0" w:line="264" w:lineRule="auto"/>
        <w:tabs>
          <w:tab w:leader="none" w:pos="2024" w:val="left"/>
        </w:tabs>
        <w:numPr>
          <w:ilvl w:val="1"/>
          <w:numId w:val="3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50" w:lineRule="exact"/>
        <w:rPr>
          <w:rFonts w:ascii="Arial" w:cs="Arial" w:eastAsia="Arial" w:hAnsi="Arial"/>
          <w:sz w:val="12"/>
          <w:szCs w:val="12"/>
          <w:color w:val="auto"/>
        </w:rPr>
      </w:pPr>
    </w:p>
    <w:p>
      <w:pPr>
        <w:ind w:left="1120" w:right="859" w:firstLine="642"/>
        <w:spacing w:after="0" w:line="264" w:lineRule="auto"/>
        <w:tabs>
          <w:tab w:leader="none" w:pos="2057" w:val="left"/>
        </w:tabs>
        <w:numPr>
          <w:ilvl w:val="1"/>
          <w:numId w:val="32"/>
        </w:numPr>
        <w:rPr>
          <w:rFonts w:ascii="Arial" w:cs="Arial" w:eastAsia="Arial" w:hAnsi="Arial"/>
          <w:sz w:val="12"/>
          <w:szCs w:val="12"/>
          <w:color w:val="auto"/>
        </w:rPr>
      </w:pPr>
      <w:r>
        <w:rPr>
          <w:rFonts w:ascii="Arial" w:cs="Arial" w:eastAsia="Arial" w:hAnsi="Arial"/>
          <w:sz w:val="12"/>
          <w:szCs w:val="12"/>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50" w:lineRule="exact"/>
        <w:rPr>
          <w:rFonts w:ascii="Arial" w:cs="Arial" w:eastAsia="Arial" w:hAnsi="Arial"/>
          <w:sz w:val="12"/>
          <w:szCs w:val="12"/>
          <w:color w:val="auto"/>
        </w:rPr>
      </w:pPr>
    </w:p>
    <w:p>
      <w:pPr>
        <w:ind w:left="1120" w:right="919" w:firstLine="642"/>
        <w:spacing w:after="0" w:line="257" w:lineRule="auto"/>
        <w:tabs>
          <w:tab w:leader="none" w:pos="2050" w:val="left"/>
        </w:tabs>
        <w:numPr>
          <w:ilvl w:val="1"/>
          <w:numId w:val="32"/>
        </w:numPr>
        <w:rPr>
          <w:rFonts w:ascii="Arial" w:cs="Arial" w:eastAsia="Arial" w:hAnsi="Arial"/>
          <w:sz w:val="12"/>
          <w:szCs w:val="12"/>
          <w:color w:val="auto"/>
        </w:rPr>
      </w:pPr>
      <w:r>
        <w:rPr>
          <w:rFonts w:ascii="Arial" w:cs="Arial" w:eastAsia="Arial" w:hAnsi="Arial"/>
          <w:sz w:val="12"/>
          <w:szCs w:val="12"/>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55" w:lineRule="exact"/>
        <w:rPr>
          <w:rFonts w:ascii="Arial" w:cs="Arial" w:eastAsia="Arial" w:hAnsi="Arial"/>
          <w:sz w:val="12"/>
          <w:szCs w:val="12"/>
          <w:color w:val="auto"/>
        </w:rPr>
      </w:pPr>
    </w:p>
    <w:p>
      <w:pPr>
        <w:ind w:left="1120" w:right="879" w:firstLine="642"/>
        <w:spacing w:after="0" w:line="277" w:lineRule="auto"/>
        <w:tabs>
          <w:tab w:leader="none" w:pos="2017" w:val="left"/>
        </w:tabs>
        <w:numPr>
          <w:ilvl w:val="1"/>
          <w:numId w:val="32"/>
        </w:numPr>
        <w:rPr>
          <w:rFonts w:ascii="Arial" w:cs="Arial" w:eastAsia="Arial" w:hAnsi="Arial"/>
          <w:sz w:val="12"/>
          <w:szCs w:val="12"/>
          <w:color w:val="auto"/>
        </w:rPr>
      </w:pPr>
      <w:r>
        <w:rPr>
          <w:rFonts w:ascii="Arial" w:cs="Arial" w:eastAsia="Arial" w:hAnsi="Arial"/>
          <w:sz w:val="12"/>
          <w:szCs w:val="12"/>
          <w:color w:val="auto"/>
        </w:rPr>
        <w:t>result in the imposition or creation of any Encumbrance upon or with respect to any asset owned or used by the Company or its Subsidiaries (except for Permitted Encumbrances).</w:t>
      </w:r>
    </w:p>
    <w:p>
      <w:pPr>
        <w:spacing w:after="0" w:line="114" w:lineRule="exact"/>
        <w:rPr>
          <w:rFonts w:ascii="Arial" w:cs="Arial" w:eastAsia="Arial" w:hAnsi="Arial"/>
          <w:sz w:val="12"/>
          <w:szCs w:val="12"/>
          <w:color w:val="auto"/>
        </w:rPr>
      </w:pPr>
    </w:p>
    <w:p>
      <w:pPr>
        <w:ind w:left="840" w:right="879" w:firstLine="654"/>
        <w:spacing w:after="0" w:line="256" w:lineRule="auto"/>
        <w:tabs>
          <w:tab w:leader="none" w:pos="1764" w:val="left"/>
        </w:tabs>
        <w:numPr>
          <w:ilvl w:val="0"/>
          <w:numId w:val="33"/>
        </w:numPr>
        <w:rPr>
          <w:rFonts w:ascii="Arial" w:cs="Arial" w:eastAsia="Arial" w:hAnsi="Arial"/>
          <w:sz w:val="12"/>
          <w:szCs w:val="12"/>
          <w:color w:val="auto"/>
        </w:rPr>
      </w:pPr>
      <w:r>
        <w:rPr>
          <w:rFonts w:ascii="Arial" w:cs="Arial" w:eastAsia="Arial" w:hAnsi="Arial"/>
          <w:sz w:val="12"/>
          <w:szCs w:val="12"/>
          <w:color w:val="auto"/>
        </w:rPr>
        <w:t>Except for (i) any Consent set forth on Section 3.5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the Company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27" w:lineRule="exact"/>
        <w:rPr>
          <w:rFonts w:ascii="Arial" w:cs="Arial" w:eastAsia="Arial" w:hAnsi="Arial"/>
          <w:sz w:val="12"/>
          <w:szCs w:val="12"/>
          <w:color w:val="auto"/>
        </w:rPr>
      </w:pPr>
    </w:p>
    <w:p>
      <w:pPr>
        <w:ind w:left="840" w:right="919" w:firstLine="654"/>
        <w:spacing w:after="0" w:line="260" w:lineRule="auto"/>
        <w:tabs>
          <w:tab w:leader="none" w:pos="1755"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197"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3.6</w:t>
      </w:r>
      <w:r>
        <w:rPr>
          <w:sz w:val="20"/>
          <w:szCs w:val="20"/>
          <w:color w:val="auto"/>
        </w:rPr>
        <w:tab/>
      </w:r>
      <w:r>
        <w:rPr>
          <w:rFonts w:ascii="Arial" w:cs="Arial" w:eastAsia="Arial" w:hAnsi="Arial"/>
          <w:sz w:val="11"/>
          <w:szCs w:val="11"/>
          <w:u w:val="single" w:color="auto"/>
          <w:color w:val="auto"/>
        </w:rPr>
        <w:t>Capitalization</w:t>
      </w:r>
      <w:r>
        <w:rPr>
          <w:rFonts w:ascii="Arial" w:cs="Arial" w:eastAsia="Arial" w:hAnsi="Arial"/>
          <w:sz w:val="11"/>
          <w:szCs w:val="11"/>
          <w:color w:val="auto"/>
        </w:rPr>
        <w:t>.</w:t>
      </w:r>
    </w:p>
    <w:p>
      <w:pPr>
        <w:spacing w:after="0" w:line="79" w:lineRule="exact"/>
        <w:rPr>
          <w:sz w:val="20"/>
          <w:szCs w:val="20"/>
          <w:color w:val="auto"/>
        </w:rPr>
      </w:pPr>
    </w:p>
    <w:p>
      <w:pPr>
        <w:ind w:left="840" w:right="1059" w:firstLine="654"/>
        <w:spacing w:after="0" w:line="299" w:lineRule="auto"/>
        <w:tabs>
          <w:tab w:leader="none" w:pos="1755"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authorized capital stock of the Company as of the date of this Agreement consists of (i) 5,000 shares of Company Common Stock, par value $0.01 per share, of which 100 shares have been issued and are outstanding as of the date of this Agreement. The Company does not hold any shares of its capital stock in its treasury. Holdings is the sole stockholder of the Company.</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9019"/>
          </w:cols>
          <w:pgMar w:left="1440" w:top="230" w:right="1440" w:bottom="1440" w:gutter="0" w:footer="0" w:header="0"/>
        </w:sectPr>
      </w:pPr>
    </w:p>
    <w:bookmarkStart w:id="37" w:name="page38"/>
    <w:bookmarkEnd w:id="37"/>
    <w:p>
      <w:pPr>
        <w:jc w:val="center"/>
        <w:ind w:right="19"/>
        <w:spacing w:after="0"/>
        <w:tabs>
          <w:tab w:leader="none" w:pos="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(b)</w:t>
      </w:r>
      <w:r>
        <w:rPr>
          <w:sz w:val="20"/>
          <w:szCs w:val="20"/>
          <w:color w:val="auto"/>
        </w:rPr>
        <w:tab/>
      </w:r>
      <w:r>
        <w:rPr>
          <w:rFonts w:ascii="Arial" w:cs="Arial" w:eastAsia="Arial" w:hAnsi="Arial"/>
          <w:sz w:val="10"/>
          <w:szCs w:val="10"/>
          <w:color w:val="auto"/>
        </w:rPr>
        <w:t>All of the outstanding shares of Company Common Stock and all outstanding securities of the Subsidiaries as set out in</w:t>
      </w:r>
    </w:p>
    <w:p>
      <w:pPr>
        <w:spacing w:after="0" w:line="15"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Section 3.6(b) of the Company Disclosure Schedule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 Company is not under any obligation, nor is it bound by any Contract pursuant to which it may become obligated, to repurchase, redeem or otherwise acquire any outstanding shares of Company Common Stock or other securities. Section 3.6(b)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w:t>
      </w:r>
    </w:p>
    <w:p>
      <w:pPr>
        <w:spacing w:after="0" w:line="117" w:lineRule="exact"/>
        <w:rPr>
          <w:sz w:val="20"/>
          <w:szCs w:val="20"/>
          <w:color w:val="auto"/>
        </w:rPr>
      </w:pPr>
    </w:p>
    <w:p>
      <w:pPr>
        <w:ind w:left="840" w:right="879" w:firstLine="654"/>
        <w:spacing w:after="0" w:line="279" w:lineRule="auto"/>
        <w:tabs>
          <w:tab w:leader="none" w:pos="1750" w:val="left"/>
        </w:tabs>
        <w:numPr>
          <w:ilvl w:val="0"/>
          <w:numId w:val="35"/>
        </w:numPr>
        <w:rPr>
          <w:rFonts w:ascii="Arial" w:cs="Arial" w:eastAsia="Arial" w:hAnsi="Arial"/>
          <w:sz w:val="11"/>
          <w:szCs w:val="11"/>
          <w:color w:val="auto"/>
        </w:rPr>
      </w:pPr>
      <w:r>
        <w:rPr>
          <w:rFonts w:ascii="Arial" w:cs="Arial" w:eastAsia="Arial" w:hAnsi="Arial"/>
          <w:sz w:val="11"/>
          <w:szCs w:val="11"/>
          <w:color w:val="auto"/>
        </w:rPr>
        <w:t>As of the date of this Agreement, Holdings has reserved 239,633 Holdings Options for issuance under the Holdings Plan, of which 202,392 Holdings Units have been issued and are currently outstanding, and 37,241 Holdings Units remain available for future issuance pursuant to the Holdings Plan. Section 3.6(c) of the Company Disclosure Schedule sets forth the following information with respect to each Holdings Option outstanding as of the date of this Agreement: (i) the name of the optionee, (ii) the number of Holdings Units subject to such Holdings Option at the time of grant, (iii) the number of Holdings Units subject to such Holdings Option as of the date of this Agreement, (iv) the exercise price of such Holdings Option, (v) the date on which such Holdings Option was granted, (vi) the applicable vesting schedule, including any acceleration provisions and the number of vested and unvested shares as of the date of this Agreement, and (vii) the date on which such Holdings Option expires. The Company has made available to Zordich an accurate and complete copy of the Holdings Plan and forms of all option agreements approved for use thereunder and evidence of board and member approval of the Holdings Plan and any amendments thereto. No vesting of Holdings Options will accelerate solely in connection with the closing of the Contemplated Transactions.</w:t>
      </w:r>
    </w:p>
    <w:p>
      <w:pPr>
        <w:spacing w:after="0" w:line="118" w:lineRule="exact"/>
        <w:rPr>
          <w:rFonts w:ascii="Arial" w:cs="Arial" w:eastAsia="Arial" w:hAnsi="Arial"/>
          <w:sz w:val="11"/>
          <w:szCs w:val="11"/>
          <w:color w:val="auto"/>
        </w:rPr>
      </w:pPr>
    </w:p>
    <w:p>
      <w:pPr>
        <w:ind w:left="840" w:right="859" w:firstLine="654"/>
        <w:spacing w:after="0" w:line="279" w:lineRule="auto"/>
        <w:tabs>
          <w:tab w:leader="none" w:pos="1761"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Company does not have any stock option plan or any other plan, program, agreement or arrangement providing for an equity-based compensation for any Person. Except for the outstanding Holdings Options or as set forth on Section 3.6(d) of the Company Disclosure 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18" w:lineRule="exact"/>
        <w:rPr>
          <w:rFonts w:ascii="Arial" w:cs="Arial" w:eastAsia="Arial" w:hAnsi="Arial"/>
          <w:sz w:val="11"/>
          <w:szCs w:val="11"/>
          <w:color w:val="auto"/>
        </w:rPr>
      </w:pPr>
    </w:p>
    <w:p>
      <w:pPr>
        <w:ind w:left="840" w:right="859" w:firstLine="654"/>
        <w:spacing w:after="0" w:line="324" w:lineRule="auto"/>
        <w:tabs>
          <w:tab w:leader="none" w:pos="1750" w:val="left"/>
        </w:tabs>
        <w:numPr>
          <w:ilvl w:val="0"/>
          <w:numId w:val="35"/>
        </w:numPr>
        <w:rPr>
          <w:rFonts w:ascii="Arial" w:cs="Arial" w:eastAsia="Arial" w:hAnsi="Arial"/>
          <w:sz w:val="11"/>
          <w:szCs w:val="11"/>
          <w:color w:val="auto"/>
        </w:rPr>
      </w:pPr>
      <w:r>
        <w:rPr>
          <w:rFonts w:ascii="Arial" w:cs="Arial" w:eastAsia="Arial" w:hAnsi="Arial"/>
          <w:sz w:val="11"/>
          <w:szCs w:val="11"/>
          <w:color w:val="auto"/>
        </w:rPr>
        <w:t>All outstanding shares of Company Common Stock, Holdings Options and other securities of the Company have been issued and granted in material compliance with (i) all applicable securities laws and other applicable Law and (ii) all requirements set forth in applicable Contracts.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9019"/>
          </w:cols>
          <w:pgMar w:left="1440" w:top="230" w:right="1440" w:bottom="1440" w:gutter="0" w:footer="0" w:header="0"/>
        </w:sectPr>
      </w:pPr>
    </w:p>
    <w:bookmarkStart w:id="38" w:name="page39"/>
    <w:bookmarkEnd w:id="38"/>
    <w:p>
      <w:pPr>
        <w:ind w:left="840" w:right="819" w:firstLine="654"/>
        <w:spacing w:after="0" w:line="255" w:lineRule="auto"/>
        <w:tabs>
          <w:tab w:leader="none" w:pos="1741" w:val="left"/>
        </w:tabs>
        <w:numPr>
          <w:ilvl w:val="0"/>
          <w:numId w:val="3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With respect to Holdings Options granted pursuant to the Holdings Plan, (i) each grant of a Holdings Option was duly authorized no later than the date on which the grant of such Holdings Option was by its terms to be effective (the “</w:t>
      </w:r>
      <w:r>
        <w:rPr>
          <w:rFonts w:ascii="Arial" w:cs="Arial" w:eastAsia="Arial" w:hAnsi="Arial"/>
          <w:sz w:val="12"/>
          <w:szCs w:val="12"/>
          <w:b w:val="1"/>
          <w:bCs w:val="1"/>
          <w:color w:val="auto"/>
        </w:rPr>
        <w:t>Grant Date</w:t>
      </w:r>
      <w:r>
        <w:rPr>
          <w:rFonts w:ascii="Arial" w:cs="Arial" w:eastAsia="Arial" w:hAnsi="Arial"/>
          <w:sz w:val="12"/>
          <w:szCs w:val="12"/>
          <w:color w:val="auto"/>
        </w:rPr>
        <w:t>”) by all necessary corporate action, including, as applicable, approval by the Holdings board of managers (or a duly constituted and authorized committee thereof) and any required equityholder approval by the necessary number of votes or written consents, and the award agreement governing such grant (if any) was duly executed and delivered by each party thereto, (ii) each Holdings Option grant was made in accordance with the terms of the Holdings Plan and all other applicable Law and (iii) the per unit exercise price of each Holdings Option was not less than the fair market value of a unit of Holdings on the applicable Grant Date.</w:t>
      </w:r>
    </w:p>
    <w:p>
      <w:pPr>
        <w:spacing w:after="0" w:line="201"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3.7</w:t>
      </w:r>
      <w:r>
        <w:rPr>
          <w:sz w:val="20"/>
          <w:szCs w:val="20"/>
          <w:color w:val="auto"/>
        </w:rPr>
        <w:tab/>
      </w:r>
      <w:r>
        <w:rPr>
          <w:rFonts w:ascii="Arial" w:cs="Arial" w:eastAsia="Arial" w:hAnsi="Arial"/>
          <w:sz w:val="10"/>
          <w:szCs w:val="10"/>
          <w:u w:val="single" w:color="auto"/>
          <w:color w:val="auto"/>
        </w:rPr>
        <w:t>Financial Statements</w:t>
      </w:r>
      <w:r>
        <w:rPr>
          <w:rFonts w:ascii="Arial" w:cs="Arial" w:eastAsia="Arial" w:hAnsi="Arial"/>
          <w:sz w:val="10"/>
          <w:szCs w:val="10"/>
          <w:color w:val="auto"/>
        </w:rPr>
        <w:t>.</w:t>
      </w:r>
    </w:p>
    <w:p>
      <w:pPr>
        <w:spacing w:after="0" w:line="79" w:lineRule="exact"/>
        <w:rPr>
          <w:sz w:val="20"/>
          <w:szCs w:val="20"/>
          <w:color w:val="auto"/>
        </w:rPr>
      </w:pPr>
    </w:p>
    <w:p>
      <w:pPr>
        <w:ind w:left="840" w:right="859" w:firstLine="654"/>
        <w:spacing w:after="0" w:line="279" w:lineRule="auto"/>
        <w:tabs>
          <w:tab w:leader="none" w:pos="1757" w:val="left"/>
        </w:tabs>
        <w:numPr>
          <w:ilvl w:val="0"/>
          <w:numId w:val="37"/>
        </w:numPr>
        <w:rPr>
          <w:rFonts w:ascii="Arial" w:cs="Arial" w:eastAsia="Arial" w:hAnsi="Arial"/>
          <w:sz w:val="11"/>
          <w:szCs w:val="11"/>
          <w:color w:val="auto"/>
        </w:rPr>
      </w:pPr>
      <w:r>
        <w:rPr>
          <w:rFonts w:ascii="Arial" w:cs="Arial" w:eastAsia="Arial" w:hAnsi="Arial"/>
          <w:sz w:val="11"/>
          <w:szCs w:val="11"/>
          <w:color w:val="auto"/>
        </w:rPr>
        <w:t xml:space="preserve">Section 3.7(a) of the Company Disclosure Schedule includes true and complete copies of (i) Holdings’ unaudited consolidated balance sheets at December 31, 2017 and December 31, 2018, (ii) the Holdings’ unaudited consolidated balance sheet at September 30, 2019 (the </w:t>
      </w:r>
      <w:r>
        <w:rPr>
          <w:rFonts w:ascii="Arial" w:cs="Arial" w:eastAsia="Arial" w:hAnsi="Arial"/>
          <w:sz w:val="11"/>
          <w:szCs w:val="11"/>
          <w:b w:val="1"/>
          <w:bCs w:val="1"/>
          <w:color w:val="auto"/>
        </w:rPr>
        <w:t>“Company Unaudited Interim Balance Sheet</w:t>
      </w:r>
      <w:r>
        <w:rPr>
          <w:rFonts w:ascii="Arial" w:cs="Arial" w:eastAsia="Arial" w:hAnsi="Arial"/>
          <w:sz w:val="11"/>
          <w:szCs w:val="11"/>
          <w:color w:val="auto"/>
        </w:rPr>
        <w:t>”), (iii) Holdings’ unaudited consolidated statements of income, cash flow and stockholders’ equity for</w:t>
      </w:r>
      <w:r>
        <w:rPr>
          <w:rFonts w:ascii="Arial" w:cs="Arial" w:eastAsia="Arial" w:hAnsi="Arial"/>
          <w:sz w:val="11"/>
          <w:szCs w:val="11"/>
          <w:b w:val="1"/>
          <w:bCs w:val="1"/>
          <w:color w:val="auto"/>
        </w:rPr>
        <w:t xml:space="preserve"> </w:t>
      </w:r>
      <w:r>
        <w:rPr>
          <w:rFonts w:ascii="Arial" w:cs="Arial" w:eastAsia="Arial" w:hAnsi="Arial"/>
          <w:sz w:val="11"/>
          <w:szCs w:val="11"/>
          <w:color w:val="auto"/>
        </w:rPr>
        <w:t>the years ended December 31, 2017 and December 31, 2018 and (iv) Holdings’ unaudited statements of income, cash flow and stockholders’ equity for the nine months ended September 30, 2019 (collectively, the “</w:t>
      </w:r>
      <w:r>
        <w:rPr>
          <w:rFonts w:ascii="Arial" w:cs="Arial" w:eastAsia="Arial" w:hAnsi="Arial"/>
          <w:sz w:val="11"/>
          <w:szCs w:val="11"/>
          <w:b w:val="1"/>
          <w:bCs w:val="1"/>
          <w:color w:val="auto"/>
        </w:rPr>
        <w:t>Company Financials</w:t>
      </w:r>
      <w:r>
        <w:rPr>
          <w:rFonts w:ascii="Arial" w:cs="Arial" w:eastAsia="Arial" w:hAnsi="Arial"/>
          <w:sz w:val="11"/>
          <w:szCs w:val="11"/>
          <w:color w:val="auto"/>
        </w:rPr>
        <w:t>”). The Company Financials (A) were prepared in accordance with United States generally accepted accounting principles (“</w:t>
      </w:r>
      <w:r>
        <w:rPr>
          <w:rFonts w:ascii="Arial" w:cs="Arial" w:eastAsia="Arial" w:hAnsi="Arial"/>
          <w:sz w:val="11"/>
          <w:szCs w:val="11"/>
          <w:b w:val="1"/>
          <w:bCs w:val="1"/>
          <w:color w:val="auto"/>
        </w:rPr>
        <w:t>GAAP</w:t>
      </w:r>
      <w:r>
        <w:rPr>
          <w:rFonts w:ascii="Arial" w:cs="Arial" w:eastAsia="Arial" w:hAnsi="Arial"/>
          <w:sz w:val="11"/>
          <w:szCs w:val="11"/>
          <w:color w:val="auto"/>
        </w:rPr>
        <w:t>”) (except as may be indicated in the footnotes to such Company Financials and that the Company Financials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unless otherwise noted therein throughout the periods indicated and (B) fairly present, in all material respects, the financial position and operating results of Holdings and its consolidated Subsidiaries as of the dates and for the periods indicated therein.</w:t>
      </w:r>
    </w:p>
    <w:p>
      <w:pPr>
        <w:spacing w:after="0" w:line="118" w:lineRule="exact"/>
        <w:rPr>
          <w:rFonts w:ascii="Arial" w:cs="Arial" w:eastAsia="Arial" w:hAnsi="Arial"/>
          <w:sz w:val="11"/>
          <w:szCs w:val="11"/>
          <w:color w:val="auto"/>
        </w:rPr>
      </w:pPr>
    </w:p>
    <w:p>
      <w:pPr>
        <w:ind w:left="840" w:right="839" w:firstLine="654"/>
        <w:spacing w:after="0" w:line="281" w:lineRule="auto"/>
        <w:tabs>
          <w:tab w:leader="none" w:pos="1761" w:val="left"/>
        </w:tabs>
        <w:numPr>
          <w:ilvl w:val="0"/>
          <w:numId w:val="37"/>
        </w:numPr>
        <w:rPr>
          <w:rFonts w:ascii="Arial" w:cs="Arial" w:eastAsia="Arial" w:hAnsi="Arial"/>
          <w:sz w:val="11"/>
          <w:szCs w:val="11"/>
          <w:color w:val="auto"/>
        </w:rPr>
      </w:pPr>
      <w:r>
        <w:rPr>
          <w:rFonts w:ascii="Arial" w:cs="Arial" w:eastAsia="Arial" w:hAnsi="Arial"/>
          <w:sz w:val="11"/>
          <w:szCs w:val="11"/>
          <w:color w:val="auto"/>
        </w:rPr>
        <w:t>To the Company’s Knowledge, 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To the Company’s Knowledge, the Company and each of its Subsidiaries maintains internal control over financial reporting that provides reasonable assurance regarding the reliability of financial reporting and the preparation of financial statements for external purposes.</w:t>
      </w:r>
    </w:p>
    <w:p>
      <w:pPr>
        <w:spacing w:after="0" w:line="115" w:lineRule="exact"/>
        <w:rPr>
          <w:rFonts w:ascii="Arial" w:cs="Arial" w:eastAsia="Arial" w:hAnsi="Arial"/>
          <w:sz w:val="11"/>
          <w:szCs w:val="11"/>
          <w:color w:val="auto"/>
        </w:rPr>
      </w:pPr>
    </w:p>
    <w:p>
      <w:pPr>
        <w:ind w:left="840" w:right="859" w:firstLine="654"/>
        <w:spacing w:after="0" w:line="299" w:lineRule="auto"/>
        <w:tabs>
          <w:tab w:leader="none" w:pos="1757" w:val="left"/>
        </w:tabs>
        <w:numPr>
          <w:ilvl w:val="0"/>
          <w:numId w:val="37"/>
        </w:numPr>
        <w:rPr>
          <w:rFonts w:ascii="Arial" w:cs="Arial" w:eastAsia="Arial" w:hAnsi="Arial"/>
          <w:sz w:val="11"/>
          <w:szCs w:val="11"/>
          <w:color w:val="auto"/>
        </w:rPr>
      </w:pPr>
      <w:r>
        <w:rPr>
          <w:rFonts w:ascii="Arial" w:cs="Arial" w:eastAsia="Arial" w:hAnsi="Arial"/>
          <w:sz w:val="11"/>
          <w:szCs w:val="11"/>
          <w:color w:val="auto"/>
        </w:rPr>
        <w:t>Section 3.7(c) of the Company Disclosure Schedule lists, and the Company has delivered to Zordich accurate and complete copies of the documentation creating or governing, all securitization transactions and “off-balance sheet arrangements” (as defined in Item 303(c) of Regulation S-K under the Exchange Act) effected by the Company or any of its Subsidiaries since January 1, 2017.</w:t>
      </w:r>
    </w:p>
    <w:p>
      <w:pPr>
        <w:spacing w:after="0" w:line="105" w:lineRule="exact"/>
        <w:rPr>
          <w:rFonts w:ascii="Arial" w:cs="Arial" w:eastAsia="Arial" w:hAnsi="Arial"/>
          <w:sz w:val="11"/>
          <w:szCs w:val="11"/>
          <w:color w:val="auto"/>
        </w:rPr>
      </w:pPr>
    </w:p>
    <w:p>
      <w:pPr>
        <w:ind w:left="840" w:right="1079" w:firstLine="654"/>
        <w:spacing w:after="0" w:line="264" w:lineRule="auto"/>
        <w:tabs>
          <w:tab w:leader="none" w:pos="1764" w:val="left"/>
        </w:tabs>
        <w:numPr>
          <w:ilvl w:val="0"/>
          <w:numId w:val="37"/>
        </w:numPr>
        <w:rPr>
          <w:rFonts w:ascii="Arial" w:cs="Arial" w:eastAsia="Arial" w:hAnsi="Arial"/>
          <w:sz w:val="12"/>
          <w:szCs w:val="12"/>
          <w:color w:val="auto"/>
        </w:rPr>
      </w:pPr>
      <w:r>
        <w:rPr>
          <w:rFonts w:ascii="Arial" w:cs="Arial" w:eastAsia="Arial" w:hAnsi="Arial"/>
          <w:sz w:val="12"/>
          <w:szCs w:val="12"/>
          <w:color w:val="auto"/>
        </w:rPr>
        <w:t>Since January 1, 2017,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2017, neither the</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9019"/>
          </w:cols>
          <w:pgMar w:left="1440" w:top="230" w:right="1440" w:bottom="1440" w:gutter="0" w:footer="0" w:header="0"/>
        </w:sectPr>
      </w:pPr>
    </w:p>
    <w:bookmarkStart w:id="39" w:name="page40"/>
    <w:bookmarkEnd w:id="39"/>
    <w:p>
      <w:pPr>
        <w:ind w:left="840" w:right="919"/>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Company nor its independent auditors have identified (i) 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 (iii) any claim or allegation regarding any of the foregoing.</w:t>
      </w:r>
    </w:p>
    <w:p>
      <w:pPr>
        <w:spacing w:after="0" w:line="111" w:lineRule="exact"/>
        <w:rPr>
          <w:sz w:val="20"/>
          <w:szCs w:val="20"/>
          <w:color w:val="auto"/>
        </w:rPr>
      </w:pPr>
    </w:p>
    <w:p>
      <w:pPr>
        <w:ind w:left="840" w:right="839" w:firstLine="295"/>
        <w:spacing w:after="0" w:line="286" w:lineRule="auto"/>
        <w:rPr>
          <w:sz w:val="20"/>
          <w:szCs w:val="20"/>
          <w:color w:val="auto"/>
        </w:rPr>
      </w:pPr>
      <w:r>
        <w:rPr>
          <w:rFonts w:ascii="Arial" w:cs="Arial" w:eastAsia="Arial" w:hAnsi="Arial"/>
          <w:sz w:val="11"/>
          <w:szCs w:val="11"/>
          <w:color w:val="auto"/>
        </w:rPr>
        <w:t xml:space="preserve">3.8 </w:t>
      </w:r>
      <w:r>
        <w:rPr>
          <w:rFonts w:ascii="Arial" w:cs="Arial" w:eastAsia="Arial" w:hAnsi="Arial"/>
          <w:sz w:val="11"/>
          <w:szCs w:val="11"/>
          <w:u w:val="single" w:color="auto"/>
          <w:color w:val="auto"/>
        </w:rPr>
        <w:t>Absence of Changes</w:t>
      </w:r>
      <w:r>
        <w:rPr>
          <w:rFonts w:ascii="Arial" w:cs="Arial" w:eastAsia="Arial" w:hAnsi="Arial"/>
          <w:sz w:val="11"/>
          <w:szCs w:val="11"/>
          <w:color w:val="auto"/>
        </w:rPr>
        <w:t xml:space="preserve">. Except as set forth on Section 3.8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Zordich pursuant to </w:t>
      </w:r>
      <w:r>
        <w:rPr>
          <w:rFonts w:ascii="Arial" w:cs="Arial" w:eastAsia="Arial" w:hAnsi="Arial"/>
          <w:sz w:val="11"/>
          <w:szCs w:val="11"/>
          <w:u w:val="single" w:color="auto"/>
          <w:color w:val="auto"/>
        </w:rPr>
        <w:t>Section 5.2(b)</w:t>
      </w:r>
      <w:r>
        <w:rPr>
          <w:rFonts w:ascii="Arial" w:cs="Arial" w:eastAsia="Arial" w:hAnsi="Arial"/>
          <w:sz w:val="11"/>
          <w:szCs w:val="11"/>
          <w:color w:val="auto"/>
        </w:rPr>
        <w:t xml:space="preserve"> of this Agreement had such action, event or occurrence taken place after the execution and delivery of this Agreement.</w:t>
      </w:r>
    </w:p>
    <w:p>
      <w:pPr>
        <w:spacing w:after="0" w:line="113" w:lineRule="exact"/>
        <w:rPr>
          <w:sz w:val="20"/>
          <w:szCs w:val="20"/>
          <w:color w:val="auto"/>
        </w:rPr>
      </w:pPr>
    </w:p>
    <w:p>
      <w:pPr>
        <w:ind w:left="840" w:right="839" w:firstLine="295"/>
        <w:spacing w:after="0" w:line="281" w:lineRule="auto"/>
        <w:rPr>
          <w:sz w:val="20"/>
          <w:szCs w:val="20"/>
          <w:color w:val="auto"/>
        </w:rPr>
      </w:pPr>
      <w:r>
        <w:rPr>
          <w:rFonts w:ascii="Arial" w:cs="Arial" w:eastAsia="Arial" w:hAnsi="Arial"/>
          <w:sz w:val="11"/>
          <w:szCs w:val="11"/>
          <w:color w:val="auto"/>
        </w:rPr>
        <w:t xml:space="preserve">3.9 </w:t>
      </w:r>
      <w:r>
        <w:rPr>
          <w:rFonts w:ascii="Arial" w:cs="Arial" w:eastAsia="Arial" w:hAnsi="Arial"/>
          <w:sz w:val="11"/>
          <w:szCs w:val="11"/>
          <w:u w:val="single" w:color="auto"/>
          <w:color w:val="auto"/>
        </w:rPr>
        <w:t>Absence of Undisclosed Liabilities</w:t>
      </w:r>
      <w:r>
        <w:rPr>
          <w:rFonts w:ascii="Arial" w:cs="Arial" w:eastAsia="Arial" w:hAnsi="Arial"/>
          <w:sz w:val="11"/>
          <w:szCs w:val="11"/>
          <w:color w:val="auto"/>
        </w:rPr>
        <w:t>. Neither the Company nor any of its Subsidiaries has any liability, indebtedness, obligation, expense, claim, deficiency, guaranty or endorsement of any kind, whether accrued, absolute, contingent, matured, unmatured or otherwise (each a “</w:t>
      </w:r>
      <w:r>
        <w:rPr>
          <w:rFonts w:ascii="Arial" w:cs="Arial" w:eastAsia="Arial" w:hAnsi="Arial"/>
          <w:sz w:val="11"/>
          <w:szCs w:val="11"/>
          <w:b w:val="1"/>
          <w:bCs w:val="1"/>
          <w:color w:val="auto"/>
        </w:rPr>
        <w:t>Liability</w:t>
      </w:r>
      <w:r>
        <w:rPr>
          <w:rFonts w:ascii="Arial" w:cs="Arial" w:eastAsia="Arial" w:hAnsi="Arial"/>
          <w:sz w:val="11"/>
          <w:szCs w:val="11"/>
          <w:color w:val="auto"/>
        </w:rPr>
        <w:t>”), in each case, of a type required to be reflected or reserved for on a balance sheet prepared in accordance with GAAP, except for: (a) 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(d) Liabilities incurred in connection with the Contemplated Transactions and (e) Liabilities listed in Section 3.9 of the Company Disclosure Schedule.</w:t>
      </w:r>
    </w:p>
    <w:p>
      <w:pPr>
        <w:spacing w:after="0" w:line="115" w:lineRule="exact"/>
        <w:rPr>
          <w:sz w:val="20"/>
          <w:szCs w:val="20"/>
          <w:color w:val="auto"/>
        </w:rPr>
      </w:pPr>
    </w:p>
    <w:p>
      <w:pPr>
        <w:ind w:left="840" w:right="1019" w:firstLine="295"/>
        <w:spacing w:after="0" w:line="321" w:lineRule="auto"/>
        <w:rPr>
          <w:sz w:val="20"/>
          <w:szCs w:val="20"/>
          <w:color w:val="auto"/>
        </w:rPr>
      </w:pPr>
      <w:r>
        <w:rPr>
          <w:rFonts w:ascii="Arial" w:cs="Arial" w:eastAsia="Arial" w:hAnsi="Arial"/>
          <w:sz w:val="10"/>
          <w:szCs w:val="10"/>
          <w:color w:val="auto"/>
        </w:rPr>
        <w:t xml:space="preserve">3.10 </w:t>
      </w:r>
      <w:r>
        <w:rPr>
          <w:rFonts w:ascii="Arial" w:cs="Arial" w:eastAsia="Arial" w:hAnsi="Arial"/>
          <w:sz w:val="10"/>
          <w:szCs w:val="10"/>
          <w:u w:val="single" w:color="auto"/>
          <w:color w:val="auto"/>
        </w:rPr>
        <w:t>Title to Assets</w:t>
      </w:r>
      <w:r>
        <w:rPr>
          <w:rFonts w:ascii="Arial" w:cs="Arial" w:eastAsia="Arial" w:hAnsi="Arial"/>
          <w:sz w:val="10"/>
          <w:szCs w:val="10"/>
          <w:color w:val="auto"/>
        </w:rPr>
        <w:t>.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98" w:lineRule="exact"/>
        <w:rPr>
          <w:sz w:val="20"/>
          <w:szCs w:val="20"/>
          <w:color w:val="auto"/>
        </w:rPr>
      </w:pPr>
    </w:p>
    <w:p>
      <w:pPr>
        <w:ind w:left="840" w:right="899" w:firstLine="295"/>
        <w:spacing w:after="0" w:line="257" w:lineRule="auto"/>
        <w:rPr>
          <w:sz w:val="20"/>
          <w:szCs w:val="20"/>
          <w:color w:val="auto"/>
        </w:rPr>
      </w:pPr>
      <w:r>
        <w:rPr>
          <w:rFonts w:ascii="Arial" w:cs="Arial" w:eastAsia="Arial" w:hAnsi="Arial"/>
          <w:sz w:val="12"/>
          <w:szCs w:val="12"/>
          <w:color w:val="auto"/>
        </w:rPr>
        <w:t xml:space="preserve">3.11 </w:t>
      </w:r>
      <w:r>
        <w:rPr>
          <w:rFonts w:ascii="Arial" w:cs="Arial" w:eastAsia="Arial" w:hAnsi="Arial"/>
          <w:sz w:val="12"/>
          <w:szCs w:val="12"/>
          <w:u w:val="single" w:color="auto"/>
          <w:color w:val="auto"/>
        </w:rPr>
        <w:t>Real Property; Leasehold</w:t>
      </w:r>
      <w:r>
        <w:rPr>
          <w:rFonts w:ascii="Arial" w:cs="Arial" w:eastAsia="Arial" w:hAnsi="Arial"/>
          <w:sz w:val="12"/>
          <w:szCs w:val="12"/>
          <w:color w:val="auto"/>
        </w:rPr>
        <w:t>. Neither the Company nor any of its Subsidiaries owns or has ever owned any real property. The Company has made available to Zordich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Arial" w:cs="Arial" w:eastAsia="Arial" w:hAnsi="Arial"/>
          <w:sz w:val="12"/>
          <w:szCs w:val="12"/>
          <w:b w:val="1"/>
          <w:bCs w:val="1"/>
          <w:color w:val="auto"/>
        </w:rPr>
        <w:t>Company Real Estate Leases</w:t>
      </w:r>
      <w:r>
        <w:rPr>
          <w:rFonts w:ascii="Arial" w:cs="Arial" w:eastAsia="Arial" w:hAnsi="Arial"/>
          <w:sz w:val="12"/>
          <w:szCs w:val="12"/>
          <w:color w:val="auto"/>
        </w:rPr>
        <w:t>”), each of which is in full force and effect, with no existing material default thereunder.</w:t>
      </w:r>
    </w:p>
    <w:p>
      <w:pPr>
        <w:spacing w:after="0" w:line="128"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3.12</w:t>
      </w:r>
      <w:r>
        <w:rPr>
          <w:sz w:val="20"/>
          <w:szCs w:val="20"/>
          <w:color w:val="auto"/>
        </w:rPr>
        <w:tab/>
      </w:r>
      <w:r>
        <w:rPr>
          <w:rFonts w:ascii="Arial" w:cs="Arial" w:eastAsia="Arial" w:hAnsi="Arial"/>
          <w:sz w:val="11"/>
          <w:szCs w:val="11"/>
          <w:u w:val="single" w:color="auto"/>
          <w:color w:val="auto"/>
        </w:rPr>
        <w:t>Intellectual Property</w:t>
      </w:r>
      <w:r>
        <w:rPr>
          <w:rFonts w:ascii="Arial" w:cs="Arial" w:eastAsia="Arial" w:hAnsi="Arial"/>
          <w:sz w:val="11"/>
          <w:szCs w:val="11"/>
          <w:color w:val="auto"/>
        </w:rPr>
        <w:t>.</w:t>
      </w:r>
    </w:p>
    <w:p>
      <w:pPr>
        <w:spacing w:after="0" w:line="79" w:lineRule="exact"/>
        <w:rPr>
          <w:sz w:val="20"/>
          <w:szCs w:val="20"/>
          <w:color w:val="auto"/>
        </w:rPr>
      </w:pPr>
    </w:p>
    <w:p>
      <w:pPr>
        <w:ind w:left="840" w:right="1139" w:firstLine="654"/>
        <w:spacing w:after="0" w:line="277" w:lineRule="auto"/>
        <w:tabs>
          <w:tab w:leader="none" w:pos="1755"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Company, directly or through any of its Subsidiaries, owns, or has the right to use, and has the right to bring actions for the infringement of, all Company IP Rights.</w:t>
      </w:r>
    </w:p>
    <w:p>
      <w:pPr>
        <w:spacing w:after="0" w:line="114" w:lineRule="exact"/>
        <w:rPr>
          <w:rFonts w:ascii="Arial" w:cs="Arial" w:eastAsia="Arial" w:hAnsi="Arial"/>
          <w:sz w:val="12"/>
          <w:szCs w:val="12"/>
          <w:color w:val="auto"/>
        </w:rPr>
      </w:pPr>
    </w:p>
    <w:p>
      <w:pPr>
        <w:ind w:left="4460" w:right="1279" w:hanging="2966"/>
        <w:spacing w:after="0" w:line="450" w:lineRule="auto"/>
        <w:tabs>
          <w:tab w:leader="none" w:pos="1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Section 3.12(b) of the Company Disclosure Schedule is an accurate, true and complete listing of all Company Registered IP. 27</w:t>
      </w:r>
    </w:p>
    <w:p>
      <w:pPr>
        <w:sectPr>
          <w:pgSz w:w="11900" w:h="16838" w:orient="portrait"/>
          <w:cols w:equalWidth="0" w:num="1">
            <w:col w:w="9019"/>
          </w:cols>
          <w:pgMar w:left="1440" w:top="230" w:right="1440" w:bottom="1440" w:gutter="0" w:footer="0" w:header="0"/>
        </w:sectPr>
      </w:pPr>
    </w:p>
    <w:bookmarkStart w:id="40" w:name="page41"/>
    <w:bookmarkEnd w:id="40"/>
    <w:p>
      <w:pPr>
        <w:ind w:left="840" w:right="879" w:firstLine="654"/>
        <w:spacing w:after="0" w:line="255" w:lineRule="auto"/>
        <w:tabs>
          <w:tab w:leader="none" w:pos="1757" w:val="left"/>
        </w:tabs>
        <w:numPr>
          <w:ilvl w:val="1"/>
          <w:numId w:val="3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Section 3.12(c) of the Company Disclosure Schedule accurately identifies (i) all Company IP Rights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 and (C) any confidential information provided under confidentiality agreements),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127" w:lineRule="exact"/>
        <w:rPr>
          <w:rFonts w:ascii="Arial" w:cs="Arial" w:eastAsia="Arial" w:hAnsi="Arial"/>
          <w:sz w:val="12"/>
          <w:szCs w:val="12"/>
          <w:color w:val="auto"/>
        </w:rPr>
      </w:pPr>
    </w:p>
    <w:p>
      <w:pPr>
        <w:ind w:left="840" w:right="859" w:firstLine="654"/>
        <w:spacing w:after="0" w:line="257" w:lineRule="auto"/>
        <w:tabs>
          <w:tab w:leader="none" w:pos="1764" w:val="left"/>
        </w:tabs>
        <w:numPr>
          <w:ilvl w:val="1"/>
          <w:numId w:val="39"/>
        </w:numPr>
        <w:rPr>
          <w:rFonts w:ascii="Arial" w:cs="Arial" w:eastAsia="Arial" w:hAnsi="Arial"/>
          <w:sz w:val="12"/>
          <w:szCs w:val="12"/>
          <w:color w:val="auto"/>
        </w:rPr>
      </w:pPr>
      <w:r>
        <w:rPr>
          <w:rFonts w:ascii="Arial" w:cs="Arial" w:eastAsia="Arial" w:hAnsi="Arial"/>
          <w:sz w:val="12"/>
          <w:szCs w:val="12"/>
          <w:color w:val="auto"/>
        </w:rPr>
        <w:t>Section 3.12(d) of the Company Disclosure Schedule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127" w:lineRule="exact"/>
        <w:rPr>
          <w:rFonts w:ascii="Arial" w:cs="Arial" w:eastAsia="Arial" w:hAnsi="Arial"/>
          <w:sz w:val="12"/>
          <w:szCs w:val="12"/>
          <w:color w:val="auto"/>
        </w:rPr>
      </w:pPr>
    </w:p>
    <w:p>
      <w:pPr>
        <w:jc w:val="both"/>
        <w:ind w:left="840" w:right="1139" w:firstLine="654"/>
        <w:spacing w:after="0" w:line="299" w:lineRule="auto"/>
        <w:tabs>
          <w:tab w:leader="none" w:pos="1757" w:val="left"/>
        </w:tabs>
        <w:numPr>
          <w:ilvl w:val="1"/>
          <w:numId w:val="39"/>
        </w:numPr>
        <w:rPr>
          <w:rFonts w:ascii="Arial" w:cs="Arial" w:eastAsia="Arial" w:hAnsi="Arial"/>
          <w:sz w:val="11"/>
          <w:szCs w:val="11"/>
          <w:color w:val="auto"/>
        </w:rPr>
      </w:pPr>
      <w:r>
        <w:rPr>
          <w:rFonts w:ascii="Arial" w:cs="Arial" w:eastAsia="Arial" w:hAnsi="Arial"/>
          <w:sz w:val="11"/>
          <w:szCs w:val="11"/>
          <w:color w:val="auto"/>
        </w:rPr>
        <w:t>Except as set forth on Section 3.12 (e) of the Company Disclosure Schedule, neither the Company nor any of its Subsidiaries is bound by, and no Company IP Rights are subject to, any Contract containing any covenant or other provision that in any way limits or restricts the ability of the Company or any of its Subsidiaries to use, exploit, assert, or enforce any Company IP Rights anywhere in the world.</w:t>
      </w:r>
    </w:p>
    <w:p>
      <w:pPr>
        <w:spacing w:after="0" w:line="105" w:lineRule="exact"/>
        <w:rPr>
          <w:rFonts w:ascii="Arial" w:cs="Arial" w:eastAsia="Arial" w:hAnsi="Arial"/>
          <w:sz w:val="11"/>
          <w:szCs w:val="11"/>
          <w:color w:val="auto"/>
        </w:rPr>
      </w:pPr>
    </w:p>
    <w:p>
      <w:pPr>
        <w:ind w:left="1740" w:hanging="246"/>
        <w:spacing w:after="0"/>
        <w:tabs>
          <w:tab w:leader="none" w:pos="1740" w:val="left"/>
        </w:tabs>
        <w:numPr>
          <w:ilvl w:val="1"/>
          <w:numId w:val="39"/>
        </w:numPr>
        <w:rPr>
          <w:rFonts w:ascii="Arial" w:cs="Arial" w:eastAsia="Arial" w:hAnsi="Arial"/>
          <w:sz w:val="11"/>
          <w:szCs w:val="11"/>
          <w:color w:val="auto"/>
        </w:rPr>
      </w:pPr>
      <w:r>
        <w:rPr>
          <w:rFonts w:ascii="Arial" w:cs="Arial" w:eastAsia="Arial" w:hAnsi="Arial"/>
          <w:sz w:val="11"/>
          <w:szCs w:val="11"/>
          <w:color w:val="auto"/>
        </w:rPr>
        <w:t>The Company or one of its Subsidiaries exclusively owns all right, title, and interest to and in Company IP Rights (other than</w:t>
      </w:r>
    </w:p>
    <w:p>
      <w:pPr>
        <w:spacing w:after="0" w:line="26" w:lineRule="exact"/>
        <w:rPr>
          <w:rFonts w:ascii="Arial" w:cs="Arial" w:eastAsia="Arial" w:hAnsi="Arial"/>
          <w:sz w:val="11"/>
          <w:szCs w:val="11"/>
          <w:color w:val="auto"/>
        </w:rPr>
      </w:pPr>
    </w:p>
    <w:p>
      <w:pPr>
        <w:ind w:left="840" w:right="939" w:hanging="9"/>
        <w:spacing w:after="0" w:line="253" w:lineRule="auto"/>
        <w:tabs>
          <w:tab w:leader="none" w:pos="984"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Company IP Rights exclusively and non-exclusively licensed to the Company or one of its Subsidiaries, or co-owned rights each as identified in Section 3.12(c)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56" w:lineRule="exact"/>
        <w:rPr>
          <w:rFonts w:ascii="Arial" w:cs="Arial" w:eastAsia="Arial" w:hAnsi="Arial"/>
          <w:sz w:val="12"/>
          <w:szCs w:val="12"/>
          <w:color w:val="auto"/>
        </w:rPr>
      </w:pPr>
    </w:p>
    <w:p>
      <w:pPr>
        <w:ind w:left="1120" w:right="1059" w:firstLine="642"/>
        <w:spacing w:after="0" w:line="277" w:lineRule="auto"/>
        <w:tabs>
          <w:tab w:leader="none" w:pos="1984" w:val="left"/>
        </w:tabs>
        <w:numPr>
          <w:ilvl w:val="2"/>
          <w:numId w:val="40"/>
        </w:numPr>
        <w:rPr>
          <w:rFonts w:ascii="Arial" w:cs="Arial" w:eastAsia="Arial" w:hAnsi="Arial"/>
          <w:sz w:val="12"/>
          <w:szCs w:val="12"/>
          <w:color w:val="auto"/>
        </w:rPr>
      </w:pPr>
      <w:r>
        <w:rPr>
          <w:rFonts w:ascii="Arial" w:cs="Arial" w:eastAsia="Arial" w:hAnsi="Arial"/>
          <w:sz w:val="12"/>
          <w:szCs w:val="12"/>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42" w:lineRule="exact"/>
        <w:rPr>
          <w:rFonts w:ascii="Arial" w:cs="Arial" w:eastAsia="Arial" w:hAnsi="Arial"/>
          <w:sz w:val="12"/>
          <w:szCs w:val="12"/>
          <w:color w:val="auto"/>
        </w:rPr>
      </w:pPr>
    </w:p>
    <w:p>
      <w:pPr>
        <w:ind w:left="1120" w:right="899" w:firstLine="642"/>
        <w:spacing w:after="0" w:line="260" w:lineRule="auto"/>
        <w:tabs>
          <w:tab w:leader="none" w:pos="2024" w:val="left"/>
        </w:tabs>
        <w:numPr>
          <w:ilvl w:val="2"/>
          <w:numId w:val="40"/>
        </w:numPr>
        <w:rPr>
          <w:rFonts w:ascii="Arial" w:cs="Arial" w:eastAsia="Arial" w:hAnsi="Arial"/>
          <w:sz w:val="12"/>
          <w:szCs w:val="12"/>
          <w:color w:val="auto"/>
        </w:rPr>
      </w:pPr>
      <w:r>
        <w:rPr>
          <w:rFonts w:ascii="Arial" w:cs="Arial" w:eastAsia="Arial" w:hAnsi="Arial"/>
          <w:sz w:val="12"/>
          <w:szCs w:val="12"/>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9019"/>
          </w:cols>
          <w:pgMar w:left="1440" w:top="230" w:right="1440" w:bottom="1440" w:gutter="0" w:footer="0" w:header="0"/>
        </w:sectPr>
      </w:pPr>
    </w:p>
    <w:bookmarkStart w:id="41" w:name="page42"/>
    <w:bookmarkEnd w:id="41"/>
    <w:p>
      <w:pPr>
        <w:ind w:left="1120" w:right="919" w:firstLine="642"/>
        <w:spacing w:after="0" w:line="284" w:lineRule="auto"/>
        <w:tabs>
          <w:tab w:leader="none" w:pos="2055" w:val="left"/>
        </w:tabs>
        <w:numPr>
          <w:ilvl w:val="1"/>
          <w:numId w:val="4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To the Knowledge of the Company, no current or former stockholder, officer, director, or employee of the Company or any of its Subsidiaries has any claim, right (whether or not currently exercisable), or interest to or in any Company IP Rights purported to be owned by the Company. To the Knowledge of the Company, no employee of the Company or any or any of its Subsidiaries is (a) bound by or otherwise subject to any Contract restricting him or her from performing his or her duties for the Company or such Subsidiary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40" w:lineRule="exact"/>
        <w:rPr>
          <w:rFonts w:ascii="Arial" w:cs="Arial" w:eastAsia="Arial" w:hAnsi="Arial"/>
          <w:sz w:val="11"/>
          <w:szCs w:val="11"/>
          <w:color w:val="auto"/>
        </w:rPr>
      </w:pPr>
    </w:p>
    <w:p>
      <w:pPr>
        <w:ind w:left="1120" w:right="859" w:firstLine="642"/>
        <w:spacing w:after="0" w:line="264" w:lineRule="auto"/>
        <w:tabs>
          <w:tab w:leader="none" w:pos="2050" w:val="left"/>
        </w:tabs>
        <w:numPr>
          <w:ilvl w:val="1"/>
          <w:numId w:val="41"/>
        </w:numPr>
        <w:rPr>
          <w:rFonts w:ascii="Arial" w:cs="Arial" w:eastAsia="Arial" w:hAnsi="Arial"/>
          <w:sz w:val="12"/>
          <w:szCs w:val="12"/>
          <w:color w:val="auto"/>
        </w:rPr>
      </w:pPr>
      <w:r>
        <w:rPr>
          <w:rFonts w:ascii="Arial" w:cs="Arial" w:eastAsia="Arial" w:hAnsi="Arial"/>
          <w:sz w:val="12"/>
          <w:szCs w:val="12"/>
          <w:color w:val="auto"/>
        </w:rPr>
        <w:t>Except as set forth on Section 3.12(f) of the Company Disclosure Schedule, no funding, facilities, or personnel of any Governmental Authority were used, directly or indirectly, to develop or create, in whole or in part, any Company IP Rights in which the Company or any of its Subsidiaries has an ownership interest.</w:t>
      </w:r>
    </w:p>
    <w:p>
      <w:pPr>
        <w:spacing w:after="0" w:line="50" w:lineRule="exact"/>
        <w:rPr>
          <w:rFonts w:ascii="Arial" w:cs="Arial" w:eastAsia="Arial" w:hAnsi="Arial"/>
          <w:sz w:val="12"/>
          <w:szCs w:val="12"/>
          <w:color w:val="auto"/>
        </w:rPr>
      </w:pPr>
    </w:p>
    <w:p>
      <w:pPr>
        <w:ind w:left="1120" w:right="999" w:firstLine="642"/>
        <w:spacing w:after="0" w:line="264" w:lineRule="auto"/>
        <w:tabs>
          <w:tab w:leader="none" w:pos="2015" w:val="left"/>
        </w:tabs>
        <w:numPr>
          <w:ilvl w:val="1"/>
          <w:numId w:val="41"/>
        </w:numPr>
        <w:rPr>
          <w:rFonts w:ascii="Arial" w:cs="Arial" w:eastAsia="Arial" w:hAnsi="Arial"/>
          <w:sz w:val="12"/>
          <w:szCs w:val="12"/>
          <w:color w:val="auto"/>
        </w:rPr>
      </w:pPr>
      <w:r>
        <w:rPr>
          <w:rFonts w:ascii="Arial" w:cs="Arial" w:eastAsia="Arial" w:hAnsi="Arial"/>
          <w:sz w:val="12"/>
          <w:szCs w:val="12"/>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w:t>
      </w:r>
    </w:p>
    <w:p>
      <w:pPr>
        <w:spacing w:after="0" w:line="50" w:lineRule="exact"/>
        <w:rPr>
          <w:rFonts w:ascii="Arial" w:cs="Arial" w:eastAsia="Arial" w:hAnsi="Arial"/>
          <w:sz w:val="12"/>
          <w:szCs w:val="12"/>
          <w:color w:val="auto"/>
        </w:rPr>
      </w:pPr>
    </w:p>
    <w:p>
      <w:pPr>
        <w:ind w:left="1120" w:right="1059" w:firstLine="642"/>
        <w:spacing w:after="0" w:line="277" w:lineRule="auto"/>
        <w:tabs>
          <w:tab w:leader="none" w:pos="2050" w:val="left"/>
        </w:tabs>
        <w:numPr>
          <w:ilvl w:val="1"/>
          <w:numId w:val="41"/>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assigned or otherwise transferred ownership of, or agreed to assign or otherwise transfer ownership of, any Company IP Rights to any other Person.</w:t>
      </w:r>
    </w:p>
    <w:p>
      <w:pPr>
        <w:spacing w:after="0" w:line="42" w:lineRule="exact"/>
        <w:rPr>
          <w:rFonts w:ascii="Arial" w:cs="Arial" w:eastAsia="Arial" w:hAnsi="Arial"/>
          <w:sz w:val="12"/>
          <w:szCs w:val="12"/>
          <w:color w:val="auto"/>
        </w:rPr>
      </w:pPr>
    </w:p>
    <w:p>
      <w:pPr>
        <w:ind w:left="1120" w:right="859" w:firstLine="642"/>
        <w:spacing w:after="0" w:line="277" w:lineRule="auto"/>
        <w:tabs>
          <w:tab w:leader="none" w:pos="2082" w:val="left"/>
        </w:tabs>
        <w:numPr>
          <w:ilvl w:val="1"/>
          <w:numId w:val="41"/>
        </w:numPr>
        <w:rPr>
          <w:rFonts w:ascii="Arial" w:cs="Arial" w:eastAsia="Arial" w:hAnsi="Arial"/>
          <w:sz w:val="12"/>
          <w:szCs w:val="12"/>
          <w:color w:val="auto"/>
        </w:rPr>
      </w:pPr>
      <w:r>
        <w:rPr>
          <w:rFonts w:ascii="Arial" w:cs="Arial" w:eastAsia="Arial" w:hAnsi="Arial"/>
          <w:sz w:val="12"/>
          <w:szCs w:val="12"/>
          <w:color w:val="auto"/>
        </w:rPr>
        <w:t>To the Knowledge of the Company, the Company IP Rights constitute all Intellectual Property necessary for the Company and its Subsidiaries to conduct its business as currently conducted and planned to be conducted.</w:t>
      </w:r>
    </w:p>
    <w:p>
      <w:pPr>
        <w:spacing w:after="0" w:line="114" w:lineRule="exact"/>
        <w:rPr>
          <w:rFonts w:ascii="Arial" w:cs="Arial" w:eastAsia="Arial" w:hAnsi="Arial"/>
          <w:sz w:val="12"/>
          <w:szCs w:val="12"/>
          <w:color w:val="auto"/>
        </w:rPr>
      </w:pPr>
    </w:p>
    <w:p>
      <w:pPr>
        <w:ind w:left="840" w:right="859" w:firstLine="654"/>
        <w:spacing w:after="0" w:line="286" w:lineRule="auto"/>
        <w:tabs>
          <w:tab w:leader="none" w:pos="1761"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Company has delivered or made available to Zordich, a complete and accurate copy of all Company IP Rights Agreements. With respect to each of the Company IP Rights Agreements: (i) each such agreement is valid and binding on the Company or its Subsidiaries, as applicable, and in full force and effect, (ii) the Company has not received any written notice of termination or cancellation under such agreement, or received any written notice of breach or default under such agreement, which breach has not been cured or waived and (iii) neither the Company nor its Subsidiaries, and to the Knowledge of the Company, no other party to any such agreement, is in breach or default thereof in any material respect.</w:t>
      </w:r>
    </w:p>
    <w:p>
      <w:pPr>
        <w:spacing w:after="0" w:line="113" w:lineRule="exact"/>
        <w:rPr>
          <w:rFonts w:ascii="Arial" w:cs="Arial" w:eastAsia="Arial" w:hAnsi="Arial"/>
          <w:sz w:val="11"/>
          <w:szCs w:val="11"/>
          <w:color w:val="auto"/>
        </w:rPr>
      </w:pPr>
    </w:p>
    <w:p>
      <w:pPr>
        <w:ind w:left="840" w:right="879" w:firstLine="654"/>
        <w:spacing w:after="0" w:line="256" w:lineRule="auto"/>
        <w:tabs>
          <w:tab w:leader="none" w:pos="1761"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manufacture, marketing, license, sale, offering for sale, importation, use or intended use or other disposal of any product or technology currently licensed or sold or under development by the Company or any of its Subsidiaries does not violate any license or agreement between the Company or its Subsidiaries and any third party, and, to the Knowledge of the Company, does not infringe or misappropriate any registered Intellectual Property right of any other party, which infringement or misappropriation would reasonably be expected to have a Company Material Adverse Effect. To the Knowledge of the Company, no third party is infringing upon, misappropriating or otherwise violating any license or agreement with the Company or its Subsidiaries relating to any Company IP Rights.</w:t>
      </w:r>
    </w:p>
    <w:p>
      <w:pPr>
        <w:spacing w:after="0" w:line="127" w:lineRule="exact"/>
        <w:rPr>
          <w:rFonts w:ascii="Arial" w:cs="Arial" w:eastAsia="Arial" w:hAnsi="Arial"/>
          <w:sz w:val="12"/>
          <w:szCs w:val="12"/>
          <w:color w:val="auto"/>
        </w:rPr>
      </w:pPr>
    </w:p>
    <w:p>
      <w:pPr>
        <w:ind w:left="840" w:right="1039" w:firstLine="654"/>
        <w:spacing w:after="0" w:line="277" w:lineRule="auto"/>
        <w:tabs>
          <w:tab w:leader="none" w:pos="1735"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There is no current or pending Legal Proceeding (including, but not limited to, opposition, interference or other proceeding in any patent or other government office) contesting the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9019"/>
          </w:cols>
          <w:pgMar w:left="1440" w:top="230" w:right="1440" w:bottom="1440" w:gutter="0" w:footer="0" w:header="0"/>
        </w:sectPr>
      </w:pPr>
    </w:p>
    <w:bookmarkStart w:id="42" w:name="page43"/>
    <w:bookmarkEnd w:id="42"/>
    <w:p>
      <w:pPr>
        <w:ind w:left="840" w:right="959"/>
        <w:spacing w:after="0" w:line="28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validity, enforceability, claim construction, ownership or right to use, sell, offer for sale, license or dispose of any Company IP Rights. Neither the Company nor any of its Subsidiaries has received any notice asserting that any Company IP Rights or the proposed use, sale, offer for sale, license or disposition of products, methods, or processes claimed or covered thereunder conflicts with or infringes or misappropriates or will conflict with or infringe or misappropriate the rights of any other Person or that the Company or any of its Subsidiaries have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13" w:lineRule="exact"/>
        <w:rPr>
          <w:sz w:val="20"/>
          <w:szCs w:val="20"/>
          <w:color w:val="auto"/>
        </w:rPr>
      </w:pPr>
    </w:p>
    <w:p>
      <w:pPr>
        <w:ind w:left="840" w:right="899" w:firstLine="654"/>
        <w:spacing w:after="0" w:line="260" w:lineRule="auto"/>
        <w:tabs>
          <w:tab w:leader="none" w:pos="1737" w:val="left"/>
        </w:tabs>
        <w:numPr>
          <w:ilvl w:val="0"/>
          <w:numId w:val="43"/>
        </w:numPr>
        <w:rPr>
          <w:rFonts w:ascii="Arial" w:cs="Arial" w:eastAsia="Arial" w:hAnsi="Arial"/>
          <w:sz w:val="12"/>
          <w:szCs w:val="12"/>
          <w:color w:val="auto"/>
        </w:rPr>
      </w:pPr>
      <w:r>
        <w:rPr>
          <w:rFonts w:ascii="Arial" w:cs="Arial" w:eastAsia="Arial" w:hAnsi="Arial"/>
          <w:sz w:val="12"/>
          <w:szCs w:val="12"/>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24" w:lineRule="exact"/>
        <w:rPr>
          <w:rFonts w:ascii="Arial" w:cs="Arial" w:eastAsia="Arial" w:hAnsi="Arial"/>
          <w:sz w:val="12"/>
          <w:szCs w:val="12"/>
          <w:color w:val="auto"/>
        </w:rPr>
      </w:pPr>
    </w:p>
    <w:p>
      <w:pPr>
        <w:ind w:left="840" w:right="859" w:firstLine="654"/>
        <w:spacing w:after="0" w:line="286" w:lineRule="auto"/>
        <w:tabs>
          <w:tab w:leader="none" w:pos="1764" w:val="left"/>
        </w:tabs>
        <w:numPr>
          <w:ilvl w:val="0"/>
          <w:numId w:val="43"/>
        </w:numPr>
        <w:rPr>
          <w:rFonts w:ascii="Arial" w:cs="Arial" w:eastAsia="Arial" w:hAnsi="Arial"/>
          <w:sz w:val="11"/>
          <w:szCs w:val="11"/>
          <w:color w:val="auto"/>
        </w:rPr>
      </w:pPr>
      <w:r>
        <w:rPr>
          <w:rFonts w:ascii="Arial" w:cs="Arial" w:eastAsia="Arial" w:hAnsi="Arial"/>
          <w:sz w:val="11"/>
          <w:szCs w:val="11"/>
          <w:color w:val="auto"/>
        </w:rPr>
        <w:t>Except as set forth on Schedule 3.12(k) of the Company Disclosure Schedule, 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w:t>
      </w:r>
    </w:p>
    <w:p>
      <w:pPr>
        <w:spacing w:after="0" w:line="113" w:lineRule="exact"/>
        <w:rPr>
          <w:rFonts w:ascii="Arial" w:cs="Arial" w:eastAsia="Arial" w:hAnsi="Arial"/>
          <w:sz w:val="11"/>
          <w:szCs w:val="11"/>
          <w:color w:val="auto"/>
        </w:rPr>
      </w:pPr>
    </w:p>
    <w:p>
      <w:pPr>
        <w:ind w:left="840" w:right="899" w:firstLine="654"/>
        <w:spacing w:after="0" w:line="256" w:lineRule="auto"/>
        <w:tabs>
          <w:tab w:leader="none" w:pos="1737"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Except as set forth in Sections 3.12(l) of the Company Disclosure Schedule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27" w:lineRule="exact"/>
        <w:rPr>
          <w:rFonts w:ascii="Arial" w:cs="Arial" w:eastAsia="Arial" w:hAnsi="Arial"/>
          <w:sz w:val="12"/>
          <w:szCs w:val="12"/>
          <w:color w:val="auto"/>
        </w:rPr>
      </w:pPr>
    </w:p>
    <w:p>
      <w:pPr>
        <w:ind w:left="840" w:right="819" w:firstLine="654"/>
        <w:spacing w:after="0" w:line="286" w:lineRule="auto"/>
        <w:tabs>
          <w:tab w:leader="none" w:pos="1797" w:val="left"/>
        </w:tabs>
        <w:numPr>
          <w:ilvl w:val="0"/>
          <w:numId w:val="43"/>
        </w:numPr>
        <w:rPr>
          <w:rFonts w:ascii="Arial" w:cs="Arial" w:eastAsia="Arial" w:hAnsi="Arial"/>
          <w:sz w:val="11"/>
          <w:szCs w:val="11"/>
          <w:color w:val="auto"/>
        </w:rPr>
      </w:pPr>
      <w:r>
        <w:rPr>
          <w:rFonts w:ascii="Arial" w:cs="Arial" w:eastAsia="Arial" w:hAnsi="Arial"/>
          <w:sz w:val="11"/>
          <w:szCs w:val="11"/>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85"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3.13</w:t>
      </w:r>
      <w:r>
        <w:rPr>
          <w:sz w:val="20"/>
          <w:szCs w:val="20"/>
          <w:color w:val="auto"/>
        </w:rPr>
        <w:tab/>
      </w:r>
      <w:r>
        <w:rPr>
          <w:rFonts w:ascii="Arial" w:cs="Arial" w:eastAsia="Arial" w:hAnsi="Arial"/>
          <w:sz w:val="10"/>
          <w:szCs w:val="10"/>
          <w:u w:val="single" w:color="auto"/>
          <w:color w:val="auto"/>
        </w:rPr>
        <w:t>Agreements, Contracts and Commitments</w:t>
      </w:r>
      <w:r>
        <w:rPr>
          <w:rFonts w:ascii="Arial" w:cs="Arial" w:eastAsia="Arial" w:hAnsi="Arial"/>
          <w:sz w:val="10"/>
          <w:szCs w:val="10"/>
          <w:color w:val="auto"/>
        </w:rPr>
        <w:t>.</w:t>
      </w:r>
    </w:p>
    <w:p>
      <w:pPr>
        <w:spacing w:after="0" w:line="79" w:lineRule="exact"/>
        <w:rPr>
          <w:sz w:val="20"/>
          <w:szCs w:val="20"/>
          <w:color w:val="auto"/>
        </w:rPr>
      </w:pPr>
    </w:p>
    <w:p>
      <w:pPr>
        <w:ind w:left="840" w:right="839" w:firstLine="654"/>
        <w:spacing w:after="0" w:line="277" w:lineRule="auto"/>
        <w:tabs>
          <w:tab w:leader="none" w:pos="1757" w:val="left"/>
        </w:tabs>
        <w:numPr>
          <w:ilvl w:val="0"/>
          <w:numId w:val="44"/>
        </w:numPr>
        <w:rPr>
          <w:rFonts w:ascii="Arial" w:cs="Arial" w:eastAsia="Arial" w:hAnsi="Arial"/>
          <w:sz w:val="12"/>
          <w:szCs w:val="12"/>
          <w:color w:val="auto"/>
        </w:rPr>
      </w:pPr>
      <w:r>
        <w:rPr>
          <w:rFonts w:ascii="Arial" w:cs="Arial" w:eastAsia="Arial" w:hAnsi="Arial"/>
          <w:sz w:val="12"/>
          <w:szCs w:val="12"/>
          <w:color w:val="auto"/>
        </w:rPr>
        <w:t>Section 3.13(a) of the Company Disclosure Schedule lists the following Company Contracts in effect as of the date of this Agreement (each, a “</w:t>
      </w:r>
      <w:r>
        <w:rPr>
          <w:rFonts w:ascii="Arial" w:cs="Arial" w:eastAsia="Arial" w:hAnsi="Arial"/>
          <w:sz w:val="12"/>
          <w:szCs w:val="12"/>
          <w:b w:val="1"/>
          <w:bCs w:val="1"/>
          <w:color w:val="auto"/>
        </w:rPr>
        <w:t>Company Material Contract</w:t>
      </w:r>
      <w:r>
        <w:rPr>
          <w:rFonts w:ascii="Arial" w:cs="Arial" w:eastAsia="Arial" w:hAnsi="Arial"/>
          <w:sz w:val="12"/>
          <w:szCs w:val="12"/>
          <w:color w:val="auto"/>
        </w:rPr>
        <w:t>” and collectively, the “</w:t>
      </w:r>
      <w:r>
        <w:rPr>
          <w:rFonts w:ascii="Arial" w:cs="Arial" w:eastAsia="Arial" w:hAnsi="Arial"/>
          <w:sz w:val="12"/>
          <w:szCs w:val="12"/>
          <w:b w:val="1"/>
          <w:bCs w:val="1"/>
          <w:color w:val="auto"/>
        </w:rPr>
        <w:t>Company Material Contracts</w:t>
      </w:r>
      <w:r>
        <w:rPr>
          <w:rFonts w:ascii="Arial" w:cs="Arial" w:eastAsia="Arial" w:hAnsi="Arial"/>
          <w:sz w:val="12"/>
          <w:szCs w:val="12"/>
          <w:color w:val="auto"/>
        </w:rPr>
        <w:t>”):</w:t>
      </w:r>
    </w:p>
    <w:p>
      <w:pPr>
        <w:spacing w:after="0" w:line="42" w:lineRule="exact"/>
        <w:rPr>
          <w:rFonts w:ascii="Arial" w:cs="Arial" w:eastAsia="Arial" w:hAnsi="Arial"/>
          <w:sz w:val="12"/>
          <w:szCs w:val="12"/>
          <w:color w:val="auto"/>
        </w:rPr>
      </w:pPr>
    </w:p>
    <w:p>
      <w:pPr>
        <w:ind w:left="1120" w:right="1039" w:firstLine="642"/>
        <w:spacing w:after="0" w:line="277" w:lineRule="auto"/>
        <w:tabs>
          <w:tab w:leader="none" w:pos="1990" w:val="left"/>
        </w:tabs>
        <w:numPr>
          <w:ilvl w:val="1"/>
          <w:numId w:val="44"/>
        </w:numPr>
        <w:rPr>
          <w:rFonts w:ascii="Arial" w:cs="Arial" w:eastAsia="Arial" w:hAnsi="Arial"/>
          <w:sz w:val="12"/>
          <w:szCs w:val="12"/>
          <w:color w:val="auto"/>
        </w:rPr>
      </w:pPr>
      <w:r>
        <w:rPr>
          <w:rFonts w:ascii="Arial" w:cs="Arial" w:eastAsia="Arial" w:hAnsi="Arial"/>
          <w:sz w:val="12"/>
          <w:szCs w:val="12"/>
          <w:color w:val="auto"/>
        </w:rPr>
        <w:t>each Company Contract relating to any material bonus, deferred compensation, severance, incentive compensation, pension, profit-sharing or retirement plans, or any other employee benefit plans or arrangements;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9019"/>
          </w:cols>
          <w:pgMar w:left="1440" w:top="230" w:right="1440" w:bottom="1440" w:gutter="0" w:footer="0" w:header="0"/>
        </w:sectPr>
      </w:pPr>
    </w:p>
    <w:bookmarkStart w:id="43" w:name="page44"/>
    <w:bookmarkEnd w:id="43"/>
    <w:p>
      <w:pPr>
        <w:ind w:left="1120" w:right="839" w:firstLine="642"/>
        <w:spacing w:after="0" w:line="286" w:lineRule="auto"/>
        <w:tabs>
          <w:tab w:leader="none" w:pos="2024" w:val="left"/>
        </w:tabs>
        <w:numPr>
          <w:ilvl w:val="0"/>
          <w:numId w:val="4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Company Contract requiring payments by the Company after the date of this Agreement in excess of $100,000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days’ or less notice without liability, except to the extent general principles of wrongful termination Law may limit the Company’s, its Subsidiaries’ or such successor’s ability to terminate employees at will;</w:t>
      </w:r>
    </w:p>
    <w:p>
      <w:pPr>
        <w:spacing w:after="0" w:line="40" w:lineRule="exact"/>
        <w:rPr>
          <w:rFonts w:ascii="Arial" w:cs="Arial" w:eastAsia="Arial" w:hAnsi="Arial"/>
          <w:sz w:val="11"/>
          <w:szCs w:val="11"/>
          <w:color w:val="auto"/>
        </w:rPr>
      </w:pPr>
    </w:p>
    <w:p>
      <w:pPr>
        <w:jc w:val="both"/>
        <w:ind w:left="1120" w:right="999" w:firstLine="642"/>
        <w:spacing w:after="0" w:line="290" w:lineRule="auto"/>
        <w:tabs>
          <w:tab w:leader="none" w:pos="2057" w:val="left"/>
        </w:tabs>
        <w:numPr>
          <w:ilvl w:val="0"/>
          <w:numId w:val="45"/>
        </w:numPr>
        <w:rPr>
          <w:rFonts w:ascii="Arial" w:cs="Arial" w:eastAsia="Arial" w:hAnsi="Arial"/>
          <w:sz w:val="11"/>
          <w:szCs w:val="11"/>
          <w:color w:val="auto"/>
        </w:rPr>
      </w:pPr>
      <w:r>
        <w:rPr>
          <w:rFonts w:ascii="Arial" w:cs="Arial" w:eastAsia="Arial" w:hAnsi="Arial"/>
          <w:sz w:val="11"/>
          <w:szCs w:val="11"/>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38" w:lineRule="exact"/>
        <w:rPr>
          <w:rFonts w:ascii="Arial" w:cs="Arial" w:eastAsia="Arial" w:hAnsi="Arial"/>
          <w:sz w:val="11"/>
          <w:szCs w:val="11"/>
          <w:color w:val="auto"/>
        </w:rPr>
      </w:pPr>
    </w:p>
    <w:p>
      <w:pPr>
        <w:ind w:left="2060" w:hanging="298"/>
        <w:spacing w:after="0"/>
        <w:tabs>
          <w:tab w:leader="none" w:pos="20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each Company Contract relating to any agreement of indemnification or guaranty not entered into in the Ordinary Course of</w:t>
      </w:r>
    </w:p>
    <w:p>
      <w:pPr>
        <w:spacing w:after="0" w:line="26" w:lineRule="exact"/>
        <w:rPr>
          <w:rFonts w:ascii="Arial" w:cs="Arial" w:eastAsia="Arial" w:hAnsi="Arial"/>
          <w:sz w:val="11"/>
          <w:szCs w:val="11"/>
          <w:color w:val="auto"/>
        </w:rPr>
      </w:pPr>
    </w:p>
    <w:p>
      <w:pPr>
        <w:ind w:left="1120"/>
        <w:spacing w:after="0"/>
        <w:rPr>
          <w:rFonts w:ascii="Arial" w:cs="Arial" w:eastAsia="Arial" w:hAnsi="Arial"/>
          <w:sz w:val="11"/>
          <w:szCs w:val="11"/>
          <w:color w:val="auto"/>
        </w:rPr>
      </w:pPr>
      <w:r>
        <w:rPr>
          <w:rFonts w:ascii="Arial" w:cs="Arial" w:eastAsia="Arial" w:hAnsi="Arial"/>
          <w:sz w:val="12"/>
          <w:szCs w:val="12"/>
          <w:color w:val="auto"/>
        </w:rPr>
        <w:t>Business;</w:t>
      </w:r>
    </w:p>
    <w:p>
      <w:pPr>
        <w:spacing w:after="0" w:line="69" w:lineRule="exact"/>
        <w:rPr>
          <w:rFonts w:ascii="Arial" w:cs="Arial" w:eastAsia="Arial" w:hAnsi="Arial"/>
          <w:sz w:val="11"/>
          <w:szCs w:val="11"/>
          <w:color w:val="auto"/>
        </w:rPr>
      </w:pPr>
    </w:p>
    <w:p>
      <w:pPr>
        <w:ind w:left="1120" w:right="979" w:firstLine="642"/>
        <w:spacing w:after="0" w:line="299" w:lineRule="auto"/>
        <w:tabs>
          <w:tab w:leader="none" w:pos="2017" w:val="left"/>
        </w:tabs>
        <w:numPr>
          <w:ilvl w:val="0"/>
          <w:numId w:val="45"/>
        </w:numPr>
        <w:rPr>
          <w:rFonts w:ascii="Arial" w:cs="Arial" w:eastAsia="Arial" w:hAnsi="Arial"/>
          <w:sz w:val="11"/>
          <w:szCs w:val="11"/>
          <w:color w:val="auto"/>
        </w:rPr>
      </w:pPr>
      <w:r>
        <w:rPr>
          <w:rFonts w:ascii="Arial" w:cs="Arial" w:eastAsia="Arial" w:hAnsi="Arial"/>
          <w:sz w:val="11"/>
          <w:szCs w:val="11"/>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32" w:lineRule="exact"/>
        <w:rPr>
          <w:rFonts w:ascii="Arial" w:cs="Arial" w:eastAsia="Arial" w:hAnsi="Arial"/>
          <w:sz w:val="11"/>
          <w:szCs w:val="11"/>
          <w:color w:val="auto"/>
        </w:rPr>
      </w:pPr>
    </w:p>
    <w:p>
      <w:pPr>
        <w:ind w:left="2060" w:hanging="298"/>
        <w:spacing w:after="0"/>
        <w:tabs>
          <w:tab w:leader="none" w:pos="20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each Company Contract relating to capital expenditures and requiring payments after the date of this Agreement in excess of</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$100,000 pursuant to its express terms and not cancelable without penalty;</w:t>
      </w:r>
    </w:p>
    <w:p>
      <w:pPr>
        <w:spacing w:after="0" w:line="70" w:lineRule="exact"/>
        <w:rPr>
          <w:sz w:val="20"/>
          <w:szCs w:val="20"/>
          <w:color w:val="auto"/>
        </w:rPr>
      </w:pPr>
    </w:p>
    <w:p>
      <w:pPr>
        <w:ind w:left="2080" w:hanging="318"/>
        <w:spacing w:after="0"/>
        <w:tabs>
          <w:tab w:leader="none" w:pos="20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each Company Contract relating to the disposition or acquisition of material assets or any ownership interest in any Entity;</w:t>
      </w:r>
    </w:p>
    <w:p>
      <w:pPr>
        <w:spacing w:after="0" w:line="90" w:lineRule="exact"/>
        <w:rPr>
          <w:rFonts w:ascii="Arial" w:cs="Arial" w:eastAsia="Arial" w:hAnsi="Arial"/>
          <w:sz w:val="11"/>
          <w:szCs w:val="11"/>
          <w:color w:val="auto"/>
        </w:rPr>
      </w:pPr>
    </w:p>
    <w:p>
      <w:pPr>
        <w:jc w:val="both"/>
        <w:ind w:left="1120" w:right="839" w:firstLine="642"/>
        <w:spacing w:after="0" w:line="341" w:lineRule="auto"/>
        <w:tabs>
          <w:tab w:leader="none" w:pos="2117" w:val="left"/>
        </w:tabs>
        <w:numPr>
          <w:ilvl w:val="0"/>
          <w:numId w:val="46"/>
        </w:numPr>
        <w:rPr>
          <w:rFonts w:ascii="Arial" w:cs="Arial" w:eastAsia="Arial" w:hAnsi="Arial"/>
          <w:sz w:val="10"/>
          <w:szCs w:val="10"/>
          <w:color w:val="auto"/>
        </w:rPr>
      </w:pPr>
      <w:r>
        <w:rPr>
          <w:rFonts w:ascii="Arial" w:cs="Arial" w:eastAsia="Arial" w:hAnsi="Arial"/>
          <w:sz w:val="10"/>
          <w:szCs w:val="10"/>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15" w:lineRule="exact"/>
        <w:rPr>
          <w:rFonts w:ascii="Arial" w:cs="Arial" w:eastAsia="Arial" w:hAnsi="Arial"/>
          <w:sz w:val="10"/>
          <w:szCs w:val="10"/>
          <w:color w:val="auto"/>
        </w:rPr>
      </w:pPr>
    </w:p>
    <w:p>
      <w:pPr>
        <w:ind w:left="1120" w:right="879" w:firstLine="642"/>
        <w:spacing w:after="0" w:line="282" w:lineRule="auto"/>
        <w:tabs>
          <w:tab w:leader="none" w:pos="2050" w:val="left"/>
        </w:tabs>
        <w:numPr>
          <w:ilvl w:val="0"/>
          <w:numId w:val="46"/>
        </w:numPr>
        <w:rPr>
          <w:rFonts w:ascii="Arial" w:cs="Arial" w:eastAsia="Arial" w:hAnsi="Arial"/>
          <w:sz w:val="11"/>
          <w:szCs w:val="11"/>
          <w:color w:val="auto"/>
        </w:rPr>
      </w:pPr>
      <w:r>
        <w:rPr>
          <w:rFonts w:ascii="Arial" w:cs="Arial" w:eastAsia="Arial" w:hAnsi="Arial"/>
          <w:sz w:val="11"/>
          <w:szCs w:val="11"/>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9019"/>
          </w:cols>
          <w:pgMar w:left="1440" w:top="230" w:right="1440" w:bottom="1440" w:gutter="0" w:footer="0" w:header="0"/>
        </w:sectPr>
      </w:pPr>
    </w:p>
    <w:bookmarkStart w:id="44" w:name="page45"/>
    <w:bookmarkEnd w:id="44"/>
    <w:p>
      <w:pPr>
        <w:ind w:left="1120" w:right="83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50" w:lineRule="exact"/>
        <w:rPr>
          <w:sz w:val="20"/>
          <w:szCs w:val="20"/>
          <w:color w:val="auto"/>
        </w:rPr>
      </w:pPr>
    </w:p>
    <w:p>
      <w:pPr>
        <w:ind w:left="1120" w:right="1019" w:firstLine="642"/>
        <w:spacing w:after="0" w:line="277" w:lineRule="auto"/>
        <w:tabs>
          <w:tab w:leader="none" w:pos="2017" w:val="left"/>
        </w:tabs>
        <w:numPr>
          <w:ilvl w:val="1"/>
          <w:numId w:val="47"/>
        </w:numPr>
        <w:rPr>
          <w:rFonts w:ascii="Arial" w:cs="Arial" w:eastAsia="Arial" w:hAnsi="Arial"/>
          <w:sz w:val="12"/>
          <w:szCs w:val="12"/>
          <w:color w:val="auto"/>
        </w:rPr>
      </w:pPr>
      <w:r>
        <w:rPr>
          <w:rFonts w:ascii="Arial" w:cs="Arial" w:eastAsia="Arial" w:hAnsi="Arial"/>
          <w:sz w:val="12"/>
          <w:szCs w:val="12"/>
          <w:color w:val="auto"/>
        </w:rPr>
        <w:t>each Company Contract with any Person, including any financial advisor, broker, finder, investment banker or other Person, providing advisory services to the Company in connection with the Contemplated Transactions;</w:t>
      </w:r>
    </w:p>
    <w:p>
      <w:pPr>
        <w:spacing w:after="0" w:line="42" w:lineRule="exact"/>
        <w:rPr>
          <w:rFonts w:ascii="Arial" w:cs="Arial" w:eastAsia="Arial" w:hAnsi="Arial"/>
          <w:sz w:val="12"/>
          <w:szCs w:val="12"/>
          <w:color w:val="auto"/>
        </w:rPr>
      </w:pPr>
    </w:p>
    <w:p>
      <w:pPr>
        <w:ind w:left="2060" w:hanging="298"/>
        <w:spacing w:after="0"/>
        <w:tabs>
          <w:tab w:leader="none" w:pos="2060" w:val="left"/>
        </w:tabs>
        <w:numPr>
          <w:ilvl w:val="1"/>
          <w:numId w:val="47"/>
        </w:numPr>
        <w:rPr>
          <w:rFonts w:ascii="Arial" w:cs="Arial" w:eastAsia="Arial" w:hAnsi="Arial"/>
          <w:sz w:val="12"/>
          <w:szCs w:val="12"/>
          <w:color w:val="auto"/>
        </w:rPr>
      </w:pPr>
      <w:r>
        <w:rPr>
          <w:rFonts w:ascii="Arial" w:cs="Arial" w:eastAsia="Arial" w:hAnsi="Arial"/>
          <w:sz w:val="12"/>
          <w:szCs w:val="12"/>
          <w:color w:val="auto"/>
        </w:rPr>
        <w:t>each Company Real Estate Lease;</w:t>
      </w:r>
    </w:p>
    <w:p>
      <w:pPr>
        <w:spacing w:after="0" w:line="78" w:lineRule="exact"/>
        <w:rPr>
          <w:rFonts w:ascii="Arial" w:cs="Arial" w:eastAsia="Arial" w:hAnsi="Arial"/>
          <w:sz w:val="12"/>
          <w:szCs w:val="12"/>
          <w:color w:val="auto"/>
        </w:rPr>
      </w:pPr>
    </w:p>
    <w:p>
      <w:pPr>
        <w:ind w:left="1120" w:right="1119" w:firstLine="642"/>
        <w:spacing w:after="0" w:line="324" w:lineRule="auto"/>
        <w:tabs>
          <w:tab w:leader="none" w:pos="2084" w:val="left"/>
        </w:tabs>
        <w:numPr>
          <w:ilvl w:val="1"/>
          <w:numId w:val="47"/>
        </w:numPr>
        <w:rPr>
          <w:rFonts w:ascii="Arial" w:cs="Arial" w:eastAsia="Arial" w:hAnsi="Arial"/>
          <w:sz w:val="11"/>
          <w:szCs w:val="11"/>
          <w:color w:val="auto"/>
        </w:rPr>
      </w:pPr>
      <w:r>
        <w:rPr>
          <w:rFonts w:ascii="Arial" w:cs="Arial" w:eastAsia="Arial" w:hAnsi="Arial"/>
          <w:sz w:val="11"/>
          <w:szCs w:val="11"/>
          <w:color w:val="auto"/>
        </w:rPr>
        <w:t>each Company Contract to which the Company is a party or by which any of its assets and properties is currently bound, which involves annual obligations of payment by, or annual payments to, the Company in excess of $100,000; or</w:t>
      </w:r>
    </w:p>
    <w:p>
      <w:pPr>
        <w:spacing w:after="0" w:line="19" w:lineRule="exact"/>
        <w:rPr>
          <w:rFonts w:ascii="Arial" w:cs="Arial" w:eastAsia="Arial" w:hAnsi="Arial"/>
          <w:sz w:val="11"/>
          <w:szCs w:val="11"/>
          <w:color w:val="auto"/>
        </w:rPr>
      </w:pPr>
    </w:p>
    <w:p>
      <w:pPr>
        <w:ind w:left="1120" w:right="899" w:firstLine="642"/>
        <w:spacing w:after="0" w:line="290" w:lineRule="auto"/>
        <w:tabs>
          <w:tab w:leader="none" w:pos="2117" w:val="left"/>
        </w:tabs>
        <w:numPr>
          <w:ilvl w:val="1"/>
          <w:numId w:val="47"/>
        </w:numPr>
        <w:rPr>
          <w:rFonts w:ascii="Arial" w:cs="Arial" w:eastAsia="Arial" w:hAnsi="Arial"/>
          <w:sz w:val="11"/>
          <w:szCs w:val="11"/>
          <w:color w:val="auto"/>
        </w:rPr>
      </w:pPr>
      <w:r>
        <w:rPr>
          <w:rFonts w:ascii="Arial" w:cs="Arial" w:eastAsia="Arial" w:hAnsi="Arial"/>
          <w:sz w:val="11"/>
          <w:szCs w:val="11"/>
          <w:color w:val="auto"/>
        </w:rPr>
        <w:t>any other Company Contract that is not terminable at will (with no penalty or payment) by the Company or its Subsidiaries, as applicable, and (A) which involves payment or receipt by the Company or its Subsidiaries after the date of this Agreement under any such agreement, contract or commitment of more than $100,000 in the aggregate, or obligations after the date of this Agreement in excess of $100,000 in the aggregate or (B) that is material to the business or operations of the Company and its Subsidiaries, taken as a whole.</w:t>
      </w:r>
    </w:p>
    <w:p>
      <w:pPr>
        <w:spacing w:after="0" w:line="110" w:lineRule="exact"/>
        <w:rPr>
          <w:rFonts w:ascii="Arial" w:cs="Arial" w:eastAsia="Arial" w:hAnsi="Arial"/>
          <w:sz w:val="11"/>
          <w:szCs w:val="11"/>
          <w:color w:val="auto"/>
        </w:rPr>
      </w:pPr>
    </w:p>
    <w:p>
      <w:pPr>
        <w:ind w:left="840" w:right="819" w:firstLine="654"/>
        <w:spacing w:after="0" w:line="280" w:lineRule="auto"/>
        <w:tabs>
          <w:tab w:leader="none" w:pos="1761"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 Company has delivered or made available to Zordich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16"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3.14</w:t>
      </w:r>
      <w:r>
        <w:rPr>
          <w:sz w:val="20"/>
          <w:szCs w:val="20"/>
          <w:color w:val="auto"/>
        </w:rPr>
        <w:tab/>
      </w:r>
      <w:r>
        <w:rPr>
          <w:rFonts w:ascii="Arial" w:cs="Arial" w:eastAsia="Arial" w:hAnsi="Arial"/>
          <w:sz w:val="10"/>
          <w:szCs w:val="10"/>
          <w:u w:val="single" w:color="auto"/>
          <w:color w:val="auto"/>
        </w:rPr>
        <w:t>Compliance; Permits; Restrictions</w:t>
      </w:r>
      <w:r>
        <w:rPr>
          <w:rFonts w:ascii="Arial" w:cs="Arial" w:eastAsia="Arial" w:hAnsi="Arial"/>
          <w:sz w:val="10"/>
          <w:szCs w:val="10"/>
          <w:color w:val="auto"/>
        </w:rPr>
        <w:t>.</w:t>
      </w:r>
    </w:p>
    <w:p>
      <w:pPr>
        <w:spacing w:after="0" w:line="151" w:lineRule="exact"/>
        <w:rPr>
          <w:sz w:val="20"/>
          <w:szCs w:val="20"/>
          <w:color w:val="auto"/>
        </w:rPr>
      </w:pPr>
    </w:p>
    <w:p>
      <w:pPr>
        <w:ind w:left="840" w:right="819" w:firstLine="654"/>
        <w:spacing w:after="0" w:line="255" w:lineRule="auto"/>
        <w:tabs>
          <w:tab w:leader="none" w:pos="1755"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Company and each of its Subsidiaries are, and have been, in material compliance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9019"/>
          </w:cols>
          <w:pgMar w:left="1440" w:top="230" w:right="1440" w:bottom="1440" w:gutter="0" w:footer="0" w:header="0"/>
        </w:sectPr>
      </w:pPr>
    </w:p>
    <w:bookmarkStart w:id="45" w:name="page46"/>
    <w:bookmarkEnd w:id="45"/>
    <w:p>
      <w:pPr>
        <w:ind w:left="840" w:right="879" w:firstLine="654"/>
        <w:spacing w:after="0" w:line="255" w:lineRule="auto"/>
        <w:tabs>
          <w:tab w:leader="none" w:pos="1761" w:val="left"/>
        </w:tabs>
        <w:numPr>
          <w:ilvl w:val="0"/>
          <w:numId w:val="5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Company and its Subsidiaries hold all required Governmental Authorizations which are material to the operation of the business of the Company and its Subsidiaries as currently conducted (the “</w:t>
      </w:r>
      <w:r>
        <w:rPr>
          <w:rFonts w:ascii="Arial" w:cs="Arial" w:eastAsia="Arial" w:hAnsi="Arial"/>
          <w:sz w:val="12"/>
          <w:szCs w:val="12"/>
          <w:b w:val="1"/>
          <w:bCs w:val="1"/>
          <w:color w:val="auto"/>
        </w:rPr>
        <w:t>Company Permits</w:t>
      </w:r>
      <w:r>
        <w:rPr>
          <w:rFonts w:ascii="Arial" w:cs="Arial" w:eastAsia="Arial" w:hAnsi="Arial"/>
          <w:sz w:val="12"/>
          <w:szCs w:val="12"/>
          <w:color w:val="auto"/>
        </w:rPr>
        <w:t>”). Section 3.14(b) of the Company Disclosure Schedule identifies each Company Permit. Each of the Company and its Subsidiaries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129" w:lineRule="exact"/>
        <w:rPr>
          <w:rFonts w:ascii="Arial" w:cs="Arial" w:eastAsia="Arial" w:hAnsi="Arial"/>
          <w:sz w:val="12"/>
          <w:szCs w:val="12"/>
          <w:color w:val="auto"/>
        </w:rPr>
      </w:pPr>
    </w:p>
    <w:p>
      <w:pPr>
        <w:ind w:left="840" w:right="859" w:firstLine="654"/>
        <w:spacing w:after="0" w:line="286" w:lineRule="auto"/>
        <w:tabs>
          <w:tab w:leader="none" w:pos="1755"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There are no Legal Proceedings pending or, to the Knowledge of the Company, threatened with respect to an alleged material violation by the Company or any of its Subsidiaries of the Federal Food, Drug, and Cosmetic Act (“</w:t>
      </w:r>
      <w:r>
        <w:rPr>
          <w:rFonts w:ascii="Arial" w:cs="Arial" w:eastAsia="Arial" w:hAnsi="Arial"/>
          <w:sz w:val="11"/>
          <w:szCs w:val="11"/>
          <w:b w:val="1"/>
          <w:bCs w:val="1"/>
          <w:color w:val="auto"/>
        </w:rPr>
        <w:t>FDCA</w:t>
      </w:r>
      <w:r>
        <w:rPr>
          <w:rFonts w:ascii="Arial" w:cs="Arial" w:eastAsia="Arial" w:hAnsi="Arial"/>
          <w:sz w:val="11"/>
          <w:szCs w:val="11"/>
          <w:color w:val="auto"/>
        </w:rPr>
        <w:t>”), the Public Health Service Act, Food and Drug Administration (“</w:t>
      </w:r>
      <w:r>
        <w:rPr>
          <w:rFonts w:ascii="Arial" w:cs="Arial" w:eastAsia="Arial" w:hAnsi="Arial"/>
          <w:sz w:val="11"/>
          <w:szCs w:val="11"/>
          <w:b w:val="1"/>
          <w:bCs w:val="1"/>
          <w:color w:val="auto"/>
        </w:rPr>
        <w:t>FDA</w:t>
      </w:r>
      <w:r>
        <w:rPr>
          <w:rFonts w:ascii="Arial" w:cs="Arial" w:eastAsia="Arial" w:hAnsi="Arial"/>
          <w:sz w:val="11"/>
          <w:szCs w:val="11"/>
          <w:color w:val="auto"/>
        </w:rPr>
        <w:t>”) regulations adopted thereunder, the Controlled Substance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w:t>
      </w:r>
      <w:r>
        <w:rPr>
          <w:rFonts w:ascii="Arial" w:cs="Arial" w:eastAsia="Arial" w:hAnsi="Arial"/>
          <w:sz w:val="11"/>
          <w:szCs w:val="11"/>
          <w:b w:val="1"/>
          <w:bCs w:val="1"/>
          <w:color w:val="auto"/>
        </w:rPr>
        <w:t>Drug Regulatory Agency</w:t>
      </w:r>
      <w:r>
        <w:rPr>
          <w:rFonts w:ascii="Arial" w:cs="Arial" w:eastAsia="Arial" w:hAnsi="Arial"/>
          <w:sz w:val="11"/>
          <w:szCs w:val="11"/>
          <w:color w:val="auto"/>
        </w:rPr>
        <w:t>”).</w:t>
      </w:r>
    </w:p>
    <w:p>
      <w:pPr>
        <w:spacing w:after="0" w:line="113" w:lineRule="exact"/>
        <w:rPr>
          <w:rFonts w:ascii="Arial" w:cs="Arial" w:eastAsia="Arial" w:hAnsi="Arial"/>
          <w:sz w:val="11"/>
          <w:szCs w:val="11"/>
          <w:color w:val="auto"/>
        </w:rPr>
      </w:pPr>
    </w:p>
    <w:p>
      <w:pPr>
        <w:ind w:left="840" w:right="879" w:firstLine="654"/>
        <w:spacing w:after="0" w:line="277" w:lineRule="auto"/>
        <w:tabs>
          <w:tab w:leader="none" w:pos="1761"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1"/>
          <w:szCs w:val="11"/>
          <w:b w:val="1"/>
          <w:bCs w:val="1"/>
          <w:color w:val="auto"/>
        </w:rPr>
        <w:t>Company Product Candidates</w:t>
      </w:r>
      <w:r>
        <w:rPr>
          <w:rFonts w:ascii="Arial" w:cs="Arial" w:eastAsia="Arial" w:hAnsi="Arial"/>
          <w:sz w:val="11"/>
          <w:szCs w:val="11"/>
          <w:color w:val="auto"/>
        </w:rPr>
        <w:t>”) (collectively, the “</w:t>
      </w:r>
      <w:r>
        <w:rPr>
          <w:rFonts w:ascii="Arial" w:cs="Arial" w:eastAsia="Arial" w:hAnsi="Arial"/>
          <w:sz w:val="11"/>
          <w:szCs w:val="11"/>
          <w:b w:val="1"/>
          <w:bCs w:val="1"/>
          <w:color w:val="auto"/>
        </w:rPr>
        <w:t>Company Regulatory Permits</w:t>
      </w:r>
      <w:r>
        <w:rPr>
          <w:rFonts w:ascii="Arial" w:cs="Arial" w:eastAsia="Arial" w:hAnsi="Arial"/>
          <w:sz w:val="11"/>
          <w:szCs w:val="11"/>
          <w:color w:val="auto"/>
        </w:rPr>
        <w:t>”) and no such Company Regulatory Permit has been (i) revoked, withdrawn, suspended, cancelled or terminated or (ii) modified in any adverse manner, other than immaterial adverse modifications. The Company and each of its Subsidiaries have timely maintained and are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Zordich all information requested by Zordich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119" w:lineRule="exact"/>
        <w:rPr>
          <w:rFonts w:ascii="Arial" w:cs="Arial" w:eastAsia="Arial" w:hAnsi="Arial"/>
          <w:sz w:val="11"/>
          <w:szCs w:val="11"/>
          <w:color w:val="auto"/>
        </w:rPr>
      </w:pPr>
    </w:p>
    <w:p>
      <w:pPr>
        <w:ind w:left="840" w:right="839" w:firstLine="654"/>
        <w:spacing w:after="0" w:line="260" w:lineRule="auto"/>
        <w:tabs>
          <w:tab w:leader="none" w:pos="175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in all</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9019"/>
          </w:cols>
          <w:pgMar w:left="1440" w:top="230" w:right="1440"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material respects with the applicable regulations of the Drug Regulatory Agencies and other applicable Law, including 21 C.F.R. Parts 50, 54, 56, 58 and</w:t>
      </w:r>
    </w:p>
    <w:p>
      <w:pPr>
        <w:spacing w:after="0" w:line="38" w:lineRule="exact"/>
        <w:rPr>
          <w:sz w:val="20"/>
          <w:szCs w:val="20"/>
          <w:color w:val="auto"/>
        </w:rPr>
      </w:pPr>
    </w:p>
    <w:p>
      <w:pPr>
        <w:ind w:left="840" w:right="919" w:hanging="9"/>
        <w:spacing w:after="0" w:line="252" w:lineRule="auto"/>
        <w:tabs>
          <w:tab w:leader="none" w:pos="1081" w:val="left"/>
        </w:tabs>
        <w:numPr>
          <w:ilvl w:val="0"/>
          <w:numId w:val="51"/>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32" w:lineRule="exact"/>
        <w:rPr>
          <w:rFonts w:ascii="Arial" w:cs="Arial" w:eastAsia="Arial" w:hAnsi="Arial"/>
          <w:sz w:val="12"/>
          <w:szCs w:val="12"/>
          <w:color w:val="auto"/>
        </w:rPr>
      </w:pPr>
    </w:p>
    <w:p>
      <w:pPr>
        <w:ind w:left="840" w:right="839" w:firstLine="654"/>
        <w:spacing w:after="0" w:line="278" w:lineRule="auto"/>
        <w:tabs>
          <w:tab w:leader="none" w:pos="1744" w:val="left"/>
        </w:tabs>
        <w:numPr>
          <w:ilvl w:val="1"/>
          <w:numId w:val="51"/>
        </w:numPr>
        <w:rPr>
          <w:rFonts w:ascii="Arial" w:cs="Arial" w:eastAsia="Arial" w:hAnsi="Arial"/>
          <w:sz w:val="11"/>
          <w:szCs w:val="11"/>
          <w:color w:val="auto"/>
        </w:rPr>
      </w:pPr>
      <w:r>
        <w:rPr>
          <w:rFonts w:ascii="Arial" w:cs="Arial" w:eastAsia="Arial" w:hAnsi="Arial"/>
          <w:sz w:val="11"/>
          <w:szCs w:val="11"/>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and to the Knowledge of the Company, any contract manufacturer with respect to any Company Product Candidate, or any of their respective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119" w:lineRule="exact"/>
        <w:rPr>
          <w:rFonts w:ascii="Arial" w:cs="Arial" w:eastAsia="Arial" w:hAnsi="Arial"/>
          <w:sz w:val="11"/>
          <w:szCs w:val="11"/>
          <w:color w:val="auto"/>
        </w:rPr>
      </w:pPr>
    </w:p>
    <w:p>
      <w:pPr>
        <w:ind w:left="840" w:right="879" w:firstLine="654"/>
        <w:spacing w:after="0" w:line="257" w:lineRule="auto"/>
        <w:tabs>
          <w:tab w:leader="none" w:pos="1757" w:val="left"/>
        </w:tabs>
        <w:numPr>
          <w:ilvl w:val="1"/>
          <w:numId w:val="51"/>
        </w:numPr>
        <w:rPr>
          <w:rFonts w:ascii="Arial" w:cs="Arial" w:eastAsia="Arial" w:hAnsi="Arial"/>
          <w:sz w:val="12"/>
          <w:szCs w:val="12"/>
          <w:color w:val="auto"/>
        </w:rPr>
      </w:pPr>
      <w:r>
        <w:rPr>
          <w:rFonts w:ascii="Arial" w:cs="Arial" w:eastAsia="Arial" w:hAnsi="Arial"/>
          <w:sz w:val="12"/>
          <w:szCs w:val="12"/>
          <w:color w:val="auto"/>
        </w:rPr>
        <w:t>All manufacturing operations conducted by, or to the Knowledge of the Company, for the benefit of, the Company or its Subsidiaries in connection with any Company Product Candidate, since January 1, 2017, have been and are being conducted in compliance in all material respects with applicable Laws, including the FDA’s standards for current good manufacturing practices, including applicable requirements contains in 21 C.F.R. Parts 210, 211, 600-680, and 1271, and the respective counterparts thereof promulgated by Governmental Authorities in countries outside the United States.</w:t>
      </w:r>
    </w:p>
    <w:p>
      <w:pPr>
        <w:spacing w:after="0" w:line="127" w:lineRule="exact"/>
        <w:rPr>
          <w:rFonts w:ascii="Arial" w:cs="Arial" w:eastAsia="Arial" w:hAnsi="Arial"/>
          <w:sz w:val="12"/>
          <w:szCs w:val="12"/>
          <w:color w:val="auto"/>
        </w:rPr>
      </w:pPr>
    </w:p>
    <w:p>
      <w:pPr>
        <w:ind w:left="840" w:right="839" w:firstLine="654"/>
        <w:spacing w:after="0" w:line="256" w:lineRule="auto"/>
        <w:tabs>
          <w:tab w:leader="none" w:pos="1764" w:val="left"/>
        </w:tabs>
        <w:numPr>
          <w:ilvl w:val="1"/>
          <w:numId w:val="51"/>
        </w:numPr>
        <w:rPr>
          <w:rFonts w:ascii="Arial" w:cs="Arial" w:eastAsia="Arial" w:hAnsi="Arial"/>
          <w:sz w:val="12"/>
          <w:szCs w:val="12"/>
          <w:color w:val="auto"/>
        </w:rPr>
      </w:pPr>
      <w:r>
        <w:rPr>
          <w:rFonts w:ascii="Arial" w:cs="Arial" w:eastAsia="Arial" w:hAnsi="Arial"/>
          <w:sz w:val="12"/>
          <w:szCs w:val="12"/>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the Company, neither the FDA nor any other Governmental Authority is considering such action.</w:t>
      </w:r>
    </w:p>
    <w:p>
      <w:pPr>
        <w:spacing w:after="0" w:line="127" w:lineRule="exact"/>
        <w:rPr>
          <w:rFonts w:ascii="Arial" w:cs="Arial" w:eastAsia="Arial" w:hAnsi="Arial"/>
          <w:sz w:val="12"/>
          <w:szCs w:val="12"/>
          <w:color w:val="auto"/>
        </w:rPr>
      </w:pPr>
    </w:p>
    <w:p>
      <w:pPr>
        <w:ind w:left="840" w:right="819" w:firstLine="654"/>
        <w:spacing w:after="0" w:line="341" w:lineRule="auto"/>
        <w:tabs>
          <w:tab w:leader="none" w:pos="1730" w:val="left"/>
        </w:tabs>
        <w:numPr>
          <w:ilvl w:val="1"/>
          <w:numId w:val="51"/>
        </w:numPr>
        <w:rPr>
          <w:rFonts w:ascii="Arial" w:cs="Arial" w:eastAsia="Arial" w:hAnsi="Arial"/>
          <w:sz w:val="10"/>
          <w:szCs w:val="10"/>
          <w:color w:val="auto"/>
        </w:rPr>
      </w:pPr>
      <w:r>
        <w:rPr>
          <w:rFonts w:ascii="Arial" w:cs="Arial" w:eastAsia="Arial" w:hAnsi="Arial"/>
          <w:sz w:val="10"/>
          <w:szCs w:val="10"/>
          <w:color w:val="auto"/>
        </w:rPr>
        <w:t>As of the date of this Agreement, except as is set forth on Section 3.14 of the Company Disclosure Schedule and to the Knowledge of the Company, there are no adverse drug-related reactions to the dosing of patients in the Company’s Phase 1 clinical trials to evaluate the safety and tolerability of single and multiple ascending doses of CTI-1601 (the “Phase 1 Trials”) or any significant drug-related findings from any toxicology study.</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230" w:right="1440" w:bottom="1440" w:gutter="0" w:footer="0" w:header="0"/>
        </w:sectPr>
      </w:pPr>
    </w:p>
    <w:bookmarkStart w:id="47" w:name="page48"/>
    <w:bookmarkEnd w:id="47"/>
    <w:p>
      <w:pPr>
        <w:ind w:left="1120"/>
        <w:spacing w:after="0"/>
        <w:tabs>
          <w:tab w:leader="none" w:pos="144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3.15</w:t>
      </w:r>
      <w:r>
        <w:rPr>
          <w:sz w:val="20"/>
          <w:szCs w:val="20"/>
          <w:color w:val="auto"/>
        </w:rPr>
        <w:tab/>
      </w:r>
      <w:r>
        <w:rPr>
          <w:rFonts w:ascii="Arial" w:cs="Arial" w:eastAsia="Arial" w:hAnsi="Arial"/>
          <w:sz w:val="10"/>
          <w:szCs w:val="10"/>
          <w:u w:val="single" w:color="auto"/>
          <w:color w:val="auto"/>
        </w:rPr>
        <w:t>Legal Proceedings; Orders</w:t>
      </w:r>
      <w:r>
        <w:rPr>
          <w:rFonts w:ascii="Arial" w:cs="Arial" w:eastAsia="Arial" w:hAnsi="Arial"/>
          <w:sz w:val="10"/>
          <w:szCs w:val="10"/>
          <w:color w:val="auto"/>
        </w:rPr>
        <w:t>.</w:t>
      </w:r>
    </w:p>
    <w:p>
      <w:pPr>
        <w:spacing w:after="0" w:line="151" w:lineRule="exact"/>
        <w:rPr>
          <w:sz w:val="20"/>
          <w:szCs w:val="20"/>
          <w:color w:val="auto"/>
        </w:rPr>
      </w:pPr>
    </w:p>
    <w:p>
      <w:pPr>
        <w:ind w:left="840" w:right="879" w:firstLine="654"/>
        <w:spacing w:after="0" w:line="260" w:lineRule="auto"/>
        <w:tabs>
          <w:tab w:leader="none" w:pos="1755"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124" w:lineRule="exact"/>
        <w:rPr>
          <w:rFonts w:ascii="Arial" w:cs="Arial" w:eastAsia="Arial" w:hAnsi="Arial"/>
          <w:sz w:val="12"/>
          <w:szCs w:val="12"/>
          <w:color w:val="auto"/>
        </w:rPr>
      </w:pPr>
    </w:p>
    <w:p>
      <w:pPr>
        <w:ind w:left="840" w:right="939" w:firstLine="654"/>
        <w:spacing w:after="0" w:line="290" w:lineRule="auto"/>
        <w:tabs>
          <w:tab w:leader="none" w:pos="1761" w:val="left"/>
        </w:tabs>
        <w:numPr>
          <w:ilvl w:val="0"/>
          <w:numId w:val="52"/>
        </w:numPr>
        <w:rPr>
          <w:rFonts w:ascii="Arial" w:cs="Arial" w:eastAsia="Arial" w:hAnsi="Arial"/>
          <w:sz w:val="11"/>
          <w:szCs w:val="11"/>
          <w:color w:val="auto"/>
        </w:rPr>
      </w:pPr>
      <w:r>
        <w:rPr>
          <w:rFonts w:ascii="Arial" w:cs="Arial" w:eastAsia="Arial" w:hAnsi="Arial"/>
          <w:sz w:val="11"/>
          <w:szCs w:val="11"/>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83"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3.16</w:t>
      </w:r>
      <w:r>
        <w:rPr>
          <w:sz w:val="20"/>
          <w:szCs w:val="20"/>
          <w:color w:val="auto"/>
        </w:rPr>
        <w:tab/>
      </w:r>
      <w:r>
        <w:rPr>
          <w:rFonts w:ascii="Arial" w:cs="Arial" w:eastAsia="Arial" w:hAnsi="Arial"/>
          <w:sz w:val="10"/>
          <w:szCs w:val="10"/>
          <w:u w:val="single" w:color="auto"/>
          <w:color w:val="auto"/>
        </w:rPr>
        <w:t>Tax Matters.</w:t>
      </w:r>
    </w:p>
    <w:p>
      <w:pPr>
        <w:spacing w:after="0" w:line="79" w:lineRule="exact"/>
        <w:rPr>
          <w:sz w:val="20"/>
          <w:szCs w:val="20"/>
          <w:color w:val="auto"/>
        </w:rPr>
      </w:pPr>
    </w:p>
    <w:p>
      <w:pPr>
        <w:ind w:left="840" w:right="919" w:firstLine="654"/>
        <w:spacing w:after="0" w:line="257" w:lineRule="auto"/>
        <w:tabs>
          <w:tab w:leader="none" w:pos="1755"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Company and each of its Subsidiaries have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such Subsidiary is subject to taxation by that jurisdiction.</w:t>
      </w:r>
    </w:p>
    <w:p>
      <w:pPr>
        <w:spacing w:after="0" w:line="127" w:lineRule="exact"/>
        <w:rPr>
          <w:rFonts w:ascii="Arial" w:cs="Arial" w:eastAsia="Arial" w:hAnsi="Arial"/>
          <w:sz w:val="12"/>
          <w:szCs w:val="12"/>
          <w:color w:val="auto"/>
        </w:rPr>
      </w:pPr>
    </w:p>
    <w:p>
      <w:pPr>
        <w:ind w:left="840" w:right="879" w:firstLine="654"/>
        <w:spacing w:after="0" w:line="299" w:lineRule="auto"/>
        <w:tabs>
          <w:tab w:leader="none" w:pos="1757" w:val="left"/>
        </w:tabs>
        <w:numPr>
          <w:ilvl w:val="0"/>
          <w:numId w:val="53"/>
        </w:numPr>
        <w:rPr>
          <w:rFonts w:ascii="Arial" w:cs="Arial" w:eastAsia="Arial" w:hAnsi="Arial"/>
          <w:sz w:val="11"/>
          <w:szCs w:val="11"/>
          <w:color w:val="auto"/>
        </w:rPr>
      </w:pPr>
      <w:r>
        <w:rPr>
          <w:rFonts w:ascii="Arial" w:cs="Arial" w:eastAsia="Arial" w:hAnsi="Arial"/>
          <w:sz w:val="11"/>
          <w:szCs w:val="11"/>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105" w:lineRule="exact"/>
        <w:rPr>
          <w:rFonts w:ascii="Arial" w:cs="Arial" w:eastAsia="Arial" w:hAnsi="Arial"/>
          <w:sz w:val="11"/>
          <w:szCs w:val="11"/>
          <w:color w:val="auto"/>
        </w:rPr>
      </w:pPr>
    </w:p>
    <w:p>
      <w:pPr>
        <w:ind w:left="840" w:right="1119" w:firstLine="654"/>
        <w:spacing w:after="0" w:line="324" w:lineRule="auto"/>
        <w:tabs>
          <w:tab w:leader="none" w:pos="1755"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Company and each of its Subsidiaries have withheld and paid all material Taxes required to have been withheld and paid in connection with any amounts paid or owing to any employee, independent contractor, creditor, stockholder, or other third party.</w:t>
      </w:r>
    </w:p>
    <w:p>
      <w:pPr>
        <w:spacing w:after="0" w:line="91" w:lineRule="exact"/>
        <w:rPr>
          <w:rFonts w:ascii="Arial" w:cs="Arial" w:eastAsia="Arial" w:hAnsi="Arial"/>
          <w:sz w:val="11"/>
          <w:szCs w:val="11"/>
          <w:color w:val="auto"/>
        </w:rPr>
      </w:pPr>
    </w:p>
    <w:p>
      <w:pPr>
        <w:ind w:left="840" w:right="879" w:firstLine="654"/>
        <w:spacing w:after="0" w:line="264" w:lineRule="auto"/>
        <w:tabs>
          <w:tab w:leader="none" w:pos="1761"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There are no Encumbrances for material Taxes (other than Taxes not yet due and payable or for Taxes that are being contested in good faith, in each case, for which adequate reserves have been established in accordance with GAAP) upon any of the assets of the Company or any of its Subsidiaries.</w:t>
      </w:r>
    </w:p>
    <w:p>
      <w:pPr>
        <w:spacing w:after="0" w:line="122" w:lineRule="exact"/>
        <w:rPr>
          <w:rFonts w:ascii="Arial" w:cs="Arial" w:eastAsia="Arial" w:hAnsi="Arial"/>
          <w:sz w:val="12"/>
          <w:szCs w:val="12"/>
          <w:color w:val="auto"/>
        </w:rPr>
      </w:pPr>
    </w:p>
    <w:p>
      <w:pPr>
        <w:ind w:left="840" w:right="839" w:firstLine="654"/>
        <w:spacing w:after="0" w:line="257" w:lineRule="auto"/>
        <w:tabs>
          <w:tab w:leader="none" w:pos="1757"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 deficiencies for material Taxes with respect to the Company or any of its Subsidiaries have been claimed, proposed or assessed by any Governmental Authority in writing. There are no pending (or, based on written notice, threatened) material audits, assessments or other actions for or relating to any liability in respect of Taxes of the Company or any of its Subsidiaries. Neither the Company nor any of its Subsidiaries (or any of their predecessors) has waived any statute of limitations in respect of material Taxes or agreed to any extension of time with respect to a material Tax assessment or deficiency.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9019"/>
          </w:cols>
          <w:pgMar w:left="1440" w:top="230" w:right="1440" w:bottom="1440" w:gutter="0" w:footer="0" w:header="0"/>
        </w:sectPr>
      </w:pPr>
    </w:p>
    <w:bookmarkStart w:id="48" w:name="page49"/>
    <w:bookmarkEnd w:id="48"/>
    <w:p>
      <w:pPr>
        <w:ind w:left="840" w:right="1039" w:firstLine="654"/>
        <w:spacing w:after="0" w:line="277" w:lineRule="auto"/>
        <w:tabs>
          <w:tab w:leader="none" w:pos="1744" w:val="left"/>
        </w:tabs>
        <w:numPr>
          <w:ilvl w:val="0"/>
          <w:numId w:val="5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the Company nor any of its Subsidiaries has been a United States real property holding corporation within the meaning of Section 897(c)(2) of the Code in the last five years.</w:t>
      </w:r>
    </w:p>
    <w:p>
      <w:pPr>
        <w:spacing w:after="0" w:line="114" w:lineRule="exact"/>
        <w:rPr>
          <w:rFonts w:ascii="Arial" w:cs="Arial" w:eastAsia="Arial" w:hAnsi="Arial"/>
          <w:sz w:val="12"/>
          <w:szCs w:val="12"/>
          <w:color w:val="auto"/>
        </w:rPr>
      </w:pPr>
    </w:p>
    <w:p>
      <w:pPr>
        <w:jc w:val="both"/>
        <w:ind w:left="840" w:right="819" w:firstLine="654"/>
        <w:spacing w:after="0" w:line="264" w:lineRule="auto"/>
        <w:tabs>
          <w:tab w:leader="none" w:pos="1764" w:val="left"/>
        </w:tabs>
        <w:numPr>
          <w:ilvl w:val="0"/>
          <w:numId w:val="54"/>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122" w:lineRule="exact"/>
        <w:rPr>
          <w:rFonts w:ascii="Arial" w:cs="Arial" w:eastAsia="Arial" w:hAnsi="Arial"/>
          <w:sz w:val="12"/>
          <w:szCs w:val="12"/>
          <w:color w:val="auto"/>
        </w:rPr>
      </w:pPr>
    </w:p>
    <w:p>
      <w:pPr>
        <w:ind w:left="840" w:right="879" w:firstLine="654"/>
        <w:spacing w:after="0" w:line="260" w:lineRule="auto"/>
        <w:tabs>
          <w:tab w:leader="none" w:pos="1764" w:val="left"/>
        </w:tabs>
        <w:numPr>
          <w:ilvl w:val="0"/>
          <w:numId w:val="54"/>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ever been a member of an affiliated group filing a consolidated U.S. federal income Tax Return (other than a group the common parent of which is the 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124" w:lineRule="exact"/>
        <w:rPr>
          <w:rFonts w:ascii="Arial" w:cs="Arial" w:eastAsia="Arial" w:hAnsi="Arial"/>
          <w:sz w:val="12"/>
          <w:szCs w:val="12"/>
          <w:color w:val="auto"/>
        </w:rPr>
      </w:pPr>
    </w:p>
    <w:p>
      <w:pPr>
        <w:ind w:left="840" w:right="999" w:firstLine="654"/>
        <w:spacing w:after="0" w:line="381" w:lineRule="auto"/>
        <w:tabs>
          <w:tab w:leader="none" w:pos="1737" w:val="left"/>
        </w:tabs>
        <w:numPr>
          <w:ilvl w:val="0"/>
          <w:numId w:val="54"/>
        </w:numPr>
        <w:rPr>
          <w:rFonts w:ascii="Arial" w:cs="Arial" w:eastAsia="Arial" w:hAnsi="Arial"/>
          <w:sz w:val="10"/>
          <w:szCs w:val="10"/>
          <w:color w:val="auto"/>
        </w:rPr>
      </w:pPr>
      <w:r>
        <w:rPr>
          <w:rFonts w:ascii="Arial" w:cs="Arial" w:eastAsia="Arial" w:hAnsi="Arial"/>
          <w:sz w:val="10"/>
          <w:szCs w:val="10"/>
          <w:color w:val="auto"/>
        </w:rPr>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68" w:lineRule="exact"/>
        <w:rPr>
          <w:rFonts w:ascii="Arial" w:cs="Arial" w:eastAsia="Arial" w:hAnsi="Arial"/>
          <w:sz w:val="10"/>
          <w:szCs w:val="10"/>
          <w:color w:val="auto"/>
        </w:rPr>
      </w:pPr>
    </w:p>
    <w:p>
      <w:pPr>
        <w:ind w:left="840" w:right="999" w:firstLine="654"/>
        <w:spacing w:after="0" w:line="277" w:lineRule="auto"/>
        <w:tabs>
          <w:tab w:leader="none" w:pos="1737" w:val="left"/>
        </w:tabs>
        <w:numPr>
          <w:ilvl w:val="0"/>
          <w:numId w:val="54"/>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entered into any transaction identified as a “listed transaction” for purposes of Treasury Regulations Sections 1.6011-4(b)(2) or 301.6111-2(b)(2).</w:t>
      </w:r>
    </w:p>
    <w:p>
      <w:pPr>
        <w:spacing w:after="0" w:line="187"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3.17</w:t>
      </w:r>
      <w:r>
        <w:rPr>
          <w:sz w:val="20"/>
          <w:szCs w:val="20"/>
          <w:color w:val="auto"/>
        </w:rPr>
        <w:tab/>
      </w:r>
      <w:r>
        <w:rPr>
          <w:rFonts w:ascii="Arial" w:cs="Arial" w:eastAsia="Arial" w:hAnsi="Arial"/>
          <w:sz w:val="10"/>
          <w:szCs w:val="10"/>
          <w:u w:val="single" w:color="auto"/>
          <w:color w:val="auto"/>
        </w:rPr>
        <w:t>Employee and Labor Matters; Benefit Plans.</w:t>
      </w:r>
    </w:p>
    <w:p>
      <w:pPr>
        <w:spacing w:after="0" w:line="79" w:lineRule="exact"/>
        <w:rPr>
          <w:sz w:val="20"/>
          <w:szCs w:val="20"/>
          <w:color w:val="auto"/>
        </w:rPr>
      </w:pPr>
    </w:p>
    <w:p>
      <w:pPr>
        <w:ind w:left="840" w:right="859" w:firstLine="654"/>
        <w:spacing w:after="0" w:line="260" w:lineRule="auto"/>
        <w:tabs>
          <w:tab w:leader="none" w:pos="1757" w:val="left"/>
        </w:tabs>
        <w:numPr>
          <w:ilvl w:val="0"/>
          <w:numId w:val="55"/>
        </w:numPr>
        <w:rPr>
          <w:rFonts w:ascii="Arial" w:cs="Arial" w:eastAsia="Arial" w:hAnsi="Arial"/>
          <w:sz w:val="12"/>
          <w:szCs w:val="12"/>
          <w:color w:val="auto"/>
        </w:rPr>
      </w:pPr>
      <w:r>
        <w:rPr>
          <w:rFonts w:ascii="Arial" w:cs="Arial" w:eastAsia="Arial" w:hAnsi="Arial"/>
          <w:sz w:val="12"/>
          <w:szCs w:val="12"/>
          <w:color w:val="auto"/>
        </w:rPr>
        <w:t>Except as set forth on Section 3.17(a) of the Company Disclosure Schedule, the employment of each of the Company’s and any of its Subsidiaries’ employees is terminable by the Company or the applicable Subsidiary at will. The Company has made available to Zordich accurate and complete copies of all employee manuals and handbooks, disclosure materials, policy statements and other materials relating to the employment of Company Associates to the extent currently effective and material.</w:t>
      </w:r>
    </w:p>
    <w:p>
      <w:pPr>
        <w:spacing w:after="0" w:line="124" w:lineRule="exact"/>
        <w:rPr>
          <w:rFonts w:ascii="Arial" w:cs="Arial" w:eastAsia="Arial" w:hAnsi="Arial"/>
          <w:sz w:val="12"/>
          <w:szCs w:val="12"/>
          <w:color w:val="auto"/>
        </w:rPr>
      </w:pPr>
    </w:p>
    <w:p>
      <w:pPr>
        <w:ind w:left="840" w:right="899" w:firstLine="654"/>
        <w:spacing w:after="0" w:line="264" w:lineRule="auto"/>
        <w:tabs>
          <w:tab w:leader="none" w:pos="1764"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 officer or Key Employee of the Company or any of its Subsidiaries has indicated that he or she presently intends to terminate his or her employment with the Company or the applicable Subsidiary, nor has any such officer or Key Employee threatened or expressed any intention to do so.</w:t>
      </w:r>
    </w:p>
    <w:p>
      <w:pPr>
        <w:spacing w:after="0" w:line="122" w:lineRule="exact"/>
        <w:rPr>
          <w:rFonts w:ascii="Arial" w:cs="Arial" w:eastAsia="Arial" w:hAnsi="Arial"/>
          <w:sz w:val="12"/>
          <w:szCs w:val="12"/>
          <w:color w:val="auto"/>
        </w:rPr>
      </w:pPr>
    </w:p>
    <w:p>
      <w:pPr>
        <w:jc w:val="both"/>
        <w:ind w:left="840" w:right="1079" w:firstLine="654"/>
        <w:spacing w:after="0" w:line="341" w:lineRule="auto"/>
        <w:tabs>
          <w:tab w:leader="none" w:pos="1757" w:val="left"/>
        </w:tabs>
        <w:numPr>
          <w:ilvl w:val="0"/>
          <w:numId w:val="55"/>
        </w:numPr>
        <w:rPr>
          <w:rFonts w:ascii="Arial" w:cs="Arial" w:eastAsia="Arial" w:hAnsi="Arial"/>
          <w:sz w:val="10"/>
          <w:szCs w:val="10"/>
          <w:color w:val="auto"/>
        </w:rPr>
      </w:pPr>
      <w:r>
        <w:rPr>
          <w:rFonts w:ascii="Arial" w:cs="Arial" w:eastAsia="Arial" w:hAnsi="Arial"/>
          <w:sz w:val="10"/>
          <w:szCs w:val="10"/>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87" w:lineRule="exact"/>
        <w:rPr>
          <w:rFonts w:ascii="Arial" w:cs="Arial" w:eastAsia="Arial" w:hAnsi="Arial"/>
          <w:sz w:val="10"/>
          <w:szCs w:val="10"/>
          <w:color w:val="auto"/>
        </w:rPr>
      </w:pPr>
    </w:p>
    <w:p>
      <w:pPr>
        <w:ind w:left="1760" w:hanging="266"/>
        <w:spacing w:after="0"/>
        <w:tabs>
          <w:tab w:leader="none" w:pos="17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Section 3.17(d) of the Company Disclosure Schedule lists all Company Employee Plans and the Holdings Plan.</w:t>
      </w:r>
    </w:p>
    <w:p>
      <w:pPr>
        <w:spacing w:after="0" w:line="150" w:lineRule="exact"/>
        <w:rPr>
          <w:rFonts w:ascii="Arial" w:cs="Arial" w:eastAsia="Arial" w:hAnsi="Arial"/>
          <w:sz w:val="12"/>
          <w:szCs w:val="12"/>
          <w:color w:val="auto"/>
        </w:rPr>
      </w:pPr>
    </w:p>
    <w:p>
      <w:pPr>
        <w:ind w:left="840" w:right="1099" w:firstLine="654"/>
        <w:spacing w:after="0" w:line="260" w:lineRule="auto"/>
        <w:tabs>
          <w:tab w:leader="none" w:pos="1757" w:val="left"/>
        </w:tabs>
        <w:numPr>
          <w:ilvl w:val="0"/>
          <w:numId w:val="55"/>
        </w:numPr>
        <w:rPr>
          <w:rFonts w:ascii="Arial" w:cs="Arial" w:eastAsia="Arial" w:hAnsi="Arial"/>
          <w:sz w:val="12"/>
          <w:szCs w:val="12"/>
          <w:color w:val="auto"/>
        </w:rPr>
      </w:pPr>
      <w:r>
        <w:rPr>
          <w:rFonts w:ascii="Arial" w:cs="Arial" w:eastAsia="Arial" w:hAnsi="Arial"/>
          <w:sz w:val="12"/>
          <w:szCs w:val="12"/>
          <w:color w:val="auto"/>
        </w:rPr>
        <w:t>Each Company Employee Plan that is intended to be qualified under Section 401(a) of the Code has received a favorable determination or is the subject of a favorable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9019"/>
          </w:cols>
          <w:pgMar w:left="1440" w:top="230" w:right="1440" w:bottom="1440" w:gutter="0" w:footer="0" w:header="0"/>
        </w:sectPr>
      </w:pPr>
    </w:p>
    <w:bookmarkStart w:id="49" w:name="page50"/>
    <w:bookmarkEnd w:id="49"/>
    <w:p>
      <w:pPr>
        <w:ind w:left="840" w:right="839" w:firstLine="654"/>
        <w:spacing w:after="0" w:line="286" w:lineRule="auto"/>
        <w:tabs>
          <w:tab w:leader="none" w:pos="1744" w:val="left"/>
        </w:tabs>
        <w:numPr>
          <w:ilvl w:val="0"/>
          <w:numId w:val="5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Company Employee Plan and the Holdings Plan has been established, maintained and operated in compliance, in all material respects, with its terms and all applicable Law, including the Code, ERISA, and the Affordable Care Act. No Legal Proceeding (other than those relating to routine claims for benefits) is pending or, to the Knowledge of the Company, threatened with respect to any Company Employee Plan or the Holdings Plan. All payments and/or contributions required to have been made with respect to all Company Employee Plans or the Holdings Plan either have been made or have been accrued in accordance with the terms of the applicable plan and applicable Law.</w:t>
      </w:r>
    </w:p>
    <w:p>
      <w:pPr>
        <w:spacing w:after="0" w:line="113" w:lineRule="exact"/>
        <w:rPr>
          <w:rFonts w:ascii="Arial" w:cs="Arial" w:eastAsia="Arial" w:hAnsi="Arial"/>
          <w:sz w:val="11"/>
          <w:szCs w:val="11"/>
          <w:color w:val="auto"/>
        </w:rPr>
      </w:pPr>
    </w:p>
    <w:p>
      <w:pPr>
        <w:ind w:left="840" w:right="839" w:firstLine="654"/>
        <w:spacing w:after="0" w:line="281" w:lineRule="auto"/>
        <w:tabs>
          <w:tab w:leader="none" w:pos="1764" w:val="left"/>
        </w:tabs>
        <w:numPr>
          <w:ilvl w:val="0"/>
          <w:numId w:val="56"/>
        </w:numPr>
        <w:rPr>
          <w:rFonts w:ascii="Arial" w:cs="Arial" w:eastAsia="Arial" w:hAnsi="Arial"/>
          <w:sz w:val="11"/>
          <w:szCs w:val="11"/>
          <w:color w:val="auto"/>
        </w:rPr>
      </w:pPr>
      <w:r>
        <w:rPr>
          <w:rFonts w:ascii="Arial" w:cs="Arial" w:eastAsia="Arial" w:hAnsi="Arial"/>
          <w:sz w:val="11"/>
          <w:szCs w:val="11"/>
          <w:color w:val="auto"/>
        </w:rPr>
        <w:t>Neither the Company nor any of its ERISA Affiliates has, since its inception,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 No Company Employee Plan provides for medical or other welfare benefits beyond termination of service or retirement, other than pursuant to (i) COBRA or an analogous state law requirement or (ii) continuation coverage through the end of the month in which such termination or retirement occurs. Neither the Company nor any of its Subsidiaries sponsors or maintains any self-funded medical or long-term disability employee benefit plan. No Company Employee Plan or the Holdings Plan is subject to any Law of a foreign jurisdiction outside of the United States.</w:t>
      </w:r>
    </w:p>
    <w:p>
      <w:pPr>
        <w:spacing w:after="0" w:line="115" w:lineRule="exact"/>
        <w:rPr>
          <w:rFonts w:ascii="Arial" w:cs="Arial" w:eastAsia="Arial" w:hAnsi="Arial"/>
          <w:sz w:val="11"/>
          <w:szCs w:val="11"/>
          <w:color w:val="auto"/>
        </w:rPr>
      </w:pPr>
    </w:p>
    <w:p>
      <w:pPr>
        <w:ind w:left="840" w:right="819" w:firstLine="654"/>
        <w:spacing w:after="0" w:line="286" w:lineRule="auto"/>
        <w:tabs>
          <w:tab w:leader="none" w:pos="1764" w:val="left"/>
        </w:tabs>
        <w:numPr>
          <w:ilvl w:val="0"/>
          <w:numId w:val="56"/>
        </w:numPr>
        <w:rPr>
          <w:rFonts w:ascii="Arial" w:cs="Arial" w:eastAsia="Arial" w:hAnsi="Arial"/>
          <w:sz w:val="11"/>
          <w:szCs w:val="11"/>
          <w:color w:val="auto"/>
        </w:rPr>
      </w:pPr>
      <w:r>
        <w:rPr>
          <w:rFonts w:ascii="Arial" w:cs="Arial" w:eastAsia="Arial" w:hAnsi="Arial"/>
          <w:sz w:val="11"/>
          <w:szCs w:val="11"/>
          <w:color w:val="auto"/>
        </w:rPr>
        <w:t>No Holdings Options or other equity-based awards issued or granted by Holdings or the Company are subject to the requirements of Code Section 409A. Each Company Employee Plan that constitutes in any part a “nonqualified deferred compensation plan” (as such term is defined under Section 409A(d)(1) of the Code and the guidance thereunder) (each, a “</w:t>
      </w:r>
      <w:r>
        <w:rPr>
          <w:rFonts w:ascii="Arial" w:cs="Arial" w:eastAsia="Arial" w:hAnsi="Arial"/>
          <w:sz w:val="11"/>
          <w:szCs w:val="11"/>
          <w:b w:val="1"/>
          <w:bCs w:val="1"/>
          <w:color w:val="auto"/>
        </w:rPr>
        <w:t>Company 409A Plan</w:t>
      </w:r>
      <w:r>
        <w:rPr>
          <w:rFonts w:ascii="Arial" w:cs="Arial" w:eastAsia="Arial" w:hAnsi="Arial"/>
          <w:sz w:val="11"/>
          <w:szCs w:val="11"/>
          <w:color w:val="auto"/>
        </w:rPr>
        <w:t>”) complies in all material respects, in both form and operation, with the requirements of Code Section 409A and the guidance thereunder. No payment to be made under any Company 409A Plan is or, when made in accordance with the terms of the 409A Plan, will be subject to the penalties of Code Section 409A(a)(1).</w:t>
      </w:r>
    </w:p>
    <w:p>
      <w:pPr>
        <w:spacing w:after="0" w:line="113" w:lineRule="exact"/>
        <w:rPr>
          <w:rFonts w:ascii="Arial" w:cs="Arial" w:eastAsia="Arial" w:hAnsi="Arial"/>
          <w:sz w:val="11"/>
          <w:szCs w:val="11"/>
          <w:color w:val="auto"/>
        </w:rPr>
      </w:pPr>
    </w:p>
    <w:p>
      <w:pPr>
        <w:ind w:left="840" w:right="839" w:firstLine="654"/>
        <w:spacing w:after="0" w:line="277" w:lineRule="auto"/>
        <w:tabs>
          <w:tab w:leader="none" w:pos="1735"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Company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or any of its Subsidiaries, threatened or reasonably anticipated against the Company or any of its Subsidiaries relating to any employee, employment agreement or Company Employee Plan (other than routine claims for benefits).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Neither the Company nor any Subsidiary thereof is a party to a conciliation agreement, consent decree or other agreement or Order with any federal, state, or local agency or Governmental Authority with respect to employment practices.</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9019"/>
          </w:cols>
          <w:pgMar w:left="1440" w:top="230" w:right="1440" w:bottom="1440" w:gutter="0" w:footer="0" w:header="0"/>
        </w:sectPr>
      </w:pPr>
    </w:p>
    <w:bookmarkStart w:id="50" w:name="page51"/>
    <w:bookmarkEnd w:id="50"/>
    <w:p>
      <w:pPr>
        <w:ind w:left="840" w:right="859" w:firstLine="654"/>
        <w:spacing w:after="0" w:line="256" w:lineRule="auto"/>
        <w:tabs>
          <w:tab w:leader="none" w:pos="1737" w:val="left"/>
        </w:tabs>
        <w:numPr>
          <w:ilvl w:val="1"/>
          <w:numId w:val="5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the Company nor any of its Subsidiaries has any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27" w:lineRule="exact"/>
        <w:rPr>
          <w:rFonts w:ascii="Arial" w:cs="Arial" w:eastAsia="Arial" w:hAnsi="Arial"/>
          <w:sz w:val="12"/>
          <w:szCs w:val="12"/>
          <w:color w:val="auto"/>
        </w:rPr>
      </w:pPr>
    </w:p>
    <w:p>
      <w:pPr>
        <w:ind w:left="840" w:right="919" w:firstLine="654"/>
        <w:spacing w:after="0" w:line="257" w:lineRule="auto"/>
        <w:tabs>
          <w:tab w:leader="none" w:pos="1761" w:val="left"/>
        </w:tabs>
        <w:numPr>
          <w:ilvl w:val="1"/>
          <w:numId w:val="57"/>
        </w:numPr>
        <w:rPr>
          <w:rFonts w:ascii="Arial" w:cs="Arial" w:eastAsia="Arial" w:hAnsi="Arial"/>
          <w:sz w:val="12"/>
          <w:szCs w:val="12"/>
          <w:color w:val="auto"/>
        </w:rPr>
      </w:pPr>
      <w:r>
        <w:rPr>
          <w:rFonts w:ascii="Arial" w:cs="Arial" w:eastAsia="Arial" w:hAnsi="Arial"/>
          <w:sz w:val="12"/>
          <w:szCs w:val="12"/>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27" w:lineRule="exact"/>
        <w:rPr>
          <w:rFonts w:ascii="Arial" w:cs="Arial" w:eastAsia="Arial" w:hAnsi="Arial"/>
          <w:sz w:val="12"/>
          <w:szCs w:val="12"/>
          <w:color w:val="auto"/>
        </w:rPr>
      </w:pPr>
    </w:p>
    <w:p>
      <w:pPr>
        <w:ind w:left="840" w:right="839" w:firstLine="654"/>
        <w:spacing w:after="0" w:line="256" w:lineRule="auto"/>
        <w:tabs>
          <w:tab w:leader="none" w:pos="1737" w:val="left"/>
        </w:tabs>
        <w:numPr>
          <w:ilvl w:val="1"/>
          <w:numId w:val="57"/>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Company Associate, including charges of unfair labor practices or discrimination complaints.</w:t>
      </w:r>
    </w:p>
    <w:p>
      <w:pPr>
        <w:spacing w:after="0" w:line="127" w:lineRule="exact"/>
        <w:rPr>
          <w:rFonts w:ascii="Arial" w:cs="Arial" w:eastAsia="Arial" w:hAnsi="Arial"/>
          <w:sz w:val="12"/>
          <w:szCs w:val="12"/>
          <w:color w:val="auto"/>
        </w:rPr>
      </w:pPr>
    </w:p>
    <w:p>
      <w:pPr>
        <w:ind w:left="840" w:right="1059" w:firstLine="654"/>
        <w:spacing w:after="0" w:line="277" w:lineRule="auto"/>
        <w:tabs>
          <w:tab w:leader="none" w:pos="1795" w:val="left"/>
        </w:tabs>
        <w:numPr>
          <w:ilvl w:val="1"/>
          <w:numId w:val="57"/>
        </w:numPr>
        <w:rPr>
          <w:rFonts w:ascii="Arial" w:cs="Arial" w:eastAsia="Arial" w:hAnsi="Arial"/>
          <w:sz w:val="12"/>
          <w:szCs w:val="12"/>
          <w:color w:val="auto"/>
        </w:rPr>
      </w:pPr>
      <w:r>
        <w:rPr>
          <w:rFonts w:ascii="Arial" w:cs="Arial" w:eastAsia="Arial" w:hAnsi="Arial"/>
          <w:sz w:val="12"/>
          <w:szCs w:val="12"/>
          <w:color w:val="auto"/>
        </w:rPr>
        <w:t>There is no contract, agreement, plan or arrangement to which the Company or any of its Subsidiaries is a party or by which it is bound to compensate any of its employees for excise taxes paid pursuant to Section 4999 or Section 409A of the Code.</w:t>
      </w:r>
    </w:p>
    <w:p>
      <w:pPr>
        <w:spacing w:after="0" w:line="114" w:lineRule="exact"/>
        <w:rPr>
          <w:rFonts w:ascii="Arial" w:cs="Arial" w:eastAsia="Arial" w:hAnsi="Arial"/>
          <w:sz w:val="12"/>
          <w:szCs w:val="12"/>
          <w:color w:val="auto"/>
        </w:rPr>
      </w:pPr>
    </w:p>
    <w:p>
      <w:pPr>
        <w:ind w:left="840" w:right="959" w:firstLine="654"/>
        <w:spacing w:after="0" w:line="282" w:lineRule="auto"/>
        <w:tabs>
          <w:tab w:leader="none" w:pos="1764" w:val="left"/>
        </w:tabs>
        <w:numPr>
          <w:ilvl w:val="1"/>
          <w:numId w:val="57"/>
        </w:numPr>
        <w:rPr>
          <w:rFonts w:ascii="Arial" w:cs="Arial" w:eastAsia="Arial" w:hAnsi="Arial"/>
          <w:sz w:val="11"/>
          <w:szCs w:val="11"/>
          <w:color w:val="auto"/>
        </w:rPr>
      </w:pPr>
      <w:r>
        <w:rPr>
          <w:rFonts w:ascii="Arial" w:cs="Arial" w:eastAsia="Arial" w:hAnsi="Arial"/>
          <w:sz w:val="11"/>
          <w:szCs w:val="11"/>
          <w:color w:val="auto"/>
        </w:rPr>
        <w:t>Neither the Company nor Holdings nor any of their Subsidiaries is a party to any Contract which could, due to the Merger (either alone or in conjunction with any other event) (i) result in the payment of any “parachute payment” within the meaning of Section 280G of the Code or</w:t>
      </w:r>
    </w:p>
    <w:p>
      <w:pPr>
        <w:ind w:left="840" w:right="1239" w:hanging="9"/>
        <w:spacing w:after="0" w:line="262" w:lineRule="auto"/>
        <w:tabs>
          <w:tab w:leader="none" w:pos="1017"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result in, or cause the accelerated vesting, payment, funding or delivery of, or increase the amount or value of, any payment or benefit to any employee, officer, director or other service provider of the Company or Holdings or any of their Subsidiaries.</w:t>
      </w:r>
    </w:p>
    <w:p>
      <w:pPr>
        <w:spacing w:after="0" w:line="123" w:lineRule="exact"/>
        <w:rPr>
          <w:sz w:val="20"/>
          <w:szCs w:val="20"/>
          <w:color w:val="auto"/>
        </w:rPr>
      </w:pPr>
    </w:p>
    <w:p>
      <w:pPr>
        <w:ind w:left="840" w:right="839" w:firstLine="295"/>
        <w:spacing w:after="0" w:line="303" w:lineRule="auto"/>
        <w:rPr>
          <w:sz w:val="20"/>
          <w:szCs w:val="20"/>
          <w:color w:val="auto"/>
        </w:rPr>
      </w:pPr>
      <w:r>
        <w:rPr>
          <w:rFonts w:ascii="Arial" w:cs="Arial" w:eastAsia="Arial" w:hAnsi="Arial"/>
          <w:sz w:val="10"/>
          <w:szCs w:val="10"/>
          <w:color w:val="auto"/>
        </w:rPr>
        <w:t xml:space="preserve">3.18 </w:t>
      </w:r>
      <w:r>
        <w:rPr>
          <w:rFonts w:ascii="Arial" w:cs="Arial" w:eastAsia="Arial" w:hAnsi="Arial"/>
          <w:sz w:val="10"/>
          <w:szCs w:val="10"/>
          <w:u w:val="single" w:color="auto"/>
          <w:color w:val="auto"/>
        </w:rPr>
        <w:t>Environmental Matters</w:t>
      </w:r>
      <w:r>
        <w:rPr>
          <w:rFonts w:ascii="Arial" w:cs="Arial" w:eastAsia="Arial" w:hAnsi="Arial"/>
          <w:sz w:val="10"/>
          <w:szCs w:val="10"/>
          <w:color w:val="auto"/>
        </w:rPr>
        <w:t>. Since January 1, 2017,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2017,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w:t>
      </w:r>
    </w:p>
    <w:p>
      <w:pPr>
        <w:spacing w:after="0" w:line="3" w:lineRule="exact"/>
        <w:rPr>
          <w:sz w:val="20"/>
          <w:szCs w:val="20"/>
          <w:color w:val="auto"/>
        </w:rPr>
      </w:pPr>
    </w:p>
    <w:p>
      <w:pPr>
        <w:ind w:left="840" w:right="1099" w:hanging="9"/>
        <w:spacing w:after="0" w:line="256" w:lineRule="auto"/>
        <w:tabs>
          <w:tab w:leader="none" w:pos="984" w:val="left"/>
        </w:tabs>
        <w:numPr>
          <w:ilvl w:val="0"/>
          <w:numId w:val="59"/>
        </w:numPr>
        <w:rPr>
          <w:rFonts w:ascii="Arial" w:cs="Arial" w:eastAsia="Arial" w:hAnsi="Arial"/>
          <w:sz w:val="12"/>
          <w:szCs w:val="12"/>
          <w:color w:val="auto"/>
        </w:rPr>
      </w:pPr>
      <w:r>
        <w:rPr>
          <w:rFonts w:ascii="Arial" w:cs="Arial" w:eastAsia="Arial" w:hAnsi="Arial"/>
          <w:sz w:val="12"/>
          <w:szCs w:val="12"/>
          <w:color w:val="auto"/>
        </w:rPr>
        <w:t>no current or prior owner of any property leased or controlled by the Company or any of its Subsidiaries has received since January 1, 2017, any written notice or other communication relating to property owned or leased at any time by the Company or any of its Subsidiaries, whether from a Governmental Authority, citizens group, employee or otherwise, that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9019"/>
          </w:cols>
          <w:pgMar w:left="1440" w:top="230" w:right="1440" w:bottom="1440" w:gutter="0" w:footer="0" w:header="0"/>
        </w:sectPr>
      </w:pPr>
    </w:p>
    <w:bookmarkStart w:id="51" w:name="page52"/>
    <w:bookmarkEnd w:id="51"/>
    <w:p>
      <w:pPr>
        <w:ind w:left="840" w:right="879"/>
        <w:spacing w:after="0" w:line="32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92" w:lineRule="exact"/>
        <w:rPr>
          <w:sz w:val="20"/>
          <w:szCs w:val="20"/>
          <w:color w:val="auto"/>
        </w:rPr>
      </w:pPr>
    </w:p>
    <w:p>
      <w:pPr>
        <w:ind w:left="840" w:right="839" w:firstLine="295"/>
        <w:spacing w:after="0" w:line="280" w:lineRule="auto"/>
        <w:rPr>
          <w:sz w:val="20"/>
          <w:szCs w:val="20"/>
          <w:color w:val="auto"/>
        </w:rPr>
      </w:pPr>
      <w:r>
        <w:rPr>
          <w:rFonts w:ascii="Arial" w:cs="Arial" w:eastAsia="Arial" w:hAnsi="Arial"/>
          <w:sz w:val="11"/>
          <w:szCs w:val="11"/>
          <w:color w:val="auto"/>
        </w:rPr>
        <w:t xml:space="preserve">3.19 </w:t>
      </w:r>
      <w:r>
        <w:rPr>
          <w:rFonts w:ascii="Arial" w:cs="Arial" w:eastAsia="Arial" w:hAnsi="Arial"/>
          <w:sz w:val="11"/>
          <w:szCs w:val="11"/>
          <w:u w:val="single" w:color="auto"/>
          <w:color w:val="auto"/>
        </w:rPr>
        <w:t>Insurance</w:t>
      </w:r>
      <w:r>
        <w:rPr>
          <w:rFonts w:ascii="Arial" w:cs="Arial" w:eastAsia="Arial" w:hAnsi="Arial"/>
          <w:sz w:val="11"/>
          <w:szCs w:val="11"/>
          <w:color w:val="auto"/>
        </w:rPr>
        <w:t>. The Company has delivered to Zordich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2017, neither the Company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189"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3.20</w:t>
      </w:r>
      <w:r>
        <w:rPr>
          <w:sz w:val="20"/>
          <w:szCs w:val="20"/>
          <w:color w:val="auto"/>
        </w:rPr>
        <w:tab/>
      </w:r>
      <w:r>
        <w:rPr>
          <w:rFonts w:ascii="Arial" w:cs="Arial" w:eastAsia="Arial" w:hAnsi="Arial"/>
          <w:sz w:val="11"/>
          <w:szCs w:val="11"/>
          <w:u w:val="single" w:color="auto"/>
          <w:color w:val="auto"/>
        </w:rPr>
        <w:t>Intentionally Omitted</w:t>
      </w:r>
    </w:p>
    <w:p>
      <w:pPr>
        <w:spacing w:after="0" w:line="79" w:lineRule="exact"/>
        <w:rPr>
          <w:sz w:val="20"/>
          <w:szCs w:val="20"/>
          <w:color w:val="auto"/>
        </w:rPr>
      </w:pPr>
    </w:p>
    <w:p>
      <w:pPr>
        <w:ind w:left="840" w:right="899" w:firstLine="295"/>
        <w:spacing w:after="0" w:line="299" w:lineRule="auto"/>
        <w:rPr>
          <w:sz w:val="20"/>
          <w:szCs w:val="20"/>
          <w:color w:val="auto"/>
        </w:rPr>
      </w:pPr>
      <w:r>
        <w:rPr>
          <w:rFonts w:ascii="Arial" w:cs="Arial" w:eastAsia="Arial" w:hAnsi="Arial"/>
          <w:sz w:val="11"/>
          <w:szCs w:val="11"/>
          <w:color w:val="auto"/>
        </w:rPr>
        <w:t xml:space="preserve">3.21 </w:t>
      </w:r>
      <w:r>
        <w:rPr>
          <w:rFonts w:ascii="Arial" w:cs="Arial" w:eastAsia="Arial" w:hAnsi="Arial"/>
          <w:sz w:val="11"/>
          <w:szCs w:val="11"/>
          <w:u w:val="single" w:color="auto"/>
          <w:color w:val="auto"/>
        </w:rPr>
        <w:t>No Financial Advisors</w:t>
      </w:r>
      <w:r>
        <w:rPr>
          <w:rFonts w:ascii="Arial" w:cs="Arial" w:eastAsia="Arial" w:hAnsi="Arial"/>
          <w:sz w:val="11"/>
          <w:szCs w:val="11"/>
          <w:color w:val="auto"/>
        </w:rPr>
        <w:t>. Except as set forth on Section 3.21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05" w:lineRule="exact"/>
        <w:rPr>
          <w:sz w:val="20"/>
          <w:szCs w:val="20"/>
          <w:color w:val="auto"/>
        </w:rPr>
      </w:pPr>
    </w:p>
    <w:p>
      <w:pPr>
        <w:ind w:left="840" w:right="839" w:firstLine="295"/>
        <w:spacing w:after="0" w:line="284" w:lineRule="auto"/>
        <w:rPr>
          <w:sz w:val="20"/>
          <w:szCs w:val="20"/>
          <w:color w:val="auto"/>
        </w:rPr>
      </w:pPr>
      <w:r>
        <w:rPr>
          <w:rFonts w:ascii="Arial" w:cs="Arial" w:eastAsia="Arial" w:hAnsi="Arial"/>
          <w:sz w:val="11"/>
          <w:szCs w:val="11"/>
          <w:color w:val="auto"/>
        </w:rPr>
        <w:t xml:space="preserve">3.22 </w:t>
      </w:r>
      <w:r>
        <w:rPr>
          <w:rFonts w:ascii="Arial" w:cs="Arial" w:eastAsia="Arial" w:hAnsi="Arial"/>
          <w:sz w:val="11"/>
          <w:szCs w:val="11"/>
          <w:u w:val="single" w:color="auto"/>
          <w:color w:val="auto"/>
        </w:rPr>
        <w:t>Transactions with Affiliates.</w:t>
      </w:r>
      <w:r>
        <w:rPr>
          <w:rFonts w:ascii="Arial" w:cs="Arial" w:eastAsia="Arial" w:hAnsi="Arial"/>
          <w:sz w:val="11"/>
          <w:szCs w:val="11"/>
          <w:color w:val="auto"/>
        </w:rPr>
        <w:t xml:space="preserve"> Section 3.22 of the Company Disclosure Schedule describes any material transactions or relationships, since January 1, 2017, between, on one hand, the Company or any of its Subsidiaries and, on the other hand, any (a) executive officer or director of the Company or any of its Subsidiaries or any of such executive officer’s or director’s immediate family members, (b) owner of more than five percent (5%) of the voting power of the outstanding Company Common Stock or (c) 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113" w:lineRule="exact"/>
        <w:rPr>
          <w:sz w:val="20"/>
          <w:szCs w:val="20"/>
          <w:color w:val="auto"/>
        </w:rPr>
      </w:pPr>
    </w:p>
    <w:p>
      <w:pPr>
        <w:ind w:left="840" w:right="839" w:firstLine="295"/>
        <w:spacing w:after="0" w:line="254" w:lineRule="auto"/>
        <w:rPr>
          <w:sz w:val="20"/>
          <w:szCs w:val="20"/>
          <w:color w:val="auto"/>
        </w:rPr>
      </w:pPr>
      <w:r>
        <w:rPr>
          <w:rFonts w:ascii="Arial" w:cs="Arial" w:eastAsia="Arial" w:hAnsi="Arial"/>
          <w:sz w:val="12"/>
          <w:szCs w:val="12"/>
          <w:color w:val="auto"/>
        </w:rPr>
        <w:t xml:space="preserve">3.23 </w:t>
      </w:r>
      <w:r>
        <w:rPr>
          <w:rFonts w:ascii="Arial" w:cs="Arial" w:eastAsia="Arial" w:hAnsi="Arial"/>
          <w:sz w:val="12"/>
          <w:szCs w:val="12"/>
          <w:u w:val="single" w:color="auto"/>
          <w:color w:val="auto"/>
        </w:rPr>
        <w:t>Privacy and Data Security</w:t>
      </w:r>
      <w:r>
        <w:rPr>
          <w:rFonts w:ascii="Arial" w:cs="Arial" w:eastAsia="Arial" w:hAnsi="Arial"/>
          <w:sz w:val="12"/>
          <w:szCs w:val="12"/>
          <w:color w:val="auto"/>
        </w:rPr>
        <w:t>.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complied with its written and published policies and procedures concerning the privacy, security, collection and use of Personal Information (the “</w:t>
      </w:r>
      <w:r>
        <w:rPr>
          <w:rFonts w:ascii="Arial" w:cs="Arial" w:eastAsia="Arial" w:hAnsi="Arial"/>
          <w:sz w:val="12"/>
          <w:szCs w:val="12"/>
          <w:b w:val="1"/>
          <w:bCs w:val="1"/>
          <w:color w:val="auto"/>
        </w:rPr>
        <w:t>Privacy Policies</w:t>
      </w:r>
      <w:r>
        <w:rPr>
          <w:rFonts w:ascii="Arial" w:cs="Arial" w:eastAsia="Arial" w:hAnsi="Arial"/>
          <w:sz w:val="12"/>
          <w:szCs w:val="12"/>
          <w:color w:val="auto"/>
        </w:rPr>
        <w:t>”), except for such non-compliance as has not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and/or Privacy Policies.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9019"/>
          </w:cols>
          <w:pgMar w:left="1440" w:top="230" w:right="1440" w:bottom="1440" w:gutter="0" w:footer="0" w:header="0"/>
        </w:sectPr>
      </w:pPr>
    </w:p>
    <w:bookmarkStart w:id="52" w:name="page53"/>
    <w:bookmarkEnd w:id="52"/>
    <w:p>
      <w:pPr>
        <w:ind w:left="840" w:right="939" w:firstLine="295"/>
        <w:spacing w:after="0" w:line="26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3.24 </w:t>
      </w:r>
      <w:r>
        <w:rPr>
          <w:rFonts w:ascii="Arial" w:cs="Arial" w:eastAsia="Arial" w:hAnsi="Arial"/>
          <w:sz w:val="12"/>
          <w:szCs w:val="12"/>
          <w:u w:val="single" w:color="auto"/>
          <w:color w:val="auto"/>
        </w:rPr>
        <w:t>Accredited Investor Status</w:t>
      </w:r>
      <w:r>
        <w:rPr>
          <w:rFonts w:ascii="Arial" w:cs="Arial" w:eastAsia="Arial" w:hAnsi="Arial"/>
          <w:sz w:val="12"/>
          <w:szCs w:val="12"/>
          <w:color w:val="auto"/>
        </w:rPr>
        <w:t>. Prior to the date of this Agreement each holder of Company Common Stock and equity interests in Holdings has previously represented to the Company that he, she or it is an “accredited investor” within the meaning of Regulation D, Rule 501(a), promulgated by the SEC under the Securities Act or is not a “U.S. person” within the meaning of Regulation S, Rule 902, promulgated by the SEC under the Securities Act.</w:t>
      </w:r>
    </w:p>
    <w:p>
      <w:pPr>
        <w:spacing w:after="0" w:line="124" w:lineRule="exact"/>
        <w:rPr>
          <w:sz w:val="20"/>
          <w:szCs w:val="20"/>
          <w:color w:val="auto"/>
        </w:rPr>
      </w:pPr>
    </w:p>
    <w:p>
      <w:pPr>
        <w:ind w:left="840" w:right="859" w:firstLine="295"/>
        <w:spacing w:after="0" w:line="284" w:lineRule="auto"/>
        <w:rPr>
          <w:sz w:val="20"/>
          <w:szCs w:val="20"/>
          <w:color w:val="auto"/>
        </w:rPr>
      </w:pPr>
      <w:r>
        <w:rPr>
          <w:rFonts w:ascii="Arial" w:cs="Arial" w:eastAsia="Arial" w:hAnsi="Arial"/>
          <w:sz w:val="11"/>
          <w:szCs w:val="11"/>
          <w:color w:val="auto"/>
        </w:rPr>
        <w:t xml:space="preserve">3.25 </w:t>
      </w:r>
      <w:r>
        <w:rPr>
          <w:rFonts w:ascii="Arial" w:cs="Arial" w:eastAsia="Arial" w:hAnsi="Arial"/>
          <w:sz w:val="11"/>
          <w:szCs w:val="11"/>
          <w:u w:val="single" w:color="auto"/>
          <w:color w:val="auto"/>
        </w:rPr>
        <w:t>No Other Representations or Warranties</w:t>
      </w:r>
      <w:r>
        <w:rPr>
          <w:rFonts w:ascii="Arial" w:cs="Arial" w:eastAsia="Arial" w:hAnsi="Arial"/>
          <w:sz w:val="11"/>
          <w:szCs w:val="11"/>
          <w:color w:val="auto"/>
        </w:rPr>
        <w:t xml:space="preserve">. The Company hereby acknowledges and agrees that, except for the representations and warranties contained in this Agreement, neither Zordich nor any other person on behalf of Zordich makes any express or implied representation or warranty with respect to Zordich or with respect to any other information provided to the Company, any of its Subsidiaries or stockholders or any of their respective Affiliates in connection with the Contemplated Transactions, and (subject to the express representations and warranties of Zordich set forth in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(in each case as qualified and limited by the Zordich Disclosure Schedule)) none of the Company, its Subsidiaries or any of their respective Representatives or stockholders, has relied on any such information (including the accuracy or completeness thereof).</w:t>
      </w:r>
    </w:p>
    <w:p>
      <w:pPr>
        <w:spacing w:after="0" w:line="113" w:lineRule="exact"/>
        <w:rPr>
          <w:sz w:val="20"/>
          <w:szCs w:val="20"/>
          <w:color w:val="auto"/>
        </w:rPr>
      </w:pPr>
    </w:p>
    <w:p>
      <w:pPr>
        <w:ind w:left="840" w:right="839" w:firstLine="295"/>
        <w:spacing w:after="0" w:line="255"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Representations and Warranties of Zordich and Merger Sub</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10.1(h)</w:t>
      </w:r>
      <w:r>
        <w:rPr>
          <w:rFonts w:ascii="Arial" w:cs="Arial" w:eastAsia="Arial" w:hAnsi="Arial"/>
          <w:sz w:val="12"/>
          <w:szCs w:val="12"/>
          <w:color w:val="auto"/>
        </w:rPr>
        <w:t>, except (i) as set forth in the written disclosure schedule delivered by Zordich to the Company (the “</w:t>
      </w:r>
      <w:r>
        <w:rPr>
          <w:rFonts w:ascii="Arial" w:cs="Arial" w:eastAsia="Arial" w:hAnsi="Arial"/>
          <w:sz w:val="12"/>
          <w:szCs w:val="12"/>
          <w:b w:val="1"/>
          <w:bCs w:val="1"/>
          <w:color w:val="auto"/>
        </w:rPr>
        <w:t>Zordich Disclosure Schedule</w:t>
      </w:r>
      <w:r>
        <w:rPr>
          <w:rFonts w:ascii="Arial" w:cs="Arial" w:eastAsia="Arial" w:hAnsi="Arial"/>
          <w:sz w:val="12"/>
          <w:szCs w:val="12"/>
          <w:color w:val="auto"/>
        </w:rPr>
        <w:t>”) or (ii) as disclosed in the Zordich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Zordich and Merger Sub represent and warrant to the Company as follows:</w:t>
      </w:r>
    </w:p>
    <w:p>
      <w:pPr>
        <w:spacing w:after="0" w:line="201"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0"/>
          <w:szCs w:val="10"/>
          <w:u w:val="single" w:color="auto"/>
          <w:color w:val="auto"/>
        </w:rPr>
        <w:t>Due Organization; Subsidiaries</w:t>
      </w:r>
      <w:r>
        <w:rPr>
          <w:rFonts w:ascii="Arial" w:cs="Arial" w:eastAsia="Arial" w:hAnsi="Arial"/>
          <w:sz w:val="10"/>
          <w:szCs w:val="10"/>
          <w:color w:val="auto"/>
        </w:rPr>
        <w:t>.</w:t>
      </w:r>
    </w:p>
    <w:p>
      <w:pPr>
        <w:spacing w:after="0" w:line="79" w:lineRule="exact"/>
        <w:rPr>
          <w:sz w:val="20"/>
          <w:szCs w:val="20"/>
          <w:color w:val="auto"/>
        </w:rPr>
      </w:pPr>
    </w:p>
    <w:p>
      <w:pPr>
        <w:ind w:left="840" w:right="879" w:firstLine="654"/>
        <w:spacing w:after="0" w:line="256" w:lineRule="auto"/>
        <w:tabs>
          <w:tab w:leader="none" w:pos="1757" w:val="left"/>
        </w:tabs>
        <w:numPr>
          <w:ilvl w:val="0"/>
          <w:numId w:val="60"/>
        </w:numPr>
        <w:rPr>
          <w:rFonts w:ascii="Arial" w:cs="Arial" w:eastAsia="Arial" w:hAnsi="Arial"/>
          <w:sz w:val="12"/>
          <w:szCs w:val="12"/>
          <w:color w:val="auto"/>
        </w:rPr>
      </w:pPr>
      <w:r>
        <w:rPr>
          <w:rFonts w:ascii="Arial" w:cs="Arial" w:eastAsia="Arial" w:hAnsi="Arial"/>
          <w:sz w:val="12"/>
          <w:szCs w:val="12"/>
          <w:color w:val="auto"/>
        </w:rPr>
        <w:t>Each of Zordich and its Subsidiaries (including Merger Sub)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Zordich’s Subsidiaries are wholly owned by Zordich.</w:t>
      </w:r>
    </w:p>
    <w:p>
      <w:pPr>
        <w:spacing w:after="0" w:line="127" w:lineRule="exact"/>
        <w:rPr>
          <w:rFonts w:ascii="Arial" w:cs="Arial" w:eastAsia="Arial" w:hAnsi="Arial"/>
          <w:sz w:val="12"/>
          <w:szCs w:val="12"/>
          <w:color w:val="auto"/>
        </w:rPr>
      </w:pPr>
    </w:p>
    <w:p>
      <w:pPr>
        <w:jc w:val="both"/>
        <w:ind w:left="840" w:right="859" w:firstLine="654"/>
        <w:spacing w:after="0" w:line="299" w:lineRule="auto"/>
        <w:tabs>
          <w:tab w:leader="none" w:pos="1764" w:val="left"/>
        </w:tabs>
        <w:numPr>
          <w:ilvl w:val="0"/>
          <w:numId w:val="60"/>
        </w:numPr>
        <w:rPr>
          <w:rFonts w:ascii="Arial" w:cs="Arial" w:eastAsia="Arial" w:hAnsi="Arial"/>
          <w:sz w:val="11"/>
          <w:szCs w:val="11"/>
          <w:color w:val="auto"/>
        </w:rPr>
      </w:pPr>
      <w:r>
        <w:rPr>
          <w:rFonts w:ascii="Arial" w:cs="Arial" w:eastAsia="Arial" w:hAnsi="Arial"/>
          <w:sz w:val="11"/>
          <w:szCs w:val="11"/>
          <w:color w:val="auto"/>
        </w:rPr>
        <w:t>Each of Zordich and its Subsidiaries is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Zordich Material Adverse Effect.</w:t>
      </w:r>
    </w:p>
    <w:p>
      <w:pPr>
        <w:spacing w:after="0" w:line="105" w:lineRule="exact"/>
        <w:rPr>
          <w:rFonts w:ascii="Arial" w:cs="Arial" w:eastAsia="Arial" w:hAnsi="Arial"/>
          <w:sz w:val="11"/>
          <w:szCs w:val="11"/>
          <w:color w:val="auto"/>
        </w:rPr>
      </w:pPr>
    </w:p>
    <w:p>
      <w:pPr>
        <w:ind w:left="840" w:right="899" w:firstLine="654"/>
        <w:spacing w:after="0" w:line="284" w:lineRule="auto"/>
        <w:tabs>
          <w:tab w:leader="none" w:pos="1757" w:val="left"/>
        </w:tabs>
        <w:numPr>
          <w:ilvl w:val="0"/>
          <w:numId w:val="60"/>
        </w:numPr>
        <w:rPr>
          <w:rFonts w:ascii="Arial" w:cs="Arial" w:eastAsia="Arial" w:hAnsi="Arial"/>
          <w:sz w:val="11"/>
          <w:szCs w:val="11"/>
          <w:color w:val="auto"/>
        </w:rPr>
      </w:pPr>
      <w:r>
        <w:rPr>
          <w:rFonts w:ascii="Arial" w:cs="Arial" w:eastAsia="Arial" w:hAnsi="Arial"/>
          <w:sz w:val="11"/>
          <w:szCs w:val="11"/>
          <w:color w:val="auto"/>
        </w:rPr>
        <w:t>Except as set forth on Section 4.1(c) of the Zordich Disclosure Schedule, Zordich has no Subsidiaries other than Merger Sub and Zordich does not own any capital stock of, or any equity ownership or profit sharing interest of any nature in, or control directly or indirectly, any other Entity other than Merger Sub. Zordich is not and has not otherwise been, directly or indirectly, a party to, member of or participant in any partnership, joint venture or similar business entity. Zordich has not agreed and is not obligated to make, nor is Zordich bound by any Contract under which it may become obligated to make, any future investment in or capital contribution to any other Entity. Zordich has not, at any time, been a general partner of, and has not otherwise been liable for any of the debts or other obligations of, any general partnership, limited partnership or other Entity.</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9019"/>
          </w:cols>
          <w:pgMar w:left="1440" w:top="230" w:right="1440" w:bottom="1440" w:gutter="0" w:footer="0" w:header="0"/>
        </w:sectPr>
      </w:pPr>
    </w:p>
    <w:bookmarkStart w:id="53" w:name="page54"/>
    <w:bookmarkEnd w:id="53"/>
    <w:p>
      <w:pPr>
        <w:ind w:left="1120"/>
        <w:spacing w:after="0"/>
        <w:tabs>
          <w:tab w:leader="none" w:pos="13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4.2</w:t>
      </w:r>
      <w:r>
        <w:rPr>
          <w:sz w:val="20"/>
          <w:szCs w:val="20"/>
          <w:color w:val="auto"/>
        </w:rPr>
        <w:tab/>
      </w:r>
      <w:r>
        <w:rPr>
          <w:rFonts w:ascii="Arial" w:cs="Arial" w:eastAsia="Arial" w:hAnsi="Arial"/>
          <w:sz w:val="10"/>
          <w:szCs w:val="10"/>
          <w:u w:val="single" w:color="auto"/>
          <w:color w:val="auto"/>
        </w:rPr>
        <w:t>Organizational Documents</w:t>
      </w:r>
      <w:r>
        <w:rPr>
          <w:rFonts w:ascii="Arial" w:cs="Arial" w:eastAsia="Arial" w:hAnsi="Arial"/>
          <w:sz w:val="10"/>
          <w:szCs w:val="10"/>
          <w:color w:val="auto"/>
        </w:rPr>
        <w:t>. Zordich has delivered to the Company accurate and complete copies of Zordich’s Organizational Documents.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Zordich is not in breach or violation of its Organizational Documents in any material respect.</w:t>
      </w:r>
    </w:p>
    <w:p>
      <w:pPr>
        <w:spacing w:after="0" w:line="142" w:lineRule="exact"/>
        <w:rPr>
          <w:sz w:val="20"/>
          <w:szCs w:val="20"/>
          <w:color w:val="auto"/>
        </w:rPr>
      </w:pPr>
    </w:p>
    <w:p>
      <w:pPr>
        <w:ind w:left="840" w:right="819" w:firstLine="295"/>
        <w:spacing w:after="0" w:line="278" w:lineRule="auto"/>
        <w:rPr>
          <w:sz w:val="20"/>
          <w:szCs w:val="20"/>
          <w:color w:val="auto"/>
        </w:rPr>
      </w:pPr>
      <w:r>
        <w:rPr>
          <w:rFonts w:ascii="Arial" w:cs="Arial" w:eastAsia="Arial" w:hAnsi="Arial"/>
          <w:sz w:val="11"/>
          <w:szCs w:val="11"/>
          <w:color w:val="auto"/>
        </w:rPr>
        <w:t xml:space="preserve">4.3 </w:t>
      </w:r>
      <w:r>
        <w:rPr>
          <w:rFonts w:ascii="Arial" w:cs="Arial" w:eastAsia="Arial" w:hAnsi="Arial"/>
          <w:sz w:val="11"/>
          <w:szCs w:val="11"/>
          <w:u w:val="single" w:color="auto"/>
          <w:color w:val="auto"/>
        </w:rPr>
        <w:t>Authority; Binding Nature of Agreement</w:t>
      </w:r>
      <w:r>
        <w:rPr>
          <w:rFonts w:ascii="Arial" w:cs="Arial" w:eastAsia="Arial" w:hAnsi="Arial"/>
          <w:sz w:val="11"/>
          <w:szCs w:val="11"/>
          <w:color w:val="auto"/>
        </w:rPr>
        <w:t>. Each of Zordich and Merger Sub has all necessary corporate power and authority to enter into and to perform its obligations under this Agreement and to consummate the Contemplated Transactions. The Zordich Board (at meetings duly called and held) has: (a) determined that the Contemplated Transactions are fair to, advisable and in the best interests of Zordich and its stockholders, (b) approved and declared advisable this Agreement and the Contemplated Transactions, including the issuance of shares of Zordich Common Stock to the stockholders of the Company pursuant to the terms of this Agreement and (c)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Zordich and Merger Sub and, assuming the due authorization, execution and delivery by the Company, constitutes the legal, valid and binding obligation of Zordich and Merger Sub, enforceable against each of Zordich and Merger Sub in accordance with its terms, subject to the Enforceability Exceptions.</w:t>
      </w:r>
    </w:p>
    <w:p>
      <w:pPr>
        <w:spacing w:after="0" w:line="118" w:lineRule="exact"/>
        <w:rPr>
          <w:sz w:val="20"/>
          <w:szCs w:val="20"/>
          <w:color w:val="auto"/>
        </w:rPr>
      </w:pPr>
    </w:p>
    <w:p>
      <w:pPr>
        <w:ind w:left="840" w:right="839" w:firstLine="295"/>
        <w:spacing w:after="0" w:line="257"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Vote Required</w:t>
      </w:r>
      <w:r>
        <w:rPr>
          <w:rFonts w:ascii="Arial" w:cs="Arial" w:eastAsia="Arial" w:hAnsi="Arial"/>
          <w:sz w:val="12"/>
          <w:szCs w:val="12"/>
          <w:color w:val="auto"/>
        </w:rPr>
        <w:t>. The affirmative vote of a majority of (a) the votes cast at the Zordich Stockholder Meeting is the only vote of the holders of any class or series of Zordich’s capital stock necessary to approve the issuance of the shares of Zordich Common Stock to the stockholders of the Company pursuant to the terms of this Agreement and (b) the shares of Zordich Common Stock entitled to vote thereon is the only vote of the holders of any class or series of Zordich’s capital stock necessary to approve an amendment to Zordich’s certificate of incorporation to effect the Zordich Reverse Stock Split (collectively, the “</w:t>
      </w:r>
      <w:r>
        <w:rPr>
          <w:rFonts w:ascii="Arial" w:cs="Arial" w:eastAsia="Arial" w:hAnsi="Arial"/>
          <w:sz w:val="12"/>
          <w:szCs w:val="12"/>
          <w:b w:val="1"/>
          <w:bCs w:val="1"/>
          <w:color w:val="auto"/>
        </w:rPr>
        <w:t>Required Zordich Stockholder Vote</w:t>
      </w:r>
      <w:r>
        <w:rPr>
          <w:rFonts w:ascii="Arial" w:cs="Arial" w:eastAsia="Arial" w:hAnsi="Arial"/>
          <w:sz w:val="12"/>
          <w:szCs w:val="12"/>
          <w:color w:val="auto"/>
        </w:rPr>
        <w:t>”).</w:t>
      </w:r>
    </w:p>
    <w:p>
      <w:pPr>
        <w:spacing w:after="0" w:line="200"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4.5</w:t>
      </w:r>
      <w:r>
        <w:rPr>
          <w:sz w:val="20"/>
          <w:szCs w:val="20"/>
          <w:color w:val="auto"/>
        </w:rPr>
        <w:tab/>
      </w:r>
      <w:r>
        <w:rPr>
          <w:rFonts w:ascii="Arial" w:cs="Arial" w:eastAsia="Arial" w:hAnsi="Arial"/>
          <w:sz w:val="10"/>
          <w:szCs w:val="10"/>
          <w:u w:val="single" w:color="auto"/>
          <w:color w:val="auto"/>
        </w:rPr>
        <w:t>Non-Contravention; Consents</w:t>
      </w:r>
      <w:r>
        <w:rPr>
          <w:rFonts w:ascii="Arial" w:cs="Arial" w:eastAsia="Arial" w:hAnsi="Arial"/>
          <w:sz w:val="10"/>
          <w:szCs w:val="10"/>
          <w:color w:val="auto"/>
        </w:rPr>
        <w:t>.</w:t>
      </w:r>
    </w:p>
    <w:p>
      <w:pPr>
        <w:spacing w:after="0" w:line="79" w:lineRule="exact"/>
        <w:rPr>
          <w:sz w:val="20"/>
          <w:szCs w:val="20"/>
          <w:color w:val="auto"/>
        </w:rPr>
      </w:pPr>
    </w:p>
    <w:p>
      <w:pPr>
        <w:ind w:left="1740" w:hanging="246"/>
        <w:spacing w:after="0"/>
        <w:tabs>
          <w:tab w:leader="none" w:pos="1740" w:val="left"/>
        </w:tabs>
        <w:numPr>
          <w:ilvl w:val="1"/>
          <w:numId w:val="61"/>
        </w:numPr>
        <w:rPr>
          <w:rFonts w:ascii="Arial" w:cs="Arial" w:eastAsia="Arial" w:hAnsi="Arial"/>
          <w:sz w:val="11"/>
          <w:szCs w:val="11"/>
          <w:color w:val="auto"/>
        </w:rPr>
      </w:pPr>
      <w:r>
        <w:rPr>
          <w:rFonts w:ascii="Arial" w:cs="Arial" w:eastAsia="Arial" w:hAnsi="Arial"/>
          <w:sz w:val="11"/>
          <w:szCs w:val="11"/>
          <w:color w:val="auto"/>
        </w:rPr>
        <w:t>Subject to obtaining the Required Zordich Stockholder Vote and the filing of the Certificate of Merger required by the DGCL, neither</w:t>
      </w:r>
    </w:p>
    <w:p>
      <w:pPr>
        <w:spacing w:after="0" w:line="26" w:lineRule="exact"/>
        <w:rPr>
          <w:rFonts w:ascii="Arial" w:cs="Arial" w:eastAsia="Arial" w:hAnsi="Arial"/>
          <w:sz w:val="11"/>
          <w:szCs w:val="11"/>
          <w:color w:val="auto"/>
        </w:rPr>
      </w:pPr>
    </w:p>
    <w:p>
      <w:pPr>
        <w:ind w:left="840" w:right="979" w:hanging="9"/>
        <w:spacing w:after="0" w:line="262" w:lineRule="auto"/>
        <w:tabs>
          <w:tab w:leader="none" w:pos="101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execution, delivery or performance of this Agreement by Zordich or Merger Sub, nor (y) the consummation of the Contemplated Transactions, will directly or indirectly (with or without notice or lapse of time):</w:t>
      </w:r>
    </w:p>
    <w:p>
      <w:pPr>
        <w:spacing w:after="0" w:line="51" w:lineRule="exact"/>
        <w:rPr>
          <w:rFonts w:ascii="Arial" w:cs="Arial" w:eastAsia="Arial" w:hAnsi="Arial"/>
          <w:sz w:val="12"/>
          <w:szCs w:val="12"/>
          <w:color w:val="auto"/>
        </w:rPr>
      </w:pPr>
    </w:p>
    <w:p>
      <w:pPr>
        <w:ind w:left="2000" w:hanging="238"/>
        <w:spacing w:after="0"/>
        <w:tabs>
          <w:tab w:leader="none" w:pos="2000" w:val="left"/>
        </w:tabs>
        <w:numPr>
          <w:ilvl w:val="2"/>
          <w:numId w:val="62"/>
        </w:numPr>
        <w:rPr>
          <w:rFonts w:ascii="Arial" w:cs="Arial" w:eastAsia="Arial" w:hAnsi="Arial"/>
          <w:sz w:val="11"/>
          <w:szCs w:val="11"/>
          <w:color w:val="auto"/>
        </w:rPr>
      </w:pPr>
      <w:r>
        <w:rPr>
          <w:rFonts w:ascii="Arial" w:cs="Arial" w:eastAsia="Arial" w:hAnsi="Arial"/>
          <w:sz w:val="11"/>
          <w:szCs w:val="11"/>
          <w:color w:val="auto"/>
        </w:rPr>
        <w:t>contravene, conflict with or result in a violation of any of the provisions of the Organizational Documents of Zordich or its</w:t>
      </w:r>
    </w:p>
    <w:p>
      <w:pPr>
        <w:spacing w:after="0" w:line="26" w:lineRule="exact"/>
        <w:rPr>
          <w:rFonts w:ascii="Arial" w:cs="Arial" w:eastAsia="Arial" w:hAnsi="Arial"/>
          <w:sz w:val="11"/>
          <w:szCs w:val="11"/>
          <w:color w:val="auto"/>
        </w:rPr>
      </w:pPr>
    </w:p>
    <w:p>
      <w:pPr>
        <w:ind w:left="1120"/>
        <w:spacing w:after="0"/>
        <w:rPr>
          <w:rFonts w:ascii="Arial" w:cs="Arial" w:eastAsia="Arial" w:hAnsi="Arial"/>
          <w:sz w:val="11"/>
          <w:szCs w:val="11"/>
          <w:color w:val="auto"/>
        </w:rPr>
      </w:pPr>
      <w:r>
        <w:rPr>
          <w:rFonts w:ascii="Arial" w:cs="Arial" w:eastAsia="Arial" w:hAnsi="Arial"/>
          <w:sz w:val="12"/>
          <w:szCs w:val="12"/>
          <w:color w:val="auto"/>
        </w:rPr>
        <w:t>Subsidiaries;</w:t>
      </w:r>
    </w:p>
    <w:p>
      <w:pPr>
        <w:spacing w:after="0" w:line="69" w:lineRule="exact"/>
        <w:rPr>
          <w:rFonts w:ascii="Arial" w:cs="Arial" w:eastAsia="Arial" w:hAnsi="Arial"/>
          <w:sz w:val="11"/>
          <w:szCs w:val="11"/>
          <w:color w:val="auto"/>
        </w:rPr>
      </w:pPr>
    </w:p>
    <w:p>
      <w:pPr>
        <w:ind w:left="1120" w:right="999" w:firstLine="642"/>
        <w:spacing w:after="0" w:line="264" w:lineRule="auto"/>
        <w:tabs>
          <w:tab w:leader="none" w:pos="2024" w:val="left"/>
        </w:tabs>
        <w:numPr>
          <w:ilvl w:val="2"/>
          <w:numId w:val="62"/>
        </w:numPr>
        <w:rPr>
          <w:rFonts w:ascii="Arial" w:cs="Arial" w:eastAsia="Arial" w:hAnsi="Arial"/>
          <w:sz w:val="12"/>
          <w:szCs w:val="12"/>
          <w:color w:val="auto"/>
        </w:rPr>
      </w:pPr>
      <w:r>
        <w:rPr>
          <w:rFonts w:ascii="Arial" w:cs="Arial" w:eastAsia="Arial" w:hAnsi="Arial"/>
          <w:sz w:val="12"/>
          <w:szCs w:val="12"/>
          <w:color w:val="auto"/>
        </w:rPr>
        <w:t>contravene, conflict with or result in a material violation of, or give any Governmental Authority or other Person the right to challenge the Contemplated Transactions or to exercise any remedy or obtain any relief under, any Law or any Order to which Zordich or its Subsidiaries, or any of the assets owned or used by Zordich or its Subsidiaries, is subject;</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9019"/>
          </w:cols>
          <w:pgMar w:left="1440" w:top="230" w:right="1440" w:bottom="1440" w:gutter="0" w:footer="0" w:header="0"/>
        </w:sectPr>
      </w:pPr>
    </w:p>
    <w:bookmarkStart w:id="54" w:name="page55"/>
    <w:bookmarkEnd w:id="54"/>
    <w:p>
      <w:pPr>
        <w:ind w:left="1120" w:right="1059" w:firstLine="642"/>
        <w:spacing w:after="0" w:line="299" w:lineRule="auto"/>
        <w:tabs>
          <w:tab w:leader="none" w:pos="2057" w:val="left"/>
        </w:tabs>
        <w:numPr>
          <w:ilvl w:val="2"/>
          <w:numId w:val="6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Zordich or its Subsidiaries, or that otherwise relates to the business of Zordich, or any of the assets owned, leased or used by Zordich;</w:t>
      </w:r>
    </w:p>
    <w:p>
      <w:pPr>
        <w:spacing w:after="0" w:line="32" w:lineRule="exact"/>
        <w:rPr>
          <w:rFonts w:ascii="Arial" w:cs="Arial" w:eastAsia="Arial" w:hAnsi="Arial"/>
          <w:sz w:val="11"/>
          <w:szCs w:val="11"/>
          <w:color w:val="auto"/>
        </w:rPr>
      </w:pPr>
    </w:p>
    <w:p>
      <w:pPr>
        <w:ind w:left="1120" w:right="839" w:firstLine="642"/>
        <w:spacing w:after="0" w:line="257" w:lineRule="auto"/>
        <w:tabs>
          <w:tab w:leader="none" w:pos="2050" w:val="left"/>
        </w:tabs>
        <w:numPr>
          <w:ilvl w:val="2"/>
          <w:numId w:val="63"/>
        </w:numPr>
        <w:rPr>
          <w:rFonts w:ascii="Arial" w:cs="Arial" w:eastAsia="Arial" w:hAnsi="Arial"/>
          <w:sz w:val="12"/>
          <w:szCs w:val="12"/>
          <w:color w:val="auto"/>
        </w:rPr>
      </w:pPr>
      <w:r>
        <w:rPr>
          <w:rFonts w:ascii="Arial" w:cs="Arial" w:eastAsia="Arial" w:hAnsi="Arial"/>
          <w:sz w:val="12"/>
          <w:szCs w:val="12"/>
          <w:color w:val="auto"/>
        </w:rPr>
        <w:t>contravene, conflict with or result in a violation or breach of, or result in a default under, any provision of any Zordich Material Contract, or give any Person the right to: (A) declare a default or exercise any remedy under any Zordich Material Contract, (B) any material payment, rebate, chargeback, penalty or change in delivery schedule under any such Zordich Material Contract, (C) accelerate the maturity or performance of any Zordich Material Contract or (D) cancel, terminate or modify any term of any Zordich Material Contract, except in the case of any non-material breach, default, penalty or modification; or</w:t>
      </w:r>
    </w:p>
    <w:p>
      <w:pPr>
        <w:spacing w:after="0" w:line="55" w:lineRule="exact"/>
        <w:rPr>
          <w:rFonts w:ascii="Arial" w:cs="Arial" w:eastAsia="Arial" w:hAnsi="Arial"/>
          <w:sz w:val="12"/>
          <w:szCs w:val="12"/>
          <w:color w:val="auto"/>
        </w:rPr>
      </w:pPr>
    </w:p>
    <w:p>
      <w:pPr>
        <w:ind w:left="1120" w:right="1139" w:firstLine="642"/>
        <w:spacing w:after="0" w:line="277" w:lineRule="auto"/>
        <w:tabs>
          <w:tab w:leader="none" w:pos="2017" w:val="left"/>
        </w:tabs>
        <w:numPr>
          <w:ilvl w:val="2"/>
          <w:numId w:val="63"/>
        </w:numPr>
        <w:rPr>
          <w:rFonts w:ascii="Arial" w:cs="Arial" w:eastAsia="Arial" w:hAnsi="Arial"/>
          <w:sz w:val="12"/>
          <w:szCs w:val="12"/>
          <w:color w:val="auto"/>
        </w:rPr>
      </w:pPr>
      <w:r>
        <w:rPr>
          <w:rFonts w:ascii="Arial" w:cs="Arial" w:eastAsia="Arial" w:hAnsi="Arial"/>
          <w:sz w:val="12"/>
          <w:szCs w:val="12"/>
          <w:color w:val="auto"/>
        </w:rPr>
        <w:t>result in the imposition or creation of any Encumbrance upon or with respect to any asset owned or used by Zordich or its Subsidiaries (except for Permitted Encumbrances).</w:t>
      </w:r>
    </w:p>
    <w:p>
      <w:pPr>
        <w:spacing w:after="0" w:line="114" w:lineRule="exact"/>
        <w:rPr>
          <w:rFonts w:ascii="Arial" w:cs="Arial" w:eastAsia="Arial" w:hAnsi="Arial"/>
          <w:sz w:val="12"/>
          <w:szCs w:val="12"/>
          <w:color w:val="auto"/>
        </w:rPr>
      </w:pPr>
    </w:p>
    <w:p>
      <w:pPr>
        <w:ind w:left="840" w:right="879" w:firstLine="654"/>
        <w:spacing w:after="0" w:line="310" w:lineRule="auto"/>
        <w:tabs>
          <w:tab w:leader="none" w:pos="1764" w:val="left"/>
        </w:tabs>
        <w:numPr>
          <w:ilvl w:val="1"/>
          <w:numId w:val="64"/>
        </w:numPr>
        <w:rPr>
          <w:rFonts w:ascii="Arial" w:cs="Arial" w:eastAsia="Arial" w:hAnsi="Arial"/>
          <w:sz w:val="10"/>
          <w:szCs w:val="10"/>
          <w:color w:val="auto"/>
        </w:rPr>
      </w:pPr>
      <w:r>
        <w:rPr>
          <w:rFonts w:ascii="Arial" w:cs="Arial" w:eastAsia="Arial" w:hAnsi="Arial"/>
          <w:sz w:val="10"/>
          <w:szCs w:val="10"/>
          <w:color w:val="auto"/>
        </w:rPr>
        <w:t>Except for (i) any Consent set forth on Section 4.5 of the Zordich Disclosure Schedule under any Zordich Contract, (ii) the Required Zordich Stockholder Vote, (iii) the filing of the Certificate of Merger with the Secretary of State of the State of Delaware pursuant to the DGCL, and</w:t>
      </w:r>
    </w:p>
    <w:p>
      <w:pPr>
        <w:ind w:left="840" w:right="819" w:hanging="9"/>
        <w:spacing w:after="0" w:line="254" w:lineRule="auto"/>
        <w:tabs>
          <w:tab w:leader="none" w:pos="1044" w:val="left"/>
        </w:tabs>
        <w:numPr>
          <w:ilvl w:val="0"/>
          <w:numId w:val="65"/>
        </w:numPr>
        <w:rPr>
          <w:rFonts w:ascii="Arial" w:cs="Arial" w:eastAsia="Arial" w:hAnsi="Arial"/>
          <w:sz w:val="12"/>
          <w:szCs w:val="12"/>
          <w:color w:val="auto"/>
        </w:rPr>
      </w:pPr>
      <w:r>
        <w:rPr>
          <w:rFonts w:ascii="Arial" w:cs="Arial" w:eastAsia="Arial" w:hAnsi="Arial"/>
          <w:sz w:val="12"/>
          <w:szCs w:val="12"/>
          <w:color w:val="auto"/>
        </w:rPr>
        <w:t>such consents, waivers, approvals, orders, authorizations, registrations, declarations and filings as may be required under applicable federal and state securities laws, neither Zordich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29" w:lineRule="exact"/>
        <w:rPr>
          <w:rFonts w:ascii="Arial" w:cs="Arial" w:eastAsia="Arial" w:hAnsi="Arial"/>
          <w:sz w:val="12"/>
          <w:szCs w:val="12"/>
          <w:color w:val="auto"/>
        </w:rPr>
      </w:pPr>
    </w:p>
    <w:p>
      <w:pPr>
        <w:ind w:left="840" w:right="839" w:firstLine="654"/>
        <w:spacing w:after="0" w:line="260" w:lineRule="auto"/>
        <w:tabs>
          <w:tab w:leader="none" w:pos="1755" w:val="left"/>
        </w:tabs>
        <w:numPr>
          <w:ilvl w:val="1"/>
          <w:numId w:val="65"/>
        </w:numPr>
        <w:rPr>
          <w:rFonts w:ascii="Arial" w:cs="Arial" w:eastAsia="Arial" w:hAnsi="Arial"/>
          <w:sz w:val="12"/>
          <w:szCs w:val="12"/>
          <w:color w:val="auto"/>
        </w:rPr>
      </w:pPr>
      <w:r>
        <w:rPr>
          <w:rFonts w:ascii="Arial" w:cs="Arial" w:eastAsia="Arial" w:hAnsi="Arial"/>
          <w:sz w:val="12"/>
          <w:szCs w:val="12"/>
          <w:color w:val="auto"/>
        </w:rPr>
        <w:t>The Zordich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97"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1"/>
          <w:szCs w:val="11"/>
          <w:u w:val="single" w:color="auto"/>
          <w:color w:val="auto"/>
        </w:rPr>
        <w:t>Capitalization.</w:t>
      </w:r>
    </w:p>
    <w:p>
      <w:pPr>
        <w:spacing w:after="0" w:line="79" w:lineRule="exact"/>
        <w:rPr>
          <w:sz w:val="20"/>
          <w:szCs w:val="20"/>
          <w:color w:val="auto"/>
        </w:rPr>
      </w:pPr>
    </w:p>
    <w:p>
      <w:pPr>
        <w:ind w:left="840" w:right="819" w:firstLine="654"/>
        <w:spacing w:after="0" w:line="260" w:lineRule="auto"/>
        <w:tabs>
          <w:tab w:leader="none" w:pos="1755"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authorized capital stock of Zordich consists of (i) 115,000,000 shares of Zordich Common Stock, par value $0.001 per share, of which 37,374,118 shares have been issued and are outstanding as of December 16, 2019 (the “</w:t>
      </w:r>
      <w:r>
        <w:rPr>
          <w:rFonts w:ascii="Arial" w:cs="Arial" w:eastAsia="Arial" w:hAnsi="Arial"/>
          <w:sz w:val="12"/>
          <w:szCs w:val="12"/>
          <w:b w:val="1"/>
          <w:bCs w:val="1"/>
          <w:color w:val="auto"/>
        </w:rPr>
        <w:t>Capitalization Date</w:t>
      </w:r>
      <w:r>
        <w:rPr>
          <w:rFonts w:ascii="Arial" w:cs="Arial" w:eastAsia="Arial" w:hAnsi="Arial"/>
          <w:sz w:val="12"/>
          <w:szCs w:val="12"/>
          <w:color w:val="auto"/>
        </w:rPr>
        <w:t>”) and (ii) 5,000,000 shares of preferred stock, par value $0.001 per share, of which no shares have been issued and are outstanding as of the Capitalization Date. Zordich does not hold any shares of its capital stock in its treasury.</w:t>
      </w:r>
    </w:p>
    <w:p>
      <w:pPr>
        <w:spacing w:after="0" w:line="124" w:lineRule="exact"/>
        <w:rPr>
          <w:rFonts w:ascii="Arial" w:cs="Arial" w:eastAsia="Arial" w:hAnsi="Arial"/>
          <w:sz w:val="12"/>
          <w:szCs w:val="12"/>
          <w:color w:val="auto"/>
        </w:rPr>
      </w:pPr>
    </w:p>
    <w:p>
      <w:pPr>
        <w:ind w:left="840" w:right="819" w:firstLine="654"/>
        <w:spacing w:after="0" w:line="282" w:lineRule="auto"/>
        <w:tabs>
          <w:tab w:leader="none" w:pos="1757" w:val="left"/>
        </w:tabs>
        <w:numPr>
          <w:ilvl w:val="0"/>
          <w:numId w:val="66"/>
        </w:numPr>
        <w:rPr>
          <w:rFonts w:ascii="Arial" w:cs="Arial" w:eastAsia="Arial" w:hAnsi="Arial"/>
          <w:sz w:val="11"/>
          <w:szCs w:val="11"/>
          <w:color w:val="auto"/>
        </w:rPr>
      </w:pPr>
      <w:r>
        <w:rPr>
          <w:rFonts w:ascii="Arial" w:cs="Arial" w:eastAsia="Arial" w:hAnsi="Arial"/>
          <w:sz w:val="11"/>
          <w:szCs w:val="11"/>
          <w:color w:val="auto"/>
        </w:rPr>
        <w:t>All of the outstanding shares of Zordich Common Stock have been duly authorized and validly issued, and are fully paid and nonassessable and are free of any Encumbrances. None of the outstanding shares of Zordich Common Stock is entitled or subject to any preemptive right, right of participation, right of maintenance or any similar right. None of the outstanding shares of Zordich Common Stock is subject to any right of first refusal in favor of Zordich. Except as contemplated herein, there is no Zordich Contract relating to the voting or registration of, or restricting any Person from purchasing, selling, pledging or otherwise disposing of (or granting any option or similar right with respect to), any shares of Zordich Common Stock. Zordich is not under any obligation, nor is Zordich bound by any Contract pursuant to which it may become obligated, to repurchase, redeem or otherwise acquire any outstanding shares of Zordich Common</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9019"/>
          </w:cols>
          <w:pgMar w:left="1440" w:top="230" w:right="1440" w:bottom="1440" w:gutter="0" w:footer="0" w:header="0"/>
        </w:sectPr>
      </w:pPr>
    </w:p>
    <w:bookmarkStart w:id="55" w:name="page56"/>
    <w:bookmarkEnd w:id="55"/>
    <w:p>
      <w:pPr>
        <w:ind w:left="840" w:right="97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Stock or other securities. Section 4.6(b) of the Zordich Disclosure Schedule accurately and completely describes all repurchase rights held by Zordich with respect to shares of Zordich Common Stock (including shares issued pursuant to the exercise of stock options) and specifies which of those repurchase rights are currently exercisable.</w:t>
      </w:r>
    </w:p>
    <w:p>
      <w:pPr>
        <w:spacing w:after="0" w:line="122" w:lineRule="exact"/>
        <w:rPr>
          <w:sz w:val="20"/>
          <w:szCs w:val="20"/>
          <w:color w:val="auto"/>
        </w:rPr>
      </w:pPr>
    </w:p>
    <w:p>
      <w:pPr>
        <w:ind w:left="840" w:right="839" w:firstLine="654"/>
        <w:spacing w:after="0" w:line="303" w:lineRule="auto"/>
        <w:tabs>
          <w:tab w:leader="none" w:pos="1757" w:val="left"/>
        </w:tabs>
        <w:numPr>
          <w:ilvl w:val="1"/>
          <w:numId w:val="67"/>
        </w:numPr>
        <w:rPr>
          <w:rFonts w:ascii="Arial" w:cs="Arial" w:eastAsia="Arial" w:hAnsi="Arial"/>
          <w:sz w:val="10"/>
          <w:szCs w:val="10"/>
          <w:color w:val="auto"/>
        </w:rPr>
      </w:pPr>
      <w:r>
        <w:rPr>
          <w:rFonts w:ascii="Arial" w:cs="Arial" w:eastAsia="Arial" w:hAnsi="Arial"/>
          <w:sz w:val="10"/>
          <w:szCs w:val="10"/>
          <w:color w:val="auto"/>
        </w:rPr>
        <w:t>Except for the Zordich Amended and Restated 2006 Stock Option Plan and the Zordich 2014 Stock Option and Incentive Plan (collectively, the “</w:t>
      </w:r>
      <w:r>
        <w:rPr>
          <w:rFonts w:ascii="Arial" w:cs="Arial" w:eastAsia="Arial" w:hAnsi="Arial"/>
          <w:sz w:val="10"/>
          <w:szCs w:val="10"/>
          <w:b w:val="1"/>
          <w:bCs w:val="1"/>
          <w:color w:val="auto"/>
        </w:rPr>
        <w:t>Zordich Stock Plans</w:t>
      </w:r>
      <w:r>
        <w:rPr>
          <w:rFonts w:ascii="Arial" w:cs="Arial" w:eastAsia="Arial" w:hAnsi="Arial"/>
          <w:sz w:val="10"/>
          <w:szCs w:val="10"/>
          <w:color w:val="auto"/>
        </w:rPr>
        <w:t>”) and the Zordich 2014 Employee Stock Purchase Plan (the “</w:t>
      </w:r>
      <w:r>
        <w:rPr>
          <w:rFonts w:ascii="Arial" w:cs="Arial" w:eastAsia="Arial" w:hAnsi="Arial"/>
          <w:sz w:val="10"/>
          <w:szCs w:val="10"/>
          <w:b w:val="1"/>
          <w:bCs w:val="1"/>
          <w:color w:val="auto"/>
        </w:rPr>
        <w:t>Zordich ESPP</w:t>
      </w:r>
      <w:r>
        <w:rPr>
          <w:rFonts w:ascii="Arial" w:cs="Arial" w:eastAsia="Arial" w:hAnsi="Arial"/>
          <w:sz w:val="10"/>
          <w:szCs w:val="10"/>
          <w:color w:val="auto"/>
        </w:rPr>
        <w:t>”), and except as set forth on Section 4.6(c)(i) of the Zordich Disclosure Schedule, Zordich does not have any stock option plan or any other plan, program, agreement or arrangement providing for any equity-based compensation for any Person. As of the date of this Agreement, Zordich has reserved 9,578,384 shares of Zordich Common Stock for issuance under the Zordich Stock Plans, of which 1,359,691 shares have been issued and are currently outstanding, 3,522,238 shares have been reserved for issuance upon exercise or settlement of Zordich Options and Zordich RSUs, as applicable, granted under the Zordich Stock Plans, and 4,696,455 shares remain available for future issuance pursuant to the Zordich Stock Plans. As of the date of this Agreement, Zordich has reserved 69,522 shares of Zordich Common Stock for future issuance pursuant to the Zordich ESPP. Section 4.6(c)(ii) of the Zordich Disclosure Schedule sets forth the following information with respect to each Zordich Option and Zordich RSUs outstanding as of the date of this Agreement, as applicable: (i) the name of the holder, (ii) the number of shares of Zordich Common Stock subject to such Zordich Option and Zordich RSUs at the time of grant, (iii) the number of shares of Zordich Common Stock subject to such Zordich Option and Zordich RSUs as of the date of this Agreement,</w:t>
      </w:r>
    </w:p>
    <w:p>
      <w:pPr>
        <w:ind w:left="840" w:right="959" w:hanging="9"/>
        <w:spacing w:after="0" w:line="280" w:lineRule="auto"/>
        <w:tabs>
          <w:tab w:leader="none" w:pos="1044"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exercise price of such Zordich Option, (v) the date on which such Zordich Option and Zordich RSUs was granted, (vi) the applicable vesting schedule, including any acceleration provisions and the number of vested and unvested shares as of the date of this Agreement, (vii) the date on which such Zordich Option expires and (viii) whether such Zordich Option is intended to be an “incentive stock option” (as defined in the Code) or a non-qualified stock option. Zordich has made available to the Company accurate and complete copies of equity incentive plans pursuant to which Zordich has equity-based awards, the forms of all award agreements evidencing such equity-based awards and evidence of board and stockholder approval of the Zordich Stock Plans and any amendments thereto.</w:t>
      </w:r>
    </w:p>
    <w:p>
      <w:pPr>
        <w:spacing w:after="0" w:line="116" w:lineRule="exact"/>
        <w:rPr>
          <w:rFonts w:ascii="Arial" w:cs="Arial" w:eastAsia="Arial" w:hAnsi="Arial"/>
          <w:sz w:val="11"/>
          <w:szCs w:val="11"/>
          <w:color w:val="auto"/>
        </w:rPr>
      </w:pPr>
    </w:p>
    <w:p>
      <w:pPr>
        <w:ind w:left="1760" w:hanging="266"/>
        <w:spacing w:after="0"/>
        <w:tabs>
          <w:tab w:leader="none" w:pos="1760" w:val="left"/>
        </w:tabs>
        <w:numPr>
          <w:ilvl w:val="1"/>
          <w:numId w:val="68"/>
        </w:numPr>
        <w:rPr>
          <w:rFonts w:ascii="Arial" w:cs="Arial" w:eastAsia="Arial" w:hAnsi="Arial"/>
          <w:sz w:val="11"/>
          <w:szCs w:val="11"/>
          <w:color w:val="auto"/>
        </w:rPr>
      </w:pPr>
      <w:r>
        <w:rPr>
          <w:rFonts w:ascii="Arial" w:cs="Arial" w:eastAsia="Arial" w:hAnsi="Arial"/>
          <w:sz w:val="11"/>
          <w:szCs w:val="11"/>
          <w:color w:val="auto"/>
        </w:rPr>
        <w:t>Except for the outstanding Zordich Options and Zordich RSUs or as set forth on Section 4.6(d) of the Zordich Disclosure Schedule,</w:t>
      </w:r>
    </w:p>
    <w:p>
      <w:pPr>
        <w:spacing w:after="0" w:line="26" w:lineRule="exact"/>
        <w:rPr>
          <w:rFonts w:ascii="Arial" w:cs="Arial" w:eastAsia="Arial" w:hAnsi="Arial"/>
          <w:sz w:val="11"/>
          <w:szCs w:val="11"/>
          <w:color w:val="auto"/>
        </w:rPr>
      </w:pPr>
    </w:p>
    <w:p>
      <w:pPr>
        <w:ind w:left="840" w:right="919"/>
        <w:spacing w:after="0" w:line="279" w:lineRule="auto"/>
        <w:rPr>
          <w:rFonts w:ascii="Arial" w:cs="Arial" w:eastAsia="Arial" w:hAnsi="Arial"/>
          <w:sz w:val="11"/>
          <w:szCs w:val="11"/>
          <w:color w:val="auto"/>
        </w:rPr>
      </w:pPr>
      <w:r>
        <w:rPr>
          <w:rFonts w:ascii="Arial" w:cs="Arial" w:eastAsia="Arial" w:hAnsi="Arial"/>
          <w:sz w:val="11"/>
          <w:szCs w:val="11"/>
          <w:color w:val="auto"/>
        </w:rPr>
        <w:t>there is no: (i) outstanding subscription, option, call, warrant or right (whether or not currently exercisable) to acquire any shares of the capital stock or other securities of Zordich, (ii) outstanding security, instrument or obligation that is or may become convertible into or exchangeable for any shares of the capital stock or other securities of Zordich, (iii) stockholder rights plan (or similar plan commonly referred to as a “poison pill”) or Contract under which Zordich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Zordich. There are no outstanding or authorized stock appreciation, phantom stock, profit participation or other similar rights with respect to Zordich.</w:t>
      </w:r>
    </w:p>
    <w:p>
      <w:pPr>
        <w:spacing w:after="0" w:line="117" w:lineRule="exact"/>
        <w:rPr>
          <w:rFonts w:ascii="Arial" w:cs="Arial" w:eastAsia="Arial" w:hAnsi="Arial"/>
          <w:sz w:val="11"/>
          <w:szCs w:val="11"/>
          <w:color w:val="auto"/>
        </w:rPr>
      </w:pPr>
    </w:p>
    <w:p>
      <w:pPr>
        <w:ind w:left="840" w:right="919" w:firstLine="654"/>
        <w:spacing w:after="0" w:line="264" w:lineRule="auto"/>
        <w:tabs>
          <w:tab w:leader="none" w:pos="1750" w:val="left"/>
        </w:tabs>
        <w:numPr>
          <w:ilvl w:val="1"/>
          <w:numId w:val="68"/>
        </w:numPr>
        <w:rPr>
          <w:rFonts w:ascii="Arial" w:cs="Arial" w:eastAsia="Arial" w:hAnsi="Arial"/>
          <w:sz w:val="12"/>
          <w:szCs w:val="12"/>
          <w:color w:val="auto"/>
        </w:rPr>
      </w:pPr>
      <w:r>
        <w:rPr>
          <w:rFonts w:ascii="Arial" w:cs="Arial" w:eastAsia="Arial" w:hAnsi="Arial"/>
          <w:sz w:val="12"/>
          <w:szCs w:val="12"/>
          <w:color w:val="auto"/>
        </w:rPr>
        <w:t>All outstanding shares of Zordich Common Stock, Zordich Options, Zordich RSUs and other securities of Zordich have been issued and granted in material compliance with (i) all applicable securities laws and other applicable Law and (ii) all requirements set forth in applicable Contracts.</w:t>
      </w:r>
    </w:p>
    <w:p>
      <w:pPr>
        <w:spacing w:after="0" w:line="122" w:lineRule="exact"/>
        <w:rPr>
          <w:rFonts w:ascii="Arial" w:cs="Arial" w:eastAsia="Arial" w:hAnsi="Arial"/>
          <w:sz w:val="12"/>
          <w:szCs w:val="12"/>
          <w:color w:val="auto"/>
        </w:rPr>
      </w:pPr>
    </w:p>
    <w:p>
      <w:pPr>
        <w:jc w:val="both"/>
        <w:ind w:left="840" w:right="999" w:firstLine="654"/>
        <w:spacing w:after="0" w:line="264" w:lineRule="auto"/>
        <w:tabs>
          <w:tab w:leader="none" w:pos="1741" w:val="left"/>
        </w:tabs>
        <w:numPr>
          <w:ilvl w:val="1"/>
          <w:numId w:val="68"/>
        </w:numPr>
        <w:rPr>
          <w:rFonts w:ascii="Arial" w:cs="Arial" w:eastAsia="Arial" w:hAnsi="Arial"/>
          <w:sz w:val="12"/>
          <w:szCs w:val="12"/>
          <w:color w:val="auto"/>
        </w:rPr>
      </w:pPr>
      <w:r>
        <w:rPr>
          <w:rFonts w:ascii="Arial" w:cs="Arial" w:eastAsia="Arial" w:hAnsi="Arial"/>
          <w:sz w:val="12"/>
          <w:szCs w:val="12"/>
          <w:color w:val="auto"/>
        </w:rPr>
        <w:t>With respect to Zordich Options and Zordich RSUs granted pursuant to the Zordich Stock Plans, each Zordich Option and Zordich RSUs grant was made in accordance with the terms of the Zordich Stock Plan pursuant to which it was granted and, to the Knowledge of Zordich, all other applicable Law and regulatory rules or requirements.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9019"/>
          </w:cols>
          <w:pgMar w:left="1440" w:top="230" w:right="1440" w:bottom="1440" w:gutter="0" w:footer="0" w:header="0"/>
        </w:sectPr>
      </w:pPr>
    </w:p>
    <w:bookmarkStart w:id="56" w:name="page57"/>
    <w:bookmarkEnd w:id="56"/>
    <w:p>
      <w:pPr>
        <w:ind w:left="1120"/>
        <w:spacing w:after="0"/>
        <w:tabs>
          <w:tab w:leader="none" w:pos="13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4.7</w:t>
      </w:r>
      <w:r>
        <w:rPr>
          <w:sz w:val="20"/>
          <w:szCs w:val="20"/>
          <w:color w:val="auto"/>
        </w:rPr>
        <w:tab/>
      </w:r>
      <w:r>
        <w:rPr>
          <w:rFonts w:ascii="Arial" w:cs="Arial" w:eastAsia="Arial" w:hAnsi="Arial"/>
          <w:sz w:val="10"/>
          <w:szCs w:val="10"/>
          <w:u w:val="single" w:color="auto"/>
          <w:color w:val="auto"/>
        </w:rPr>
        <w:t>SEC Filings; Financial Statements</w:t>
      </w:r>
      <w:r>
        <w:rPr>
          <w:rFonts w:ascii="Arial" w:cs="Arial" w:eastAsia="Arial" w:hAnsi="Arial"/>
          <w:sz w:val="10"/>
          <w:szCs w:val="10"/>
          <w:color w:val="auto"/>
        </w:rPr>
        <w:t>.</w:t>
      </w:r>
    </w:p>
    <w:p>
      <w:pPr>
        <w:spacing w:after="0" w:line="79" w:lineRule="exact"/>
        <w:rPr>
          <w:sz w:val="20"/>
          <w:szCs w:val="20"/>
          <w:color w:val="auto"/>
        </w:rPr>
      </w:pPr>
    </w:p>
    <w:p>
      <w:pPr>
        <w:ind w:left="840" w:right="839" w:firstLine="654"/>
        <w:spacing w:after="0" w:line="279" w:lineRule="auto"/>
        <w:tabs>
          <w:tab w:leader="none" w:pos="1757" w:val="left"/>
        </w:tabs>
        <w:numPr>
          <w:ilvl w:val="1"/>
          <w:numId w:val="69"/>
        </w:numPr>
        <w:rPr>
          <w:rFonts w:ascii="Arial" w:cs="Arial" w:eastAsia="Arial" w:hAnsi="Arial"/>
          <w:sz w:val="11"/>
          <w:szCs w:val="11"/>
          <w:color w:val="auto"/>
        </w:rPr>
      </w:pPr>
      <w:r>
        <w:rPr>
          <w:rFonts w:ascii="Arial" w:cs="Arial" w:eastAsia="Arial" w:hAnsi="Arial"/>
          <w:sz w:val="11"/>
          <w:szCs w:val="11"/>
          <w:color w:val="auto"/>
        </w:rPr>
        <w:t>Zordich has filed or furnished, as applicable, on a timely basis all forms, statements, certifications, reports and documents required to be filed or furnished by it with the SEC under the Exchange Act or the Securities Act since January 1, 2017 (the “</w:t>
      </w:r>
      <w:r>
        <w:rPr>
          <w:rFonts w:ascii="Arial" w:cs="Arial" w:eastAsia="Arial" w:hAnsi="Arial"/>
          <w:sz w:val="11"/>
          <w:szCs w:val="11"/>
          <w:b w:val="1"/>
          <w:bCs w:val="1"/>
          <w:color w:val="auto"/>
        </w:rPr>
        <w:t>Zordich SEC Documents</w:t>
      </w:r>
      <w:r>
        <w:rPr>
          <w:rFonts w:ascii="Arial" w:cs="Arial" w:eastAsia="Arial" w:hAnsi="Arial"/>
          <w:sz w:val="11"/>
          <w:szCs w:val="11"/>
          <w:color w:val="auto"/>
        </w:rPr>
        <w:t>”). As of the time it was filed with the SEC (or, if amended or superseded by a filing prior to the date of this Agreement, then on the date of such filing), each of the Zordich SEC Documents complied in all material respects with the applicable requirements of the Securities Act or the Exchange Act (as the case may be) and, as of the time they were filed, none of the Zordich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Zordich SEC Documents (collectively, the “</w:t>
      </w:r>
      <w:r>
        <w:rPr>
          <w:rFonts w:ascii="Arial" w:cs="Arial" w:eastAsia="Arial" w:hAnsi="Arial"/>
          <w:sz w:val="11"/>
          <w:szCs w:val="11"/>
          <w:b w:val="1"/>
          <w:bCs w:val="1"/>
          <w:color w:val="auto"/>
        </w:rPr>
        <w:t>Certifications</w:t>
      </w:r>
      <w:r>
        <w:rPr>
          <w:rFonts w:ascii="Arial" w:cs="Arial" w:eastAsia="Arial" w:hAnsi="Arial"/>
          <w:sz w:val="11"/>
          <w:szCs w:val="11"/>
          <w:color w:val="auto"/>
        </w:rPr>
        <w:t xml:space="preserve">”) are accurate and complete and comply as to form and content with all applicable Laws. As used in this </w:t>
      </w:r>
      <w:r>
        <w:rPr>
          <w:rFonts w:ascii="Arial" w:cs="Arial" w:eastAsia="Arial" w:hAnsi="Arial"/>
          <w:sz w:val="11"/>
          <w:szCs w:val="11"/>
          <w:u w:val="single" w:color="auto"/>
          <w:color w:val="auto"/>
        </w:rPr>
        <w:t>Section 4.7</w:t>
      </w:r>
      <w:r>
        <w:rPr>
          <w:rFonts w:ascii="Arial" w:cs="Arial" w:eastAsia="Arial" w:hAnsi="Arial"/>
          <w:sz w:val="11"/>
          <w:szCs w:val="11"/>
          <w:color w:val="auto"/>
        </w:rPr>
        <w:t>, the term “file” and variations thereof shall be broadly construed to include any manner in which a document or information is furnished, supplied or otherwise made available to the SEC.</w:t>
      </w:r>
    </w:p>
    <w:p>
      <w:pPr>
        <w:spacing w:after="0" w:line="118" w:lineRule="exact"/>
        <w:rPr>
          <w:rFonts w:ascii="Arial" w:cs="Arial" w:eastAsia="Arial" w:hAnsi="Arial"/>
          <w:sz w:val="11"/>
          <w:szCs w:val="11"/>
          <w:color w:val="auto"/>
        </w:rPr>
      </w:pPr>
    </w:p>
    <w:p>
      <w:pPr>
        <w:ind w:left="1760" w:hanging="266"/>
        <w:spacing w:after="0"/>
        <w:tabs>
          <w:tab w:leader="none" w:pos="1760" w:val="left"/>
        </w:tabs>
        <w:numPr>
          <w:ilvl w:val="1"/>
          <w:numId w:val="69"/>
        </w:numPr>
        <w:rPr>
          <w:rFonts w:ascii="Arial" w:cs="Arial" w:eastAsia="Arial" w:hAnsi="Arial"/>
          <w:sz w:val="11"/>
          <w:szCs w:val="11"/>
          <w:color w:val="auto"/>
        </w:rPr>
      </w:pPr>
      <w:r>
        <w:rPr>
          <w:rFonts w:ascii="Arial" w:cs="Arial" w:eastAsia="Arial" w:hAnsi="Arial"/>
          <w:sz w:val="11"/>
          <w:szCs w:val="11"/>
          <w:color w:val="auto"/>
        </w:rPr>
        <w:t>The financial statements (including any related notes) contained or incorporated by reference in the Zordich SEC Documents:</w:t>
      </w:r>
    </w:p>
    <w:p>
      <w:pPr>
        <w:spacing w:after="0" w:line="26" w:lineRule="exact"/>
        <w:rPr>
          <w:rFonts w:ascii="Arial" w:cs="Arial" w:eastAsia="Arial" w:hAnsi="Arial"/>
          <w:sz w:val="11"/>
          <w:szCs w:val="11"/>
          <w:color w:val="auto"/>
        </w:rPr>
      </w:pPr>
    </w:p>
    <w:p>
      <w:pPr>
        <w:ind w:left="840" w:right="859" w:hanging="9"/>
        <w:spacing w:after="0" w:line="278" w:lineRule="auto"/>
        <w:tabs>
          <w:tab w:leader="none" w:pos="984" w:val="left"/>
        </w:tabs>
        <w:numPr>
          <w:ilvl w:val="0"/>
          <w:numId w:val="70"/>
        </w:numPr>
        <w:rPr>
          <w:rFonts w:ascii="Arial" w:cs="Arial" w:eastAsia="Arial" w:hAnsi="Arial"/>
          <w:sz w:val="11"/>
          <w:szCs w:val="11"/>
          <w:color w:val="auto"/>
        </w:rPr>
      </w:pPr>
      <w:r>
        <w:rPr>
          <w:rFonts w:ascii="Arial" w:cs="Arial" w:eastAsia="Arial" w:hAnsi="Arial"/>
          <w:sz w:val="11"/>
          <w:szCs w:val="11"/>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Zordich as of the respective dates thereof and the results of operations and cash flows of Zordich for the periods covered thereby. Other than as expressly disclosed in the Zordich SEC Documents filed prior to the date hereof, there has been no material change in Zordich’s accounting methods or principles that would be required to be disclosed in Zordich’s financial statements in accordance with GAAP. The books of account and other financial records of Zordich and each of its Subsidiaries are true and complete in all material respects.</w:t>
      </w:r>
    </w:p>
    <w:p>
      <w:pPr>
        <w:spacing w:after="0" w:line="117" w:lineRule="exact"/>
        <w:rPr>
          <w:rFonts w:ascii="Arial" w:cs="Arial" w:eastAsia="Arial" w:hAnsi="Arial"/>
          <w:sz w:val="11"/>
          <w:szCs w:val="11"/>
          <w:color w:val="auto"/>
        </w:rPr>
      </w:pPr>
    </w:p>
    <w:p>
      <w:pPr>
        <w:jc w:val="both"/>
        <w:ind w:left="840" w:right="879" w:firstLine="654"/>
        <w:spacing w:after="0" w:line="290" w:lineRule="auto"/>
        <w:tabs>
          <w:tab w:leader="none" w:pos="1757" w:val="left"/>
        </w:tabs>
        <w:numPr>
          <w:ilvl w:val="1"/>
          <w:numId w:val="70"/>
        </w:numPr>
        <w:rPr>
          <w:rFonts w:ascii="Arial" w:cs="Arial" w:eastAsia="Arial" w:hAnsi="Arial"/>
          <w:sz w:val="11"/>
          <w:szCs w:val="11"/>
          <w:color w:val="auto"/>
        </w:rPr>
      </w:pPr>
      <w:r>
        <w:rPr>
          <w:rFonts w:ascii="Arial" w:cs="Arial" w:eastAsia="Arial" w:hAnsi="Arial"/>
          <w:sz w:val="11"/>
          <w:szCs w:val="11"/>
          <w:color w:val="auto"/>
        </w:rPr>
        <w:t>Zordich’s auditor has at all times since the date of enactment of the Sarbanes-Oxley Act been: (i) a registered public accounting firm (as defined in Section 2(a)(12) of the Sarbanes-Oxley Act), (ii) to the Knowledge of Zordich, “independent” with respect to Zordich within the meaning of Regulation S-X under the Exchange Act and (iii) to the Knowledge of Zordich, in compliance with subsections (g) through (l) of Section 10A of the Exchange Act and the rules and regulations promulgated by the SEC and the Public Company Accounting Oversight Board thereunder.</w:t>
      </w:r>
    </w:p>
    <w:p>
      <w:pPr>
        <w:spacing w:after="0" w:line="110" w:lineRule="exact"/>
        <w:rPr>
          <w:rFonts w:ascii="Arial" w:cs="Arial" w:eastAsia="Arial" w:hAnsi="Arial"/>
          <w:sz w:val="11"/>
          <w:szCs w:val="11"/>
          <w:color w:val="auto"/>
        </w:rPr>
      </w:pPr>
    </w:p>
    <w:p>
      <w:pPr>
        <w:ind w:left="840" w:right="879" w:firstLine="654"/>
        <w:spacing w:after="0" w:line="264" w:lineRule="auto"/>
        <w:tabs>
          <w:tab w:leader="none" w:pos="1764" w:val="left"/>
        </w:tabs>
        <w:numPr>
          <w:ilvl w:val="1"/>
          <w:numId w:val="70"/>
        </w:numPr>
        <w:rPr>
          <w:rFonts w:ascii="Arial" w:cs="Arial" w:eastAsia="Arial" w:hAnsi="Arial"/>
          <w:sz w:val="12"/>
          <w:szCs w:val="12"/>
          <w:color w:val="auto"/>
        </w:rPr>
      </w:pPr>
      <w:r>
        <w:rPr>
          <w:rFonts w:ascii="Arial" w:cs="Arial" w:eastAsia="Arial" w:hAnsi="Arial"/>
          <w:sz w:val="12"/>
          <w:szCs w:val="12"/>
          <w:color w:val="auto"/>
        </w:rPr>
        <w:t>Except as set forth on Section 4.7(d) of the Zordich Disclosure Schedule, Zordich has not received any comment letter from the SEC or the staff thereof or any correspondence from Nasdaq or the staff thereof relating to the delisting or maintenance of listing of the Zordich Common Stock on Nasdaq. Zordich has not disclosed any unresolved comments in the Zordich SEC Documents.</w:t>
      </w:r>
    </w:p>
    <w:p>
      <w:pPr>
        <w:spacing w:after="0" w:line="122" w:lineRule="exact"/>
        <w:rPr>
          <w:rFonts w:ascii="Arial" w:cs="Arial" w:eastAsia="Arial" w:hAnsi="Arial"/>
          <w:sz w:val="12"/>
          <w:szCs w:val="12"/>
          <w:color w:val="auto"/>
        </w:rPr>
      </w:pPr>
    </w:p>
    <w:p>
      <w:pPr>
        <w:ind w:left="840" w:right="879" w:firstLine="654"/>
        <w:spacing w:after="0" w:line="260" w:lineRule="auto"/>
        <w:tabs>
          <w:tab w:leader="none" w:pos="1755" w:val="left"/>
        </w:tabs>
        <w:numPr>
          <w:ilvl w:val="1"/>
          <w:numId w:val="70"/>
        </w:numPr>
        <w:rPr>
          <w:rFonts w:ascii="Arial" w:cs="Arial" w:eastAsia="Arial" w:hAnsi="Arial"/>
          <w:sz w:val="12"/>
          <w:szCs w:val="12"/>
          <w:color w:val="auto"/>
        </w:rPr>
      </w:pPr>
      <w:r>
        <w:rPr>
          <w:rFonts w:ascii="Arial" w:cs="Arial" w:eastAsia="Arial" w:hAnsi="Arial"/>
          <w:sz w:val="12"/>
          <w:szCs w:val="12"/>
          <w:color w:val="auto"/>
        </w:rPr>
        <w:t>There have been no formal internal investigations regarding financial reporting or accounting policies and practices discussed with, reviewed by or initiated at the direction of the chief executive officer, chief financial officer, or general counsel of Zordich, the Zordich Board or any committee thereof, other than ordinary course audits or reviews of accounting policies and practices or internal controls required by the Sarbanes-Oxley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9019"/>
          </w:cols>
          <w:pgMar w:left="1440" w:top="230" w:right="1440" w:bottom="1440" w:gutter="0" w:footer="0" w:header="0"/>
        </w:sectPr>
      </w:pPr>
    </w:p>
    <w:bookmarkStart w:id="57" w:name="page58"/>
    <w:bookmarkEnd w:id="57"/>
    <w:p>
      <w:pPr>
        <w:ind w:left="840" w:right="1019" w:firstLine="654"/>
        <w:spacing w:after="0" w:line="324" w:lineRule="auto"/>
        <w:tabs>
          <w:tab w:leader="none" w:pos="1744" w:val="left"/>
        </w:tabs>
        <w:numPr>
          <w:ilvl w:val="0"/>
          <w:numId w:val="7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Except as set forth on Section 4.7(f) of the Zordich Disclosure Schedule, Zordich is in compliance in all material respects with the applicable provisions of the Sarbanes-Oxley Act, the Exchange Act and the applicable listing and governance rules and regulations of Nasdaq.</w:t>
      </w:r>
    </w:p>
    <w:p>
      <w:pPr>
        <w:spacing w:after="0" w:line="91" w:lineRule="exact"/>
        <w:rPr>
          <w:rFonts w:ascii="Arial" w:cs="Arial" w:eastAsia="Arial" w:hAnsi="Arial"/>
          <w:sz w:val="11"/>
          <w:szCs w:val="11"/>
          <w:color w:val="auto"/>
        </w:rPr>
      </w:pPr>
    </w:p>
    <w:p>
      <w:pPr>
        <w:ind w:left="840" w:right="819" w:firstLine="654"/>
        <w:spacing w:after="0" w:line="277" w:lineRule="auto"/>
        <w:tabs>
          <w:tab w:leader="none" w:pos="1764" w:val="left"/>
        </w:tabs>
        <w:numPr>
          <w:ilvl w:val="0"/>
          <w:numId w:val="71"/>
        </w:numPr>
        <w:rPr>
          <w:rFonts w:ascii="Arial" w:cs="Arial" w:eastAsia="Arial" w:hAnsi="Arial"/>
          <w:sz w:val="11"/>
          <w:szCs w:val="11"/>
          <w:color w:val="auto"/>
        </w:rPr>
      </w:pPr>
      <w:r>
        <w:rPr>
          <w:rFonts w:ascii="Arial" w:cs="Arial" w:eastAsia="Arial" w:hAnsi="Arial"/>
          <w:sz w:val="11"/>
          <w:szCs w:val="11"/>
          <w:color w:val="auto"/>
        </w:rPr>
        <w:t>Zordich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Zordich maintains records that in reasonable detail accurately and fairly reflect Zordich’s transactions and dispositions of assets, (ii) that transactions are recorded as necessary to permit preparation of financial statements in accordance with GAAP, (iii) that receipts and expenditures are made only in accordance with authorizations of management and the Zordich Board and (iv) regarding prevention or timely detection of the unauthorized acquisition, use or disposition of Zordich’s assets that could have a material effect on Zordich’s financial statements. Zordich has evaluated the effectiveness of Zordich’s internal control over financial reporting and, to the extent required by applicable Law, presented in any applicable Zordich SEC Document that is a report on Form 10-K or Form 10-Q (or any amendment thereto) its conclusions about the effectiveness of the internal control over financial reporting as of the end of the period covered by such report or amendment based on such evaluation. Zordich has disclosed to Zordich’s auditors and the Audit Committee of the Zordich Board (and made available to the Company a summary of the significant aspects of such disclosure) (A) all significant deficiencies and material weaknesses in the design or operation of internal control over financial reporting that are reasonably likely to adversely affect Zordich’s ability to record, process, summarize and report financial information and (B) any fraud, whether or not material, that involves management or other employees who have a significant role in Zordich’s or its Subsidiaries’ internal control over financial reporting. Except as disclosed in the Zordich SEC Documents filed prior to the date hereof, Zordich has not identified any material weaknesses in the design or operation of Zordich’s internal control over financial reporting.</w:t>
      </w:r>
    </w:p>
    <w:p>
      <w:pPr>
        <w:spacing w:after="0" w:line="119" w:lineRule="exact"/>
        <w:rPr>
          <w:rFonts w:ascii="Arial" w:cs="Arial" w:eastAsia="Arial" w:hAnsi="Arial"/>
          <w:sz w:val="11"/>
          <w:szCs w:val="11"/>
          <w:color w:val="auto"/>
        </w:rPr>
      </w:pPr>
    </w:p>
    <w:p>
      <w:pPr>
        <w:ind w:left="840" w:right="859" w:firstLine="654"/>
        <w:spacing w:after="0" w:line="257" w:lineRule="auto"/>
        <w:tabs>
          <w:tab w:leader="none" w:pos="1764" w:val="left"/>
        </w:tabs>
        <w:numPr>
          <w:ilvl w:val="0"/>
          <w:numId w:val="71"/>
        </w:numPr>
        <w:rPr>
          <w:rFonts w:ascii="Arial" w:cs="Arial" w:eastAsia="Arial" w:hAnsi="Arial"/>
          <w:sz w:val="12"/>
          <w:szCs w:val="12"/>
          <w:color w:val="auto"/>
        </w:rPr>
      </w:pPr>
      <w:r>
        <w:rPr>
          <w:rFonts w:ascii="Arial" w:cs="Arial" w:eastAsia="Arial" w:hAnsi="Arial"/>
          <w:sz w:val="12"/>
          <w:szCs w:val="12"/>
          <w:color w:val="auto"/>
        </w:rPr>
        <w:t>Zordich’s “disclosure controls and procedures” (as defined in Rules 13a-15(e) and 15d-15(e) of the Exchange Act) are reasonably designed to ensure that all information (both financial and non-financial) required to be disclosed by Zordich in the reports that it files or submits under the Exchange Act is recorded, processed, summarized and reported within the time periods specified in the rules and forms of the SEC, and that all such information is accumulated and communicated to Zordich’s management as appropriate to allow timely decisions regarding required disclosure and to make the Certifications.</w:t>
      </w:r>
    </w:p>
    <w:p>
      <w:pPr>
        <w:spacing w:after="0" w:line="127" w:lineRule="exact"/>
        <w:rPr>
          <w:rFonts w:ascii="Arial" w:cs="Arial" w:eastAsia="Arial" w:hAnsi="Arial"/>
          <w:sz w:val="12"/>
          <w:szCs w:val="12"/>
          <w:color w:val="auto"/>
        </w:rPr>
      </w:pPr>
    </w:p>
    <w:p>
      <w:pPr>
        <w:ind w:left="1720" w:hanging="226"/>
        <w:spacing w:after="0"/>
        <w:tabs>
          <w:tab w:leader="none" w:pos="1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Zordich has not been and is not currently a “shell company” as defined under Section 12b-2 of the Exchange Act.</w:t>
      </w:r>
    </w:p>
    <w:p>
      <w:pPr>
        <w:spacing w:after="0" w:line="151" w:lineRule="exact"/>
        <w:rPr>
          <w:sz w:val="20"/>
          <w:szCs w:val="20"/>
          <w:color w:val="auto"/>
        </w:rPr>
      </w:pPr>
    </w:p>
    <w:p>
      <w:pPr>
        <w:ind w:left="840" w:right="819" w:firstLine="295"/>
        <w:spacing w:after="0" w:line="257" w:lineRule="auto"/>
        <w:rPr>
          <w:sz w:val="20"/>
          <w:szCs w:val="20"/>
          <w:color w:val="auto"/>
        </w:rPr>
      </w:pPr>
      <w:r>
        <w:rPr>
          <w:rFonts w:ascii="Arial" w:cs="Arial" w:eastAsia="Arial" w:hAnsi="Arial"/>
          <w:sz w:val="12"/>
          <w:szCs w:val="12"/>
          <w:color w:val="auto"/>
        </w:rPr>
        <w:t xml:space="preserve">4.8 </w:t>
      </w:r>
      <w:r>
        <w:rPr>
          <w:rFonts w:ascii="Arial" w:cs="Arial" w:eastAsia="Arial" w:hAnsi="Arial"/>
          <w:sz w:val="12"/>
          <w:szCs w:val="12"/>
          <w:u w:val="single" w:color="auto"/>
          <w:color w:val="auto"/>
        </w:rPr>
        <w:t>Absence of Changes</w:t>
      </w:r>
      <w:r>
        <w:rPr>
          <w:rFonts w:ascii="Arial" w:cs="Arial" w:eastAsia="Arial" w:hAnsi="Arial"/>
          <w:sz w:val="12"/>
          <w:szCs w:val="12"/>
          <w:color w:val="auto"/>
        </w:rPr>
        <w:t xml:space="preserve">. Except as set forth on Section 4.8 of the Zordich Disclosure Schedule, between September 30, 2019 and the date of this Agreement, Zordich has conducted its business only in the Ordinary Course of Business (except for the execution and performance of this Agreement and the discussions, negotiations and transactions related thereto) and there has not been any (a) Zordich Material Adverse Effect or (b) action, event or occurrence that would have required consent of the Company pursuant to </w:t>
      </w:r>
      <w:r>
        <w:rPr>
          <w:rFonts w:ascii="Arial" w:cs="Arial" w:eastAsia="Arial" w:hAnsi="Arial"/>
          <w:sz w:val="12"/>
          <w:szCs w:val="12"/>
          <w:u w:val="single" w:color="auto"/>
          <w:color w:val="auto"/>
        </w:rPr>
        <w:t>Section 5.1(b)</w:t>
      </w:r>
      <w:r>
        <w:rPr>
          <w:rFonts w:ascii="Arial" w:cs="Arial" w:eastAsia="Arial" w:hAnsi="Arial"/>
          <w:sz w:val="12"/>
          <w:szCs w:val="12"/>
          <w:color w:val="auto"/>
        </w:rPr>
        <w:t xml:space="preserve"> of this Agreement had such action, event or occurrence taken place after the execution and delivery of this Agreement.</w:t>
      </w:r>
    </w:p>
    <w:p>
      <w:pPr>
        <w:spacing w:after="0" w:line="128" w:lineRule="exact"/>
        <w:rPr>
          <w:sz w:val="20"/>
          <w:szCs w:val="20"/>
          <w:color w:val="auto"/>
        </w:rPr>
      </w:pPr>
    </w:p>
    <w:p>
      <w:pPr>
        <w:ind w:left="840" w:right="859" w:firstLine="295"/>
        <w:spacing w:after="0" w:line="290" w:lineRule="auto"/>
        <w:rPr>
          <w:sz w:val="20"/>
          <w:szCs w:val="20"/>
          <w:color w:val="auto"/>
        </w:rPr>
      </w:pPr>
      <w:r>
        <w:rPr>
          <w:rFonts w:ascii="Arial" w:cs="Arial" w:eastAsia="Arial" w:hAnsi="Arial"/>
          <w:sz w:val="11"/>
          <w:szCs w:val="11"/>
          <w:color w:val="auto"/>
        </w:rPr>
        <w:t xml:space="preserve">4.9 </w:t>
      </w:r>
      <w:r>
        <w:rPr>
          <w:rFonts w:ascii="Arial" w:cs="Arial" w:eastAsia="Arial" w:hAnsi="Arial"/>
          <w:sz w:val="11"/>
          <w:szCs w:val="11"/>
          <w:u w:val="single" w:color="auto"/>
          <w:color w:val="auto"/>
        </w:rPr>
        <w:t>Absence of Undisclosed Liabilities</w:t>
      </w:r>
      <w:r>
        <w:rPr>
          <w:rFonts w:ascii="Arial" w:cs="Arial" w:eastAsia="Arial" w:hAnsi="Arial"/>
          <w:sz w:val="11"/>
          <w:szCs w:val="11"/>
          <w:color w:val="auto"/>
        </w:rPr>
        <w:t>. Neither Zordich nor any of its Subsidiaries has any Liability of a type required to be reflected or reserved for on a balance sheet prepared in accordance with GAAP, except for: (a) Liabilities disclosed, reflected or reserved against in the Zordich Unaudited Interim Balance Sheet, (b) normal and recurring current Liabilities that have been incurred by Zordich or its Subsidiaries since the date of the Zordich Unaudited Interim Balance Sheet in the Ordinary Course of Business (none of which relates to any breach of contract, breach of</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9019"/>
          </w:cols>
          <w:pgMar w:left="1440" w:top="230" w:right="1440" w:bottom="1440" w:gutter="0" w:footer="0" w:header="0"/>
        </w:sectPr>
      </w:pPr>
    </w:p>
    <w:bookmarkStart w:id="58" w:name="page59"/>
    <w:bookmarkEnd w:id="58"/>
    <w:p>
      <w:pPr>
        <w:ind w:left="840" w:right="113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warranty, tort, infringement, or violation of Law), (c) Liabilities for performance of obligations of Zordich or any of its Subsidiaries under Zordich Contracts, (d) Liabilities incurred in connection with the Contemplated Transactions and (e) Liabilities described in Section 4.9 of the Zordich Disclosure Schedule.</w:t>
      </w:r>
    </w:p>
    <w:p>
      <w:pPr>
        <w:spacing w:after="0" w:line="122" w:lineRule="exact"/>
        <w:rPr>
          <w:sz w:val="20"/>
          <w:szCs w:val="20"/>
          <w:color w:val="auto"/>
        </w:rPr>
      </w:pPr>
    </w:p>
    <w:p>
      <w:pPr>
        <w:ind w:left="840" w:right="879" w:firstLine="295"/>
        <w:spacing w:after="0" w:line="286" w:lineRule="auto"/>
        <w:rPr>
          <w:sz w:val="20"/>
          <w:szCs w:val="20"/>
          <w:color w:val="auto"/>
        </w:rPr>
      </w:pPr>
      <w:r>
        <w:rPr>
          <w:rFonts w:ascii="Arial" w:cs="Arial" w:eastAsia="Arial" w:hAnsi="Arial"/>
          <w:sz w:val="11"/>
          <w:szCs w:val="11"/>
          <w:color w:val="auto"/>
        </w:rPr>
        <w:t xml:space="preserve">4.10 </w:t>
      </w:r>
      <w:r>
        <w:rPr>
          <w:rFonts w:ascii="Arial" w:cs="Arial" w:eastAsia="Arial" w:hAnsi="Arial"/>
          <w:sz w:val="11"/>
          <w:szCs w:val="11"/>
          <w:u w:val="single" w:color="auto"/>
          <w:color w:val="auto"/>
        </w:rPr>
        <w:t>Title to Assets.</w:t>
      </w:r>
      <w:r>
        <w:rPr>
          <w:rFonts w:ascii="Arial" w:cs="Arial" w:eastAsia="Arial" w:hAnsi="Arial"/>
          <w:sz w:val="11"/>
          <w:szCs w:val="11"/>
          <w:color w:val="auto"/>
        </w:rPr>
        <w:t xml:space="preserve"> Each of Zordich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Zordich Unaudited Interim Balance Sheet and (b) all other assets reflected in the books and records of Zordich or any of its Subsidiaries as being owned by Zordich. All of such assets are owned or, in the case of leased assets, leased by Zordich or any of its Subsidiaries free and clear of any Encumbrances, other than Permitted Encumbrances.</w:t>
      </w:r>
    </w:p>
    <w:p>
      <w:pPr>
        <w:spacing w:after="0" w:line="113" w:lineRule="exact"/>
        <w:rPr>
          <w:sz w:val="20"/>
          <w:szCs w:val="20"/>
          <w:color w:val="auto"/>
        </w:rPr>
      </w:pPr>
    </w:p>
    <w:p>
      <w:pPr>
        <w:ind w:left="840" w:right="879" w:firstLine="295"/>
        <w:spacing w:after="0" w:line="257" w:lineRule="auto"/>
        <w:rPr>
          <w:sz w:val="20"/>
          <w:szCs w:val="20"/>
          <w:color w:val="auto"/>
        </w:rPr>
      </w:pPr>
      <w:r>
        <w:rPr>
          <w:rFonts w:ascii="Arial" w:cs="Arial" w:eastAsia="Arial" w:hAnsi="Arial"/>
          <w:sz w:val="12"/>
          <w:szCs w:val="12"/>
          <w:color w:val="auto"/>
        </w:rPr>
        <w:t xml:space="preserve">4.11 </w:t>
      </w:r>
      <w:r>
        <w:rPr>
          <w:rFonts w:ascii="Arial" w:cs="Arial" w:eastAsia="Arial" w:hAnsi="Arial"/>
          <w:sz w:val="12"/>
          <w:szCs w:val="12"/>
          <w:u w:val="single" w:color="auto"/>
          <w:color w:val="auto"/>
        </w:rPr>
        <w:t>Real Property; Leasehold.</w:t>
      </w:r>
      <w:r>
        <w:rPr>
          <w:rFonts w:ascii="Arial" w:cs="Arial" w:eastAsia="Arial" w:hAnsi="Arial"/>
          <w:sz w:val="12"/>
          <w:szCs w:val="12"/>
          <w:color w:val="auto"/>
        </w:rPr>
        <w:t xml:space="preserve"> Neither Zordich nor any of its Subsidiaries owns or has ever owned any real property. Zordich has made available to the Company (a) an accurate and complete list of all real properties with respect to which Zordich directly or indirectly holds a valid leasehold interest as well as any other real estate that is in the possession of or leased by Zordich or any of its Subsidiaries and (b) copies of all leases under which any such real property is possessed (the “</w:t>
      </w:r>
      <w:r>
        <w:rPr>
          <w:rFonts w:ascii="Arial" w:cs="Arial" w:eastAsia="Arial" w:hAnsi="Arial"/>
          <w:sz w:val="12"/>
          <w:szCs w:val="12"/>
          <w:b w:val="1"/>
          <w:bCs w:val="1"/>
          <w:color w:val="auto"/>
        </w:rPr>
        <w:t>Zordich Real Estate Leases</w:t>
      </w:r>
      <w:r>
        <w:rPr>
          <w:rFonts w:ascii="Arial" w:cs="Arial" w:eastAsia="Arial" w:hAnsi="Arial"/>
          <w:sz w:val="12"/>
          <w:szCs w:val="12"/>
          <w:color w:val="auto"/>
        </w:rPr>
        <w:t>”), each of which is in full force and effect, with no existing material default thereunder.</w:t>
      </w:r>
    </w:p>
    <w:p>
      <w:pPr>
        <w:spacing w:after="0" w:line="200"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4.12</w:t>
      </w:r>
      <w:r>
        <w:rPr>
          <w:sz w:val="20"/>
          <w:szCs w:val="20"/>
          <w:color w:val="auto"/>
        </w:rPr>
        <w:tab/>
      </w:r>
      <w:r>
        <w:rPr>
          <w:rFonts w:ascii="Arial" w:cs="Arial" w:eastAsia="Arial" w:hAnsi="Arial"/>
          <w:sz w:val="11"/>
          <w:szCs w:val="11"/>
          <w:u w:val="single" w:color="auto"/>
          <w:color w:val="auto"/>
        </w:rPr>
        <w:t>Intellectual Property</w:t>
      </w:r>
      <w:r>
        <w:rPr>
          <w:rFonts w:ascii="Arial" w:cs="Arial" w:eastAsia="Arial" w:hAnsi="Arial"/>
          <w:sz w:val="11"/>
          <w:szCs w:val="11"/>
          <w:color w:val="auto"/>
        </w:rPr>
        <w:t>.</w:t>
      </w:r>
    </w:p>
    <w:p>
      <w:pPr>
        <w:spacing w:after="0" w:line="79" w:lineRule="exact"/>
        <w:rPr>
          <w:sz w:val="20"/>
          <w:szCs w:val="20"/>
          <w:color w:val="auto"/>
        </w:rPr>
      </w:pPr>
    </w:p>
    <w:p>
      <w:pPr>
        <w:ind w:left="840" w:right="1439" w:firstLine="654"/>
        <w:spacing w:after="0" w:line="277" w:lineRule="auto"/>
        <w:tabs>
          <w:tab w:leader="none" w:pos="1757" w:val="left"/>
        </w:tabs>
        <w:numPr>
          <w:ilvl w:val="1"/>
          <w:numId w:val="72"/>
        </w:numPr>
        <w:rPr>
          <w:rFonts w:ascii="Arial" w:cs="Arial" w:eastAsia="Arial" w:hAnsi="Arial"/>
          <w:sz w:val="12"/>
          <w:szCs w:val="12"/>
          <w:color w:val="auto"/>
        </w:rPr>
      </w:pPr>
      <w:r>
        <w:rPr>
          <w:rFonts w:ascii="Arial" w:cs="Arial" w:eastAsia="Arial" w:hAnsi="Arial"/>
          <w:sz w:val="12"/>
          <w:szCs w:val="12"/>
          <w:color w:val="auto"/>
        </w:rPr>
        <w:t>Zordich, directly or through any of its Subsidiaries, owns, or has the right to use, and has the right to bring actions for the infringement of, all of Zordich IP Rights.</w:t>
      </w:r>
    </w:p>
    <w:p>
      <w:pPr>
        <w:spacing w:after="0" w:line="114" w:lineRule="exact"/>
        <w:rPr>
          <w:rFonts w:ascii="Arial" w:cs="Arial" w:eastAsia="Arial" w:hAnsi="Arial"/>
          <w:sz w:val="12"/>
          <w:szCs w:val="12"/>
          <w:color w:val="auto"/>
        </w:rPr>
      </w:pPr>
    </w:p>
    <w:p>
      <w:pPr>
        <w:ind w:left="1760" w:hanging="266"/>
        <w:spacing w:after="0"/>
        <w:tabs>
          <w:tab w:leader="none" w:pos="1760" w:val="left"/>
        </w:tabs>
        <w:numPr>
          <w:ilvl w:val="1"/>
          <w:numId w:val="72"/>
        </w:numPr>
        <w:rPr>
          <w:rFonts w:ascii="Arial" w:cs="Arial" w:eastAsia="Arial" w:hAnsi="Arial"/>
          <w:sz w:val="12"/>
          <w:szCs w:val="12"/>
          <w:color w:val="auto"/>
        </w:rPr>
      </w:pPr>
      <w:r>
        <w:rPr>
          <w:rFonts w:ascii="Arial" w:cs="Arial" w:eastAsia="Arial" w:hAnsi="Arial"/>
          <w:sz w:val="12"/>
          <w:szCs w:val="12"/>
          <w:color w:val="auto"/>
        </w:rPr>
        <w:t>Section 4.12(b) of the Zordich Disclosure Schedule is an accurate, true and complete listing of all Zordich Registered IP.</w:t>
      </w:r>
    </w:p>
    <w:p>
      <w:pPr>
        <w:spacing w:after="0" w:line="150" w:lineRule="exact"/>
        <w:rPr>
          <w:rFonts w:ascii="Arial" w:cs="Arial" w:eastAsia="Arial" w:hAnsi="Arial"/>
          <w:sz w:val="12"/>
          <w:szCs w:val="12"/>
          <w:color w:val="auto"/>
        </w:rPr>
      </w:pPr>
    </w:p>
    <w:p>
      <w:pPr>
        <w:jc w:val="both"/>
        <w:ind w:left="840" w:right="959" w:firstLine="654"/>
        <w:spacing w:after="0" w:line="306" w:lineRule="auto"/>
        <w:tabs>
          <w:tab w:leader="none" w:pos="1757" w:val="left"/>
        </w:tabs>
        <w:numPr>
          <w:ilvl w:val="1"/>
          <w:numId w:val="72"/>
        </w:numPr>
        <w:rPr>
          <w:rFonts w:ascii="Arial" w:cs="Arial" w:eastAsia="Arial" w:hAnsi="Arial"/>
          <w:sz w:val="10"/>
          <w:szCs w:val="10"/>
          <w:color w:val="auto"/>
        </w:rPr>
      </w:pPr>
      <w:r>
        <w:rPr>
          <w:rFonts w:ascii="Arial" w:cs="Arial" w:eastAsia="Arial" w:hAnsi="Arial"/>
          <w:sz w:val="10"/>
          <w:szCs w:val="10"/>
          <w:color w:val="auto"/>
        </w:rPr>
        <w:t>Section 4.12(c) of the Zordich Disclosure Schedule accurately identifies (i) all Zordich Contracts pursuant to which Zordich IP Rights are licensed to Zordich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Zordich’s or any of its Subsidiaries’ products or services,</w:t>
      </w:r>
    </w:p>
    <w:p>
      <w:pPr>
        <w:ind w:left="840" w:right="879" w:hanging="9"/>
        <w:spacing w:after="0" w:line="256" w:lineRule="auto"/>
        <w:tabs>
          <w:tab w:leader="none" w:pos="1030" w:val="left"/>
        </w:tabs>
        <w:numPr>
          <w:ilvl w:val="0"/>
          <w:numId w:val="73"/>
        </w:numPr>
        <w:rPr>
          <w:rFonts w:ascii="Arial" w:cs="Arial" w:eastAsia="Arial" w:hAnsi="Arial"/>
          <w:sz w:val="12"/>
          <w:szCs w:val="12"/>
          <w:color w:val="auto"/>
        </w:rPr>
      </w:pPr>
      <w:r>
        <w:rPr>
          <w:rFonts w:ascii="Arial" w:cs="Arial" w:eastAsia="Arial" w:hAnsi="Arial"/>
          <w:sz w:val="12"/>
          <w:szCs w:val="12"/>
          <w:color w:val="auto"/>
        </w:rPr>
        <w:t>any Intellectual Property licensed on a non-exclusive basis ancillary to the purchase or use of equipment, reagents or other materials and (C) any confidential information provided under confidentiality agreements) and (ii) whether the license or licenses granted to Zordich or any of its Subsidiaries are exclusive or non-exclusive.</w:t>
      </w:r>
    </w:p>
    <w:p>
      <w:pPr>
        <w:spacing w:after="0" w:line="127" w:lineRule="exact"/>
        <w:rPr>
          <w:rFonts w:ascii="Arial" w:cs="Arial" w:eastAsia="Arial" w:hAnsi="Arial"/>
          <w:sz w:val="12"/>
          <w:szCs w:val="12"/>
          <w:color w:val="auto"/>
        </w:rPr>
      </w:pPr>
    </w:p>
    <w:p>
      <w:pPr>
        <w:ind w:left="840" w:right="879" w:firstLine="654"/>
        <w:spacing w:after="0" w:line="290" w:lineRule="auto"/>
        <w:tabs>
          <w:tab w:leader="none" w:pos="1764" w:val="left"/>
        </w:tabs>
        <w:numPr>
          <w:ilvl w:val="1"/>
          <w:numId w:val="73"/>
        </w:numPr>
        <w:rPr>
          <w:rFonts w:ascii="Arial" w:cs="Arial" w:eastAsia="Arial" w:hAnsi="Arial"/>
          <w:sz w:val="11"/>
          <w:szCs w:val="11"/>
          <w:color w:val="auto"/>
        </w:rPr>
      </w:pPr>
      <w:r>
        <w:rPr>
          <w:rFonts w:ascii="Arial" w:cs="Arial" w:eastAsia="Arial" w:hAnsi="Arial"/>
          <w:sz w:val="11"/>
          <w:szCs w:val="11"/>
          <w:color w:val="auto"/>
        </w:rPr>
        <w:t>Section 4.12(d) of the Zordich Disclosure Schedule accurately identifies each Zordich Contract pursuant to which any Person has been granted any license under, or otherwise has received or acquired any right (whether or not currently exercisable) or interest in, any Zordich IP Rights (other than (i) any confidential information provided under confidentiality agreements and (ii) any Zordich IP Rights non-exclusively licensed to suppliers or service providers for the sole purpose of enabling such supplier or service providers to provide services for Zordich’s benefit).</w:t>
      </w:r>
    </w:p>
    <w:p>
      <w:pPr>
        <w:spacing w:after="0" w:line="110" w:lineRule="exact"/>
        <w:rPr>
          <w:rFonts w:ascii="Arial" w:cs="Arial" w:eastAsia="Arial" w:hAnsi="Arial"/>
          <w:sz w:val="11"/>
          <w:szCs w:val="11"/>
          <w:color w:val="auto"/>
        </w:rPr>
      </w:pPr>
    </w:p>
    <w:p>
      <w:pPr>
        <w:ind w:left="1740" w:hanging="246"/>
        <w:spacing w:after="0"/>
        <w:tabs>
          <w:tab w:leader="none" w:pos="1740" w:val="left"/>
        </w:tabs>
        <w:numPr>
          <w:ilvl w:val="1"/>
          <w:numId w:val="73"/>
        </w:numPr>
        <w:rPr>
          <w:rFonts w:ascii="Arial" w:cs="Arial" w:eastAsia="Arial" w:hAnsi="Arial"/>
          <w:sz w:val="11"/>
          <w:szCs w:val="11"/>
          <w:color w:val="auto"/>
        </w:rPr>
      </w:pPr>
      <w:r>
        <w:rPr>
          <w:rFonts w:ascii="Arial" w:cs="Arial" w:eastAsia="Arial" w:hAnsi="Arial"/>
          <w:sz w:val="11"/>
          <w:szCs w:val="11"/>
          <w:color w:val="auto"/>
        </w:rPr>
        <w:t>Zordich has delivered, or made available to the Company, a complete and accurate copy of all material Zordich IP Rights</w:t>
      </w:r>
    </w:p>
    <w:p>
      <w:pPr>
        <w:spacing w:after="0" w:line="26" w:lineRule="exact"/>
        <w:rPr>
          <w:rFonts w:ascii="Arial" w:cs="Arial" w:eastAsia="Arial" w:hAnsi="Arial"/>
          <w:sz w:val="11"/>
          <w:szCs w:val="11"/>
          <w:color w:val="auto"/>
        </w:rPr>
      </w:pPr>
    </w:p>
    <w:p>
      <w:pPr>
        <w:ind w:left="840"/>
        <w:spacing w:after="0"/>
        <w:rPr>
          <w:rFonts w:ascii="Arial" w:cs="Arial" w:eastAsia="Arial" w:hAnsi="Arial"/>
          <w:sz w:val="11"/>
          <w:szCs w:val="11"/>
          <w:color w:val="auto"/>
        </w:rPr>
      </w:pPr>
      <w:r>
        <w:rPr>
          <w:rFonts w:ascii="Arial" w:cs="Arial" w:eastAsia="Arial" w:hAnsi="Arial"/>
          <w:sz w:val="12"/>
          <w:szCs w:val="12"/>
          <w:color w:val="auto"/>
        </w:rPr>
        <w:t>Agreements.</w:t>
      </w:r>
    </w:p>
    <w:p>
      <w:pPr>
        <w:spacing w:after="0" w:line="142" w:lineRule="exact"/>
        <w:rPr>
          <w:rFonts w:ascii="Arial" w:cs="Arial" w:eastAsia="Arial" w:hAnsi="Arial"/>
          <w:sz w:val="11"/>
          <w:szCs w:val="11"/>
          <w:color w:val="auto"/>
        </w:rPr>
      </w:pPr>
    </w:p>
    <w:p>
      <w:pPr>
        <w:ind w:left="840" w:right="919" w:firstLine="654"/>
        <w:spacing w:after="0" w:line="277" w:lineRule="auto"/>
        <w:tabs>
          <w:tab w:leader="none" w:pos="1744" w:val="left"/>
        </w:tabs>
        <w:numPr>
          <w:ilvl w:val="1"/>
          <w:numId w:val="73"/>
        </w:numPr>
        <w:rPr>
          <w:rFonts w:ascii="Arial" w:cs="Arial" w:eastAsia="Arial" w:hAnsi="Arial"/>
          <w:sz w:val="12"/>
          <w:szCs w:val="12"/>
          <w:color w:val="auto"/>
        </w:rPr>
      </w:pPr>
      <w:r>
        <w:rPr>
          <w:rFonts w:ascii="Arial" w:cs="Arial" w:eastAsia="Arial" w:hAnsi="Arial"/>
          <w:sz w:val="12"/>
          <w:szCs w:val="12"/>
          <w:color w:val="auto"/>
        </w:rPr>
        <w:t>Neither the manufacture, marketing, license, offering for sale, sale, importation, use or intended use or other disposal of any product or technology currently licensed or</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9019"/>
          </w:cols>
          <w:pgMar w:left="1440" w:top="230" w:right="1440" w:bottom="1440" w:gutter="0" w:footer="0" w:header="0"/>
        </w:sectPr>
      </w:pPr>
    </w:p>
    <w:bookmarkStart w:id="59" w:name="page60"/>
    <w:bookmarkEnd w:id="59"/>
    <w:p>
      <w:pPr>
        <w:ind w:left="840" w:right="899"/>
        <w:spacing w:after="0" w:line="29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sold or under development by Zordich, to the Knowledge of Zordich, infringes or misappropriates any valid Intellectual Property right of any other party, which infringement or misappropriation would reasonably be expected to have a Zordich Material Adverse Effect. To the Knowledge of Zordich, no third party is infringing upon any Zordich IP Rights, or violating any license or agreement with Zordich relating to any Zordich IP Rights.</w:t>
      </w:r>
    </w:p>
    <w:p>
      <w:pPr>
        <w:spacing w:after="0" w:line="105" w:lineRule="exact"/>
        <w:rPr>
          <w:sz w:val="20"/>
          <w:szCs w:val="20"/>
          <w:color w:val="auto"/>
        </w:rPr>
      </w:pPr>
    </w:p>
    <w:p>
      <w:pPr>
        <w:ind w:left="840" w:right="859" w:firstLine="654"/>
        <w:spacing w:after="0" w:line="256" w:lineRule="auto"/>
        <w:tabs>
          <w:tab w:leader="none" w:pos="1761"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the Knowledge of Zordich, there is no current or pending Legal Proceeding (including, but not limited to, opposition, interference or other proceeding in any patent or other government office) contesting the validity, ownership or right to use, sell, offer for sale, license or dispose of any Zordich Registered IP. Zordich has not received any notice asserting that any Zordich Registered IP or the proposed use, sale, offer for sale, license or disposition of any products, methods, or processes claimed or covered thereunder conflicts with or infringes or misappropriates or will conflict with or infringe or misappropriate the rights of any other Person or that Zordich or any of its Subsidiaries have otherwise infringed, misappropriated or otherwise violated any Intellectual Property of any Person.</w:t>
      </w:r>
    </w:p>
    <w:p>
      <w:pPr>
        <w:spacing w:after="0" w:line="127" w:lineRule="exact"/>
        <w:rPr>
          <w:rFonts w:ascii="Arial" w:cs="Arial" w:eastAsia="Arial" w:hAnsi="Arial"/>
          <w:sz w:val="12"/>
          <w:szCs w:val="12"/>
          <w:color w:val="auto"/>
        </w:rPr>
      </w:pPr>
    </w:p>
    <w:p>
      <w:pPr>
        <w:ind w:left="840" w:right="939" w:firstLine="654"/>
        <w:spacing w:after="0" w:line="328" w:lineRule="auto"/>
        <w:tabs>
          <w:tab w:leader="none" w:pos="1761" w:val="left"/>
        </w:tabs>
        <w:numPr>
          <w:ilvl w:val="0"/>
          <w:numId w:val="74"/>
        </w:numPr>
        <w:rPr>
          <w:rFonts w:ascii="Arial" w:cs="Arial" w:eastAsia="Arial" w:hAnsi="Arial"/>
          <w:sz w:val="10"/>
          <w:szCs w:val="10"/>
          <w:color w:val="auto"/>
        </w:rPr>
      </w:pPr>
      <w:r>
        <w:rPr>
          <w:rFonts w:ascii="Arial" w:cs="Arial" w:eastAsia="Arial" w:hAnsi="Arial"/>
          <w:sz w:val="10"/>
          <w:szCs w:val="10"/>
          <w:color w:val="auto"/>
        </w:rPr>
        <w:t>To the Knowledge of Zordich, no trademark (whether registered or unregistered) or trade name owned, used, or applied for by Zordich conflicts or interferes with any trademark (whether registered or unregistered) or trade name owned, used, or applied for by any other Person except as would not have a Zordich Material Adverse Effect. None of the goodwill associated with or inherent in any trademark (whether registered or unregistered) in which Zordich has or purports to have an ownership interest has been impaired as determined by Zordich in accordance with GAAP.</w:t>
      </w:r>
    </w:p>
    <w:p>
      <w:pPr>
        <w:spacing w:after="0" w:line="93" w:lineRule="exact"/>
        <w:rPr>
          <w:rFonts w:ascii="Arial" w:cs="Arial" w:eastAsia="Arial" w:hAnsi="Arial"/>
          <w:sz w:val="10"/>
          <w:szCs w:val="10"/>
          <w:color w:val="auto"/>
        </w:rPr>
      </w:pPr>
    </w:p>
    <w:p>
      <w:pPr>
        <w:ind w:left="840" w:right="839" w:firstLine="654"/>
        <w:spacing w:after="0" w:line="286" w:lineRule="auto"/>
        <w:tabs>
          <w:tab w:leader="none" w:pos="1737" w:val="left"/>
        </w:tabs>
        <w:numPr>
          <w:ilvl w:val="0"/>
          <w:numId w:val="74"/>
        </w:numPr>
        <w:rPr>
          <w:rFonts w:ascii="Arial" w:cs="Arial" w:eastAsia="Arial" w:hAnsi="Arial"/>
          <w:sz w:val="11"/>
          <w:szCs w:val="11"/>
          <w:color w:val="auto"/>
        </w:rPr>
      </w:pPr>
      <w:r>
        <w:rPr>
          <w:rFonts w:ascii="Arial" w:cs="Arial" w:eastAsia="Arial" w:hAnsi="Arial"/>
          <w:sz w:val="11"/>
          <w:szCs w:val="11"/>
          <w:color w:val="auto"/>
        </w:rPr>
        <w:t>Except as may be set forth in the Contracts listed on Section 4.12(c) or 4.12(d) of the Zordich Disclosure Schedule (i) Zordich is not bound by any Contract to indemnify, defend, hold harmless, or reimburse any other Person with respect to any Intellectual Property infringement, misappropriation, or similar claim which is material to Zordich taken as a whole and (ii) Zordich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13" w:lineRule="exact"/>
        <w:rPr>
          <w:sz w:val="20"/>
          <w:szCs w:val="20"/>
          <w:color w:val="auto"/>
        </w:rPr>
      </w:pPr>
    </w:p>
    <w:p>
      <w:pPr>
        <w:ind w:left="840" w:right="839" w:firstLine="295"/>
        <w:spacing w:after="0" w:line="277" w:lineRule="auto"/>
        <w:rPr>
          <w:sz w:val="20"/>
          <w:szCs w:val="20"/>
          <w:color w:val="auto"/>
        </w:rPr>
      </w:pPr>
      <w:r>
        <w:rPr>
          <w:rFonts w:ascii="Arial" w:cs="Arial" w:eastAsia="Arial" w:hAnsi="Arial"/>
          <w:sz w:val="11"/>
          <w:szCs w:val="11"/>
          <w:color w:val="auto"/>
        </w:rPr>
        <w:t xml:space="preserve">4.13 </w:t>
      </w:r>
      <w:r>
        <w:rPr>
          <w:rFonts w:ascii="Arial" w:cs="Arial" w:eastAsia="Arial" w:hAnsi="Arial"/>
          <w:sz w:val="11"/>
          <w:szCs w:val="11"/>
          <w:u w:val="single" w:color="auto"/>
          <w:color w:val="auto"/>
        </w:rPr>
        <w:t>Agreements, Contracts and Commitments</w:t>
      </w:r>
      <w:r>
        <w:rPr>
          <w:rFonts w:ascii="Arial" w:cs="Arial" w:eastAsia="Arial" w:hAnsi="Arial"/>
          <w:sz w:val="11"/>
          <w:szCs w:val="11"/>
          <w:color w:val="auto"/>
        </w:rPr>
        <w:t>. Section 4.13 of the Zordich Disclosure Schedule identifies each Zordich Contract that is in effect as of the date of this Agreement and is (a) a material contract as defined in Item 601(b)(10) of Regulation S-K as promulgated under the Securities Act, (b) a Contract to which Zordich is a party or by which any of its assets and properties is currently bound, which, pursuant to the express terms thereof, require annual obligations of payment by, or annual payments to, Zordich in excess of $100,000, (c) a Zordich Real Estate Lease or (d) a Contract disclosed in or required to be disclosed in Section 4.12(c) or Section 4.12(d) of the Zordich Disclosure Schedule. Zordich has delivered or made available to the Company accurate and complete copies of all Contracts to which Zordich or any of its Subsidiaries is a party or by which it is bound of the type described in clauses (a)-(d) of the immediately preceding sentence (any such Contract, a “</w:t>
      </w:r>
      <w:r>
        <w:rPr>
          <w:rFonts w:ascii="Arial" w:cs="Arial" w:eastAsia="Arial" w:hAnsi="Arial"/>
          <w:sz w:val="11"/>
          <w:szCs w:val="11"/>
          <w:b w:val="1"/>
          <w:bCs w:val="1"/>
          <w:color w:val="auto"/>
        </w:rPr>
        <w:t>Zordich Material Contract</w:t>
      </w:r>
      <w:r>
        <w:rPr>
          <w:rFonts w:ascii="Arial" w:cs="Arial" w:eastAsia="Arial" w:hAnsi="Arial"/>
          <w:sz w:val="11"/>
          <w:szCs w:val="11"/>
          <w:color w:val="auto"/>
        </w:rPr>
        <w:t>”), including all amendments thereto. Zordich has not nor, to Zordich’s Knowledge as of the date of this Agreement, has any other party to a Zordich Material Contract, breached, violated or defaulted under, or received notice that it breached, violated or defaulted under, any of the terms or conditions of any Zordich Material Contract in such manner as would permit any other party to cancel or terminate any such Zordich Material Contract, or would permit any other party to seek damages which would reasonably be expected to have a Zordich Material Adverse Effect. As to Zordich, as of the date of this Agreement, each Zordich Material Contract is valid, binding, enforceable and in full force and effect, subject to the Enforceability Exceptions. No Person is renegotiating, or has a right pursuant to the terms of any Zordich Material Contract to change, any material amount paid or payable to Zordich under any Zordich Material Contract or any other material term or provision of any Zordich Material Contract.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9019"/>
          </w:cols>
          <w:pgMar w:left="1440" w:top="230" w:right="1440" w:bottom="1440" w:gutter="0" w:footer="0" w:header="0"/>
        </w:sectPr>
      </w:pPr>
    </w:p>
    <w:bookmarkStart w:id="60" w:name="page61"/>
    <w:bookmarkEnd w:id="60"/>
    <w:p>
      <w:pPr>
        <w:ind w:left="1120"/>
        <w:spacing w:after="0"/>
        <w:tabs>
          <w:tab w:leader="none" w:pos="144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4.14</w:t>
      </w:r>
      <w:r>
        <w:rPr>
          <w:sz w:val="20"/>
          <w:szCs w:val="20"/>
          <w:color w:val="auto"/>
        </w:rPr>
        <w:tab/>
      </w:r>
      <w:r>
        <w:rPr>
          <w:rFonts w:ascii="Arial" w:cs="Arial" w:eastAsia="Arial" w:hAnsi="Arial"/>
          <w:sz w:val="10"/>
          <w:szCs w:val="10"/>
          <w:u w:val="single" w:color="auto"/>
          <w:color w:val="auto"/>
        </w:rPr>
        <w:t>Compliance; Permits; Restrictions</w:t>
      </w:r>
      <w:r>
        <w:rPr>
          <w:rFonts w:ascii="Arial" w:cs="Arial" w:eastAsia="Arial" w:hAnsi="Arial"/>
          <w:sz w:val="10"/>
          <w:szCs w:val="10"/>
          <w:color w:val="auto"/>
        </w:rPr>
        <w:t>.</w:t>
      </w:r>
    </w:p>
    <w:p>
      <w:pPr>
        <w:spacing w:after="0" w:line="79" w:lineRule="exact"/>
        <w:rPr>
          <w:sz w:val="20"/>
          <w:szCs w:val="20"/>
          <w:color w:val="auto"/>
        </w:rPr>
      </w:pPr>
    </w:p>
    <w:p>
      <w:pPr>
        <w:ind w:left="840" w:right="819" w:firstLine="654"/>
        <w:spacing w:after="0" w:line="282" w:lineRule="auto"/>
        <w:tabs>
          <w:tab w:leader="none" w:pos="1757" w:val="left"/>
        </w:tabs>
        <w:numPr>
          <w:ilvl w:val="0"/>
          <w:numId w:val="75"/>
        </w:numPr>
        <w:rPr>
          <w:rFonts w:ascii="Arial" w:cs="Arial" w:eastAsia="Arial" w:hAnsi="Arial"/>
          <w:sz w:val="11"/>
          <w:szCs w:val="11"/>
          <w:color w:val="auto"/>
        </w:rPr>
      </w:pPr>
      <w:r>
        <w:rPr>
          <w:rFonts w:ascii="Arial" w:cs="Arial" w:eastAsia="Arial" w:hAnsi="Arial"/>
          <w:sz w:val="11"/>
          <w:szCs w:val="11"/>
          <w:color w:val="auto"/>
        </w:rPr>
        <w:t>Zordich and each of its Subsidiaries is, and has been, in material compliance with all applicable Laws. No investigation, claim, suit, proceeding, audit, Order, or other action by any Governmental Authority is pending or, to the Knowledge of Zordich, threatened against Zordich or any of its Subsidiaries. There is no agreement or Order binding upon Zordich or any of its Subsidiaries which (i) has or could reasonably be expected to have the effect of prohibiting or materially impairing any business practice of Zordich or any of its Subsidiaries, any acquisition of material property by Zordich or any of its Subsidiaries or the conduct of business by Zordich or any of its Subsidiaries as currently conducted, (ii) is reasonably likely to have an adverse effect on Zordich’s ability to comply with or perform any covenant or obligation under this Agreement or (iii) is reasonably likely to have the effect of preventing, delaying, making illegal or otherwise interfering with the Contemplated Transactions.</w:t>
      </w:r>
    </w:p>
    <w:p>
      <w:pPr>
        <w:spacing w:after="0" w:line="115" w:lineRule="exact"/>
        <w:rPr>
          <w:rFonts w:ascii="Arial" w:cs="Arial" w:eastAsia="Arial" w:hAnsi="Arial"/>
          <w:sz w:val="11"/>
          <w:szCs w:val="11"/>
          <w:color w:val="auto"/>
        </w:rPr>
      </w:pPr>
    </w:p>
    <w:p>
      <w:pPr>
        <w:ind w:left="840" w:right="839" w:firstLine="654"/>
        <w:spacing w:after="0" w:line="317" w:lineRule="auto"/>
        <w:tabs>
          <w:tab w:leader="none" w:pos="1764" w:val="left"/>
        </w:tabs>
        <w:numPr>
          <w:ilvl w:val="0"/>
          <w:numId w:val="75"/>
        </w:numPr>
        <w:rPr>
          <w:rFonts w:ascii="Arial" w:cs="Arial" w:eastAsia="Arial" w:hAnsi="Arial"/>
          <w:sz w:val="10"/>
          <w:szCs w:val="10"/>
          <w:color w:val="auto"/>
        </w:rPr>
      </w:pPr>
      <w:r>
        <w:rPr>
          <w:rFonts w:ascii="Arial" w:cs="Arial" w:eastAsia="Arial" w:hAnsi="Arial"/>
          <w:sz w:val="10"/>
          <w:szCs w:val="10"/>
          <w:color w:val="auto"/>
        </w:rPr>
        <w:t>Each of Zordich and its Subsidiaries holds all required Governmental Authorizations that are material to the operation of the business of Zordich and Merger Sub as currently conducted (collectively, the “</w:t>
      </w:r>
      <w:r>
        <w:rPr>
          <w:rFonts w:ascii="Arial" w:cs="Arial" w:eastAsia="Arial" w:hAnsi="Arial"/>
          <w:sz w:val="10"/>
          <w:szCs w:val="10"/>
          <w:b w:val="1"/>
          <w:bCs w:val="1"/>
          <w:color w:val="auto"/>
        </w:rPr>
        <w:t>Zordich Permits</w:t>
      </w:r>
      <w:r>
        <w:rPr>
          <w:rFonts w:ascii="Arial" w:cs="Arial" w:eastAsia="Arial" w:hAnsi="Arial"/>
          <w:sz w:val="10"/>
          <w:szCs w:val="10"/>
          <w:color w:val="auto"/>
        </w:rPr>
        <w:t>”). Section 4.14(b) of the Zordich Disclosure Schedule identifies each Zordich Permit. Each of Zordich and its Subsidiaries is in material compliance with the terms of the Zordich Permits. No Legal Proceeding is pending or, to the Knowledge of Zordich, threatened, which seeks to revoke, substantially limit, suspend, or materially modify any Zordich Permit. The rights and benefits of each Zordich Permit will be available to Zordich and Surviving Corporation immediately after the Effective Time on terms substantially identical to those enjoyed by Zordich and its Subsidiaries as of the date of this Agreement and immediately prior to the Effective Time.</w:t>
      </w:r>
    </w:p>
    <w:p>
      <w:pPr>
        <w:spacing w:after="0" w:line="99" w:lineRule="exact"/>
        <w:rPr>
          <w:rFonts w:ascii="Arial" w:cs="Arial" w:eastAsia="Arial" w:hAnsi="Arial"/>
          <w:sz w:val="10"/>
          <w:szCs w:val="10"/>
          <w:color w:val="auto"/>
        </w:rPr>
      </w:pPr>
    </w:p>
    <w:p>
      <w:pPr>
        <w:ind w:left="840" w:right="899" w:firstLine="654"/>
        <w:spacing w:after="0" w:line="264" w:lineRule="auto"/>
        <w:tabs>
          <w:tab w:leader="none" w:pos="1755"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There are no Legal Proceedings pending or, to the Knowledge of Zordich, threatened with respect to an alleged material violation by Zordich or any of its Subsidiaries of the FDCA, FDA regulations adopted thereunder, the Controlled Substance Act or any other similar Law promulgated by a Drug Regulatory Agency.</w:t>
      </w:r>
    </w:p>
    <w:p>
      <w:pPr>
        <w:spacing w:after="0" w:line="122" w:lineRule="exact"/>
        <w:rPr>
          <w:rFonts w:ascii="Arial" w:cs="Arial" w:eastAsia="Arial" w:hAnsi="Arial"/>
          <w:sz w:val="12"/>
          <w:szCs w:val="12"/>
          <w:color w:val="auto"/>
        </w:rPr>
      </w:pPr>
    </w:p>
    <w:p>
      <w:pPr>
        <w:ind w:left="840" w:right="839" w:firstLine="654"/>
        <w:spacing w:after="0" w:line="277" w:lineRule="auto"/>
        <w:tabs>
          <w:tab w:leader="none" w:pos="1764" w:val="left"/>
        </w:tabs>
        <w:numPr>
          <w:ilvl w:val="0"/>
          <w:numId w:val="75"/>
        </w:numPr>
        <w:rPr>
          <w:rFonts w:ascii="Arial" w:cs="Arial" w:eastAsia="Arial" w:hAnsi="Arial"/>
          <w:sz w:val="11"/>
          <w:szCs w:val="11"/>
          <w:color w:val="auto"/>
        </w:rPr>
      </w:pPr>
      <w:r>
        <w:rPr>
          <w:rFonts w:ascii="Arial" w:cs="Arial" w:eastAsia="Arial" w:hAnsi="Arial"/>
          <w:sz w:val="11"/>
          <w:szCs w:val="11"/>
          <w:color w:val="auto"/>
        </w:rPr>
        <w:t>Each of Zordich and its Subsidiaries holds all required Governmental Authorizations issuable by any Drug Regulatory Agency necessary for the conduct of the business of Zordich and Merger Sub as currently conducted, and, as applicable,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1"/>
          <w:szCs w:val="11"/>
          <w:b w:val="1"/>
          <w:bCs w:val="1"/>
          <w:color w:val="auto"/>
        </w:rPr>
        <w:t>Zordich Product Candidates</w:t>
      </w:r>
      <w:r>
        <w:rPr>
          <w:rFonts w:ascii="Arial" w:cs="Arial" w:eastAsia="Arial" w:hAnsi="Arial"/>
          <w:sz w:val="11"/>
          <w:szCs w:val="11"/>
          <w:color w:val="auto"/>
        </w:rPr>
        <w:t>”) (the “</w:t>
      </w:r>
      <w:r>
        <w:rPr>
          <w:rFonts w:ascii="Arial" w:cs="Arial" w:eastAsia="Arial" w:hAnsi="Arial"/>
          <w:sz w:val="11"/>
          <w:szCs w:val="11"/>
          <w:b w:val="1"/>
          <w:bCs w:val="1"/>
          <w:color w:val="auto"/>
        </w:rPr>
        <w:t>Zordich Regulatory Permits</w:t>
      </w:r>
      <w:r>
        <w:rPr>
          <w:rFonts w:ascii="Arial" w:cs="Arial" w:eastAsia="Arial" w:hAnsi="Arial"/>
          <w:sz w:val="11"/>
          <w:szCs w:val="11"/>
          <w:color w:val="auto"/>
        </w:rPr>
        <w:t>”) and no such Zordich Regulatory Permit has been (i) revoked, withdrawn, suspended, cancelled or terminated or (ii) modified in any adverse manner other than immaterial adverse modifications. Zordich has timely maintained and is in compliance in all material respects with the Zordich Regulatory Permits and neither Zordich nor any of its Subsidiaries has received any written notice or other written communication from any Drug Regulatory Agency regarding (A) any material violation of or failure to comply materially with any term or requirement of any Zordich Regulatory Permit or (B) any revocation, withdrawal, suspension, cancellation, termination or material modification of any Zordich Regulatory Permit. Except for the information and files identified in Section 4.14(d) of the Zordich Disclosure Schedule, Zordich has made available to the Company all information requested by the Company in Zordich’s or its Subsidiaries’ possession or control relating to the Zordich Product Candidates and the development, testing, manufacturing, processing, storage, labeling, sale, marketing, advertising, distribution and importation or exportation of the Zordich Product Candidates, including, but not limited to, complete copies of the following (to the extent there are any): (x) adverse event reports; pre-clinical, clinical and other study reports and material study data;</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9019"/>
          </w:cols>
          <w:pgMar w:left="1440" w:top="230" w:right="1440" w:bottom="1440" w:gutter="0" w:footer="0" w:header="0"/>
        </w:sectPr>
      </w:pPr>
    </w:p>
    <w:bookmarkStart w:id="61" w:name="page62"/>
    <w:bookmarkEnd w:id="61"/>
    <w:p>
      <w:pPr>
        <w:ind w:left="840" w:right="839"/>
        <w:spacing w:after="0" w:line="29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are accurate and complete in all material respects.</w:t>
      </w:r>
    </w:p>
    <w:p>
      <w:pPr>
        <w:spacing w:after="0" w:line="105" w:lineRule="exact"/>
        <w:rPr>
          <w:sz w:val="20"/>
          <w:szCs w:val="20"/>
          <w:color w:val="auto"/>
        </w:rPr>
      </w:pPr>
    </w:p>
    <w:p>
      <w:pPr>
        <w:ind w:left="840" w:right="839" w:firstLine="654"/>
        <w:spacing w:after="0" w:line="278" w:lineRule="auto"/>
        <w:tabs>
          <w:tab w:leader="none" w:pos="1750" w:val="left"/>
        </w:tabs>
        <w:numPr>
          <w:ilvl w:val="0"/>
          <w:numId w:val="76"/>
        </w:numPr>
        <w:rPr>
          <w:rFonts w:ascii="Arial" w:cs="Arial" w:eastAsia="Arial" w:hAnsi="Arial"/>
          <w:sz w:val="11"/>
          <w:szCs w:val="11"/>
          <w:color w:val="auto"/>
        </w:rPr>
      </w:pPr>
      <w:r>
        <w:rPr>
          <w:rFonts w:ascii="Arial" w:cs="Arial" w:eastAsia="Arial" w:hAnsi="Arial"/>
          <w:sz w:val="11"/>
          <w:szCs w:val="11"/>
          <w:color w:val="auto"/>
        </w:rPr>
        <w:t>All clinical, pre-clinical and other studies and tests conducted by or on behalf of, or sponsored by, Zordich or its Subsidiaries, in which Zordich or its Subsidiaries or their respective products or product candidates, including the Zordich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without limitation, 21 C.F.R. Parts 50, 54, 56, 58 and 312. Other than as set forth on Section 4.14(e) of the Zordich Disclosure Schedule, neither Zordich nor any of its Subsidiaries has received any written notices, correspondence, or other communications from any Drug Regulatory Agency requiring or, to the Knowledge of Zordich, any action to place a clinical hold order on, or otherwise terminate, delay, or suspend any clinical studies conducted by or on behalf of, or sponsored by, Zordich or any of its Subsidiaries or in which Zordich or any of its Subsidiaries or its current products or product candidates, including the Zordich Product Candidates, have participated. Further, no clinical investigator, researcher, or clinical staff participating in any clinical study conducted by or, to the Knowledge of Zordich, on behalf of Zordich or any of its Subsidiaries has been disqualified from participating in studies involving the Zordich Product Candidates, and to the Knowledge of Zordich, no such administrative action to disqualify such clinical investigators, researchers or clinical staff has been threatened or is pending.</w:t>
      </w:r>
    </w:p>
    <w:p>
      <w:pPr>
        <w:spacing w:after="0" w:line="119" w:lineRule="exact"/>
        <w:rPr>
          <w:rFonts w:ascii="Arial" w:cs="Arial" w:eastAsia="Arial" w:hAnsi="Arial"/>
          <w:sz w:val="11"/>
          <w:szCs w:val="11"/>
          <w:color w:val="auto"/>
        </w:rPr>
      </w:pPr>
    </w:p>
    <w:p>
      <w:pPr>
        <w:ind w:left="840" w:right="859" w:firstLine="654"/>
        <w:spacing w:after="0" w:line="278" w:lineRule="auto"/>
        <w:tabs>
          <w:tab w:leader="none" w:pos="1744" w:val="left"/>
        </w:tabs>
        <w:numPr>
          <w:ilvl w:val="0"/>
          <w:numId w:val="76"/>
        </w:numPr>
        <w:rPr>
          <w:rFonts w:ascii="Arial" w:cs="Arial" w:eastAsia="Arial" w:hAnsi="Arial"/>
          <w:sz w:val="11"/>
          <w:szCs w:val="11"/>
          <w:color w:val="auto"/>
        </w:rPr>
      </w:pPr>
      <w:r>
        <w:rPr>
          <w:rFonts w:ascii="Arial" w:cs="Arial" w:eastAsia="Arial" w:hAnsi="Arial"/>
          <w:sz w:val="11"/>
          <w:szCs w:val="11"/>
          <w:color w:val="auto"/>
        </w:rPr>
        <w:t>Neither Zordich nor any of its Subsidiaries, and to the Knowledge of Zordich, no contract manufacturer with respect to any Zordich Product Candidate is the subject of any pending or, to the Knowledge of Zordich, threatened investigation in respect of its business or products by the FDA pursuant to its “Fraud, Untrue Statements of Material Facts, Bribery, and Illegal Gratuities” Final Policy set forth in 56 Fed. Reg. 46191 (September 10, 1991) and any amendments thereto. To the Knowledge of Zordich, neither Zordich nor any of its Subsidiaries and no contract manufacturer with respect to any Zordich Product Candidate has not committed any acts, made any statement, or failed to make any statement, in each case in respect of its business or products that would violate FDA’s “Fraud, Untrue Statements of Material Facts, Bribery, and Illegal Gratuities” Final Policy, and any amendments thereto. None of Zordich, any of its Subsidiaries, and to the Knowledge of Zordich, any contract manufacturer with respect to any Zordich Product Candidate, or any of their respective officers, employees or agents has been convicted of any crime or engaged in any conduct that could result in a material debarment or exclusion (i) under 21 U.S.C. Section 335a or (ii) any similar applicable Law. To the Knowledge of Zordich, no material debarment or exclusionary claims, actions, proceedings or investigations in respect of their business or products are pending or threatened against Zordich, any of its Subsidiaries, and to the Knowledge of Zordich, any contract manufacturer with respect to any Zordich Product Candidate, or any of its officers, employees or agents.</w:t>
      </w:r>
    </w:p>
    <w:p>
      <w:pPr>
        <w:spacing w:after="0" w:line="119" w:lineRule="exact"/>
        <w:rPr>
          <w:rFonts w:ascii="Arial" w:cs="Arial" w:eastAsia="Arial" w:hAnsi="Arial"/>
          <w:sz w:val="11"/>
          <w:szCs w:val="11"/>
          <w:color w:val="auto"/>
        </w:rPr>
      </w:pPr>
    </w:p>
    <w:p>
      <w:pPr>
        <w:ind w:left="840" w:right="879" w:firstLine="654"/>
        <w:spacing w:after="0" w:line="290" w:lineRule="auto"/>
        <w:tabs>
          <w:tab w:leader="none" w:pos="1757" w:val="left"/>
        </w:tabs>
        <w:numPr>
          <w:ilvl w:val="0"/>
          <w:numId w:val="76"/>
        </w:numPr>
        <w:rPr>
          <w:rFonts w:ascii="Arial" w:cs="Arial" w:eastAsia="Arial" w:hAnsi="Arial"/>
          <w:sz w:val="11"/>
          <w:szCs w:val="11"/>
          <w:color w:val="auto"/>
        </w:rPr>
      </w:pPr>
      <w:r>
        <w:rPr>
          <w:rFonts w:ascii="Arial" w:cs="Arial" w:eastAsia="Arial" w:hAnsi="Arial"/>
          <w:sz w:val="11"/>
          <w:szCs w:val="11"/>
          <w:color w:val="auto"/>
        </w:rPr>
        <w:t>All manufacturing operations conducted by, or, to the Knowledge of the Zordich, for the benefit of Zordich or its Subsidiaries in connection with any Zordich Product Candidate, since January 1, 2017, have been and are being conducted in compliance in all material respects with applicable Laws, including the FDA’s standards for current good manufacturing practices, including applicable requirements contains in 21 C.F.R. Parts 210 and 211, and the respective counterparts thereof promulgated by Governmental Authorities in countries outside the United States.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9019"/>
          </w:cols>
          <w:pgMar w:left="1440" w:top="230" w:right="1440" w:bottom="1440" w:gutter="0" w:footer="0" w:header="0"/>
        </w:sectPr>
      </w:pPr>
    </w:p>
    <w:bookmarkStart w:id="62" w:name="page63"/>
    <w:bookmarkEnd w:id="62"/>
    <w:p>
      <w:pPr>
        <w:jc w:val="both"/>
        <w:ind w:left="840" w:right="979" w:firstLine="654"/>
        <w:spacing w:after="0" w:line="282" w:lineRule="auto"/>
        <w:tabs>
          <w:tab w:leader="none" w:pos="1764" w:val="left"/>
        </w:tabs>
        <w:numPr>
          <w:ilvl w:val="1"/>
          <w:numId w:val="7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 manufacturing site owned by Zordich or its Subsidiaries, and to the Knowledge of Zordich, no manufacturing site of a contract manufacturer, with respect to any Zordich Product Candidate, (i) is subject to a Drug Regulatory Agency shutdown or import or export prohibition or</w:t>
      </w:r>
    </w:p>
    <w:p>
      <w:pPr>
        <w:ind w:left="840" w:right="1059" w:hanging="9"/>
        <w:spacing w:after="0" w:line="254" w:lineRule="auto"/>
        <w:tabs>
          <w:tab w:leader="none" w:pos="1017" w:val="left"/>
        </w:tabs>
        <w:numPr>
          <w:ilvl w:val="0"/>
          <w:numId w:val="78"/>
        </w:numPr>
        <w:rPr>
          <w:rFonts w:ascii="Arial" w:cs="Arial" w:eastAsia="Arial" w:hAnsi="Arial"/>
          <w:sz w:val="12"/>
          <w:szCs w:val="12"/>
          <w:color w:val="auto"/>
        </w:rPr>
      </w:pPr>
      <w:r>
        <w:rPr>
          <w:rFonts w:ascii="Arial" w:cs="Arial" w:eastAsia="Arial" w:hAnsi="Arial"/>
          <w:sz w:val="12"/>
          <w:szCs w:val="12"/>
          <w:color w:val="auto"/>
        </w:rPr>
        <w:t>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Zordich, neither the FDA nor any other Governmental Authority is considering such action.</w:t>
      </w:r>
    </w:p>
    <w:p>
      <w:pPr>
        <w:spacing w:after="0" w:line="202"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4.15</w:t>
      </w:r>
      <w:r>
        <w:rPr>
          <w:sz w:val="20"/>
          <w:szCs w:val="20"/>
          <w:color w:val="auto"/>
        </w:rPr>
        <w:tab/>
      </w:r>
      <w:r>
        <w:rPr>
          <w:rFonts w:ascii="Arial" w:cs="Arial" w:eastAsia="Arial" w:hAnsi="Arial"/>
          <w:sz w:val="10"/>
          <w:szCs w:val="10"/>
          <w:u w:val="single" w:color="auto"/>
          <w:color w:val="auto"/>
        </w:rPr>
        <w:t>Legal Proceedings; Orders</w:t>
      </w:r>
      <w:r>
        <w:rPr>
          <w:rFonts w:ascii="Arial" w:cs="Arial" w:eastAsia="Arial" w:hAnsi="Arial"/>
          <w:sz w:val="10"/>
          <w:szCs w:val="10"/>
          <w:color w:val="auto"/>
        </w:rPr>
        <w:t>.</w:t>
      </w:r>
    </w:p>
    <w:p>
      <w:pPr>
        <w:spacing w:after="0" w:line="79" w:lineRule="exact"/>
        <w:rPr>
          <w:sz w:val="20"/>
          <w:szCs w:val="20"/>
          <w:color w:val="auto"/>
        </w:rPr>
      </w:pPr>
    </w:p>
    <w:p>
      <w:pPr>
        <w:jc w:val="both"/>
        <w:ind w:left="840" w:right="919" w:firstLine="654"/>
        <w:spacing w:after="0" w:line="290" w:lineRule="auto"/>
        <w:tabs>
          <w:tab w:leader="none" w:pos="1757" w:val="left"/>
        </w:tabs>
        <w:numPr>
          <w:ilvl w:val="0"/>
          <w:numId w:val="79"/>
        </w:numPr>
        <w:rPr>
          <w:rFonts w:ascii="Arial" w:cs="Arial" w:eastAsia="Arial" w:hAnsi="Arial"/>
          <w:sz w:val="11"/>
          <w:szCs w:val="11"/>
          <w:color w:val="auto"/>
        </w:rPr>
      </w:pPr>
      <w:r>
        <w:rPr>
          <w:rFonts w:ascii="Arial" w:cs="Arial" w:eastAsia="Arial" w:hAnsi="Arial"/>
          <w:sz w:val="11"/>
          <w:szCs w:val="11"/>
          <w:color w:val="auto"/>
        </w:rPr>
        <w:t>Except as set forth in Section 4.15 of the Zordich Disclosure Schedule, there is no pending Legal Proceeding and, to the Knowledge of Zordich, no Person has threatened in writing to commence any Legal Proceeding: (i) that involves Zordich or any of its Subsidiaries or any Zordich Associate (in his or her capacity as such) or any of the material assets owned or used by Zordich or its Subsidiaries or (ii) that challenges, or that may have the effect of preventing, delaying, making illegal or otherwise interfering with, the Contemplated Transactions.</w:t>
      </w:r>
    </w:p>
    <w:p>
      <w:pPr>
        <w:spacing w:after="0" w:line="110" w:lineRule="exact"/>
        <w:rPr>
          <w:rFonts w:ascii="Arial" w:cs="Arial" w:eastAsia="Arial" w:hAnsi="Arial"/>
          <w:sz w:val="11"/>
          <w:szCs w:val="11"/>
          <w:color w:val="auto"/>
        </w:rPr>
      </w:pPr>
    </w:p>
    <w:p>
      <w:pPr>
        <w:ind w:left="840" w:right="839" w:firstLine="654"/>
        <w:spacing w:after="0" w:line="260" w:lineRule="auto"/>
        <w:tabs>
          <w:tab w:leader="none" w:pos="1761"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There is no Order to which Zordich or any of its Subsidiaries, or any of the material assets owned or used by Zordich or any of its Subsidiaries is subject. To the Knowledge of Zordich, no officer or other Key Employee of Zordich or any of its Subsidiaries is subject to any Order that prohibits such officer or employee from engaging in or continuing any conduct, activity or practice relating to the business of Zordich or any of its Subsidiaries or to any material assets owned or used by Zordich or any of its Subsidiaries.</w:t>
      </w:r>
    </w:p>
    <w:p>
      <w:pPr>
        <w:spacing w:after="0" w:line="197"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4.16</w:t>
      </w:r>
      <w:r>
        <w:rPr>
          <w:sz w:val="20"/>
          <w:szCs w:val="20"/>
          <w:color w:val="auto"/>
        </w:rPr>
        <w:tab/>
      </w:r>
      <w:r>
        <w:rPr>
          <w:rFonts w:ascii="Arial" w:cs="Arial" w:eastAsia="Arial" w:hAnsi="Arial"/>
          <w:sz w:val="10"/>
          <w:szCs w:val="10"/>
          <w:u w:val="single" w:color="auto"/>
          <w:color w:val="auto"/>
        </w:rPr>
        <w:t>Tax Matters</w:t>
      </w:r>
      <w:r>
        <w:rPr>
          <w:rFonts w:ascii="Arial" w:cs="Arial" w:eastAsia="Arial" w:hAnsi="Arial"/>
          <w:sz w:val="10"/>
          <w:szCs w:val="10"/>
          <w:color w:val="auto"/>
        </w:rPr>
        <w:t>.</w:t>
      </w:r>
    </w:p>
    <w:p>
      <w:pPr>
        <w:spacing w:after="0" w:line="79" w:lineRule="exact"/>
        <w:rPr>
          <w:sz w:val="20"/>
          <w:szCs w:val="20"/>
          <w:color w:val="auto"/>
        </w:rPr>
      </w:pPr>
    </w:p>
    <w:p>
      <w:pPr>
        <w:ind w:left="840" w:right="979" w:firstLine="654"/>
        <w:spacing w:after="0" w:line="290" w:lineRule="auto"/>
        <w:tabs>
          <w:tab w:leader="none" w:pos="1787" w:val="left"/>
        </w:tabs>
        <w:numPr>
          <w:ilvl w:val="0"/>
          <w:numId w:val="80"/>
        </w:numPr>
        <w:rPr>
          <w:rFonts w:ascii="Arial" w:cs="Arial" w:eastAsia="Arial" w:hAnsi="Arial"/>
          <w:sz w:val="11"/>
          <w:szCs w:val="11"/>
          <w:color w:val="auto"/>
        </w:rPr>
      </w:pPr>
      <w:r>
        <w:rPr>
          <w:rFonts w:ascii="Arial" w:cs="Arial" w:eastAsia="Arial" w:hAnsi="Arial"/>
          <w:sz w:val="11"/>
          <w:szCs w:val="11"/>
          <w:color w:val="auto"/>
        </w:rPr>
        <w:t>Each of Zordich and its Subsidiaries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Zordich or any of its Subsidiaries does not file Tax Returns that Zordich is subject to taxation by that jurisdiction.</w:t>
      </w:r>
    </w:p>
    <w:p>
      <w:pPr>
        <w:spacing w:after="0" w:line="110" w:lineRule="exact"/>
        <w:rPr>
          <w:rFonts w:ascii="Arial" w:cs="Arial" w:eastAsia="Arial" w:hAnsi="Arial"/>
          <w:sz w:val="11"/>
          <w:szCs w:val="11"/>
          <w:color w:val="auto"/>
        </w:rPr>
      </w:pPr>
    </w:p>
    <w:p>
      <w:pPr>
        <w:jc w:val="both"/>
        <w:ind w:left="840" w:right="879" w:firstLine="654"/>
        <w:spacing w:after="0" w:line="264" w:lineRule="auto"/>
        <w:tabs>
          <w:tab w:leader="none" w:pos="1757" w:val="left"/>
        </w:tabs>
        <w:numPr>
          <w:ilvl w:val="0"/>
          <w:numId w:val="80"/>
        </w:numPr>
        <w:rPr>
          <w:rFonts w:ascii="Arial" w:cs="Arial" w:eastAsia="Arial" w:hAnsi="Arial"/>
          <w:sz w:val="12"/>
          <w:szCs w:val="12"/>
          <w:color w:val="auto"/>
        </w:rPr>
      </w:pPr>
      <w:r>
        <w:rPr>
          <w:rFonts w:ascii="Arial" w:cs="Arial" w:eastAsia="Arial" w:hAnsi="Arial"/>
          <w:sz w:val="12"/>
          <w:szCs w:val="12"/>
          <w:color w:val="auto"/>
        </w:rPr>
        <w:t>All material Taxes due and owing by Zordich and each of its Subsidiaries (whether or not shown on any Tax Return) have been paid. Since the date of the Zordich Unaudited Interim Balance Sheet, neither Zordich nor any of its Subsidiaries has incurred any material Liability for Taxes outside the Ordinary Course of Business or otherwise inconsistent with past custom and practice.</w:t>
      </w:r>
    </w:p>
    <w:p>
      <w:pPr>
        <w:spacing w:after="0" w:line="122" w:lineRule="exact"/>
        <w:rPr>
          <w:rFonts w:ascii="Arial" w:cs="Arial" w:eastAsia="Arial" w:hAnsi="Arial"/>
          <w:sz w:val="12"/>
          <w:szCs w:val="12"/>
          <w:color w:val="auto"/>
        </w:rPr>
      </w:pPr>
    </w:p>
    <w:p>
      <w:pPr>
        <w:ind w:left="840" w:right="919" w:firstLine="654"/>
        <w:spacing w:after="0" w:line="277" w:lineRule="auto"/>
        <w:tabs>
          <w:tab w:leader="none" w:pos="1757" w:val="left"/>
        </w:tabs>
        <w:numPr>
          <w:ilvl w:val="0"/>
          <w:numId w:val="80"/>
        </w:numPr>
        <w:rPr>
          <w:rFonts w:ascii="Arial" w:cs="Arial" w:eastAsia="Arial" w:hAnsi="Arial"/>
          <w:sz w:val="12"/>
          <w:szCs w:val="12"/>
          <w:color w:val="auto"/>
        </w:rPr>
      </w:pPr>
      <w:r>
        <w:rPr>
          <w:rFonts w:ascii="Arial" w:cs="Arial" w:eastAsia="Arial" w:hAnsi="Arial"/>
          <w:sz w:val="12"/>
          <w:szCs w:val="12"/>
          <w:color w:val="auto"/>
        </w:rPr>
        <w:t>Each of Zordich and its Subsidiaries has withheld and paid all material Taxes required to have been withheld and paid in connection with any amounts paid or owing to any employee, independent contractor, creditor, stockholder, or other third party.</w:t>
      </w:r>
    </w:p>
    <w:p>
      <w:pPr>
        <w:spacing w:after="0" w:line="114" w:lineRule="exact"/>
        <w:rPr>
          <w:rFonts w:ascii="Arial" w:cs="Arial" w:eastAsia="Arial" w:hAnsi="Arial"/>
          <w:sz w:val="12"/>
          <w:szCs w:val="12"/>
          <w:color w:val="auto"/>
        </w:rPr>
      </w:pPr>
    </w:p>
    <w:p>
      <w:pPr>
        <w:ind w:left="840" w:right="999" w:firstLine="654"/>
        <w:spacing w:after="0" w:line="264" w:lineRule="auto"/>
        <w:tabs>
          <w:tab w:leader="none" w:pos="1761"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There are no Encumbrances for material Taxes (other than Taxes not yet due and payable or for Taxes that are being contested in good faith, in each case, for which adequate reserves have been established in accordance with GAAP) upon any of the assets of Zordich or any of its Subsidiaries.</w:t>
      </w:r>
    </w:p>
    <w:p>
      <w:pPr>
        <w:spacing w:after="0" w:line="122" w:lineRule="exact"/>
        <w:rPr>
          <w:rFonts w:ascii="Arial" w:cs="Arial" w:eastAsia="Arial" w:hAnsi="Arial"/>
          <w:sz w:val="12"/>
          <w:szCs w:val="12"/>
          <w:color w:val="auto"/>
        </w:rPr>
      </w:pPr>
    </w:p>
    <w:p>
      <w:pPr>
        <w:ind w:left="840" w:right="899" w:firstLine="654"/>
        <w:spacing w:after="0" w:line="290" w:lineRule="auto"/>
        <w:tabs>
          <w:tab w:leader="none" w:pos="1757" w:val="left"/>
        </w:tabs>
        <w:numPr>
          <w:ilvl w:val="0"/>
          <w:numId w:val="80"/>
        </w:numPr>
        <w:rPr>
          <w:rFonts w:ascii="Arial" w:cs="Arial" w:eastAsia="Arial" w:hAnsi="Arial"/>
          <w:sz w:val="11"/>
          <w:szCs w:val="11"/>
          <w:color w:val="auto"/>
        </w:rPr>
      </w:pPr>
      <w:r>
        <w:rPr>
          <w:rFonts w:ascii="Arial" w:cs="Arial" w:eastAsia="Arial" w:hAnsi="Arial"/>
          <w:sz w:val="11"/>
          <w:szCs w:val="11"/>
          <w:color w:val="auto"/>
        </w:rPr>
        <w:t>No deficiencies for material Taxes with respect to Zordich or any of its Subsidiaries have been claimed, proposed or assessed by any Governmental Authority in writing. There are no pending (or, based on written notice, threatened) material audits, assessments or other actions for or relating to any liability in respect of Taxes of Zordich or any of its Subsidiaries. Neither Zordich nor any of its Subsidiaries has waived any statute of limitations in respect of material Taxes or agreed to any extension of time with respect to a material Tax assessment or deficiency.</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9019"/>
          </w:cols>
          <w:pgMar w:left="1440" w:top="230" w:right="1440" w:bottom="1440" w:gutter="0" w:footer="0" w:header="0"/>
        </w:sectPr>
      </w:pPr>
    </w:p>
    <w:bookmarkStart w:id="63" w:name="page64"/>
    <w:bookmarkEnd w:id="63"/>
    <w:p>
      <w:pPr>
        <w:ind w:left="840" w:right="819" w:firstLine="654"/>
        <w:spacing w:after="0" w:line="264" w:lineRule="auto"/>
        <w:tabs>
          <w:tab w:leader="none" w:pos="1744" w:val="left"/>
        </w:tabs>
        <w:numPr>
          <w:ilvl w:val="0"/>
          <w:numId w:val="8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Zordich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and landlords.</w:t>
      </w:r>
    </w:p>
    <w:p>
      <w:pPr>
        <w:spacing w:after="0" w:line="122" w:lineRule="exact"/>
        <w:rPr>
          <w:rFonts w:ascii="Arial" w:cs="Arial" w:eastAsia="Arial" w:hAnsi="Arial"/>
          <w:sz w:val="12"/>
          <w:szCs w:val="12"/>
          <w:color w:val="auto"/>
        </w:rPr>
      </w:pPr>
    </w:p>
    <w:p>
      <w:pPr>
        <w:ind w:left="840" w:right="899" w:firstLine="654"/>
        <w:spacing w:after="0" w:line="260" w:lineRule="auto"/>
        <w:tabs>
          <w:tab w:leader="none" w:pos="1764" w:val="left"/>
        </w:tabs>
        <w:numPr>
          <w:ilvl w:val="0"/>
          <w:numId w:val="81"/>
        </w:numPr>
        <w:rPr>
          <w:rFonts w:ascii="Arial" w:cs="Arial" w:eastAsia="Arial" w:hAnsi="Arial"/>
          <w:sz w:val="12"/>
          <w:szCs w:val="12"/>
          <w:color w:val="auto"/>
        </w:rPr>
      </w:pPr>
      <w:r>
        <w:rPr>
          <w:rFonts w:ascii="Arial" w:cs="Arial" w:eastAsia="Arial" w:hAnsi="Arial"/>
          <w:sz w:val="12"/>
          <w:szCs w:val="12"/>
          <w:color w:val="auto"/>
        </w:rPr>
        <w:t>Neither Zordich nor any of its Subsidiaries has been a member of an affiliated group filing a consolidated U.S. federal income Tax Return (other than a group the common parent of which is Zordich). Neither Zordich nor any of its Subsidiaries has any material Liability for the Taxes of any Person (other than Zordich and any of its Subsidiaries) under Treasury Regulations Section 1.1502-6 (or any similar provision of state, local, or foreign law) or as a transferee or successor.</w:t>
      </w:r>
    </w:p>
    <w:p>
      <w:pPr>
        <w:spacing w:after="0" w:line="124" w:lineRule="exact"/>
        <w:rPr>
          <w:rFonts w:ascii="Arial" w:cs="Arial" w:eastAsia="Arial" w:hAnsi="Arial"/>
          <w:sz w:val="12"/>
          <w:szCs w:val="12"/>
          <w:color w:val="auto"/>
        </w:rPr>
      </w:pPr>
    </w:p>
    <w:p>
      <w:pPr>
        <w:ind w:left="840" w:right="839" w:firstLine="654"/>
        <w:spacing w:after="0" w:line="324" w:lineRule="auto"/>
        <w:tabs>
          <w:tab w:leader="none" w:pos="1764" w:val="left"/>
        </w:tabs>
        <w:numPr>
          <w:ilvl w:val="0"/>
          <w:numId w:val="81"/>
        </w:numPr>
        <w:rPr>
          <w:rFonts w:ascii="Arial" w:cs="Arial" w:eastAsia="Arial" w:hAnsi="Arial"/>
          <w:sz w:val="11"/>
          <w:szCs w:val="11"/>
          <w:color w:val="auto"/>
        </w:rPr>
      </w:pPr>
      <w:r>
        <w:rPr>
          <w:rFonts w:ascii="Arial" w:cs="Arial" w:eastAsia="Arial" w:hAnsi="Arial"/>
          <w:sz w:val="11"/>
          <w:szCs w:val="11"/>
          <w:color w:val="auto"/>
        </w:rPr>
        <w:t>Neither Zordich nor any of its Subsidiaries has distributed stock of another Person, or had its stock distributed by another Person, in a transaction that was purported or intended to be governed in whole or in part by Section 355 of the Code or Section 361 of the Code.</w:t>
      </w:r>
    </w:p>
    <w:p>
      <w:pPr>
        <w:spacing w:after="0" w:line="91" w:lineRule="exact"/>
        <w:rPr>
          <w:rFonts w:ascii="Arial" w:cs="Arial" w:eastAsia="Arial" w:hAnsi="Arial"/>
          <w:sz w:val="11"/>
          <w:szCs w:val="11"/>
          <w:color w:val="auto"/>
        </w:rPr>
      </w:pPr>
    </w:p>
    <w:p>
      <w:pPr>
        <w:ind w:left="840" w:right="1259" w:firstLine="654"/>
        <w:spacing w:after="0" w:line="277" w:lineRule="auto"/>
        <w:tabs>
          <w:tab w:leader="none" w:pos="1737" w:val="left"/>
        </w:tabs>
        <w:numPr>
          <w:ilvl w:val="0"/>
          <w:numId w:val="81"/>
        </w:numPr>
        <w:rPr>
          <w:rFonts w:ascii="Arial" w:cs="Arial" w:eastAsia="Arial" w:hAnsi="Arial"/>
          <w:sz w:val="12"/>
          <w:szCs w:val="12"/>
          <w:color w:val="auto"/>
        </w:rPr>
      </w:pPr>
      <w:r>
        <w:rPr>
          <w:rFonts w:ascii="Arial" w:cs="Arial" w:eastAsia="Arial" w:hAnsi="Arial"/>
          <w:sz w:val="12"/>
          <w:szCs w:val="12"/>
          <w:color w:val="auto"/>
        </w:rPr>
        <w:t>Neither Zordich nor any of its Subsidiaries has entered into any transaction identified as a “listed transaction” for purposes of Treasury Regulations Sections 1.6011-4(b)(2) or 301.6111-2(b)(2).</w:t>
      </w:r>
    </w:p>
    <w:p>
      <w:pPr>
        <w:spacing w:after="0" w:line="187"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4.17</w:t>
      </w:r>
      <w:r>
        <w:rPr>
          <w:sz w:val="20"/>
          <w:szCs w:val="20"/>
          <w:color w:val="auto"/>
        </w:rPr>
        <w:tab/>
      </w:r>
      <w:r>
        <w:rPr>
          <w:rFonts w:ascii="Arial" w:cs="Arial" w:eastAsia="Arial" w:hAnsi="Arial"/>
          <w:sz w:val="10"/>
          <w:szCs w:val="10"/>
          <w:u w:val="single" w:color="auto"/>
          <w:color w:val="auto"/>
        </w:rPr>
        <w:t>Employee and Labor Matters; Benefit Plans</w:t>
      </w:r>
      <w:r>
        <w:rPr>
          <w:rFonts w:ascii="Arial" w:cs="Arial" w:eastAsia="Arial" w:hAnsi="Arial"/>
          <w:sz w:val="10"/>
          <w:szCs w:val="10"/>
          <w:color w:val="auto"/>
        </w:rPr>
        <w:t>.</w:t>
      </w:r>
    </w:p>
    <w:p>
      <w:pPr>
        <w:spacing w:after="0" w:line="79" w:lineRule="exact"/>
        <w:rPr>
          <w:sz w:val="20"/>
          <w:szCs w:val="20"/>
          <w:color w:val="auto"/>
        </w:rPr>
      </w:pPr>
    </w:p>
    <w:p>
      <w:pPr>
        <w:ind w:left="840" w:right="999" w:firstLine="654"/>
        <w:spacing w:after="0" w:line="299" w:lineRule="auto"/>
        <w:tabs>
          <w:tab w:leader="none" w:pos="1755" w:val="left"/>
        </w:tabs>
        <w:numPr>
          <w:ilvl w:val="0"/>
          <w:numId w:val="82"/>
        </w:numPr>
        <w:rPr>
          <w:rFonts w:ascii="Arial" w:cs="Arial" w:eastAsia="Arial" w:hAnsi="Arial"/>
          <w:sz w:val="11"/>
          <w:szCs w:val="11"/>
          <w:color w:val="auto"/>
        </w:rPr>
      </w:pPr>
      <w:r>
        <w:rPr>
          <w:rFonts w:ascii="Arial" w:cs="Arial" w:eastAsia="Arial" w:hAnsi="Arial"/>
          <w:sz w:val="11"/>
          <w:szCs w:val="11"/>
          <w:color w:val="auto"/>
        </w:rPr>
        <w:t>The employment of Zordich’s and any of its Subsidiaries</w:t>
      </w:r>
      <w:r>
        <w:rPr>
          <w:rFonts w:ascii="Arial" w:cs="Arial" w:eastAsia="Arial" w:hAnsi="Arial"/>
          <w:sz w:val="11"/>
          <w:szCs w:val="11"/>
          <w:u w:val="single" w:color="auto"/>
          <w:color w:val="auto"/>
        </w:rPr>
        <w:t>’</w:t>
      </w:r>
      <w:r>
        <w:rPr>
          <w:rFonts w:ascii="Arial" w:cs="Arial" w:eastAsia="Arial" w:hAnsi="Arial"/>
          <w:sz w:val="11"/>
          <w:szCs w:val="11"/>
          <w:color w:val="auto"/>
        </w:rPr>
        <w:t xml:space="preserve"> employees is terminable by Zordich or the applicable Subsidiary at will. Zordich has made available to the Company accurate and complete copies of all employee manuals and handbooks, disclosure materials, policy statements and other materials relating to the employment of Zordich Associates to the extent currently effective and material.</w:t>
      </w:r>
    </w:p>
    <w:p>
      <w:pPr>
        <w:spacing w:after="0" w:line="105" w:lineRule="exact"/>
        <w:rPr>
          <w:rFonts w:ascii="Arial" w:cs="Arial" w:eastAsia="Arial" w:hAnsi="Arial"/>
          <w:sz w:val="11"/>
          <w:szCs w:val="11"/>
          <w:color w:val="auto"/>
        </w:rPr>
      </w:pPr>
    </w:p>
    <w:p>
      <w:pPr>
        <w:ind w:left="840" w:right="839" w:firstLine="654"/>
        <w:spacing w:after="0" w:line="299" w:lineRule="auto"/>
        <w:tabs>
          <w:tab w:leader="none" w:pos="1764" w:val="left"/>
        </w:tabs>
        <w:numPr>
          <w:ilvl w:val="0"/>
          <w:numId w:val="82"/>
        </w:numPr>
        <w:rPr>
          <w:rFonts w:ascii="Arial" w:cs="Arial" w:eastAsia="Arial" w:hAnsi="Arial"/>
          <w:sz w:val="11"/>
          <w:szCs w:val="11"/>
          <w:color w:val="auto"/>
        </w:rPr>
      </w:pPr>
      <w:r>
        <w:rPr>
          <w:rFonts w:ascii="Arial" w:cs="Arial" w:eastAsia="Arial" w:hAnsi="Arial"/>
          <w:sz w:val="11"/>
          <w:szCs w:val="11"/>
          <w:color w:val="auto"/>
        </w:rPr>
        <w:t>Neither Zordich nor any of its Subsidiaries is a party to, bound by, and does not have a duty to bargain under, any collective bargaining agreement or other Contract with a labor organization representing any of its employees, and there are no labor organizations representing or, to the Knowledge of Zordich, purporting to represent or seeking to represent any employees of Zordich or its Subsidiaries.</w:t>
      </w:r>
    </w:p>
    <w:p>
      <w:pPr>
        <w:spacing w:after="0" w:line="105" w:lineRule="exact"/>
        <w:rPr>
          <w:rFonts w:ascii="Arial" w:cs="Arial" w:eastAsia="Arial" w:hAnsi="Arial"/>
          <w:sz w:val="11"/>
          <w:szCs w:val="11"/>
          <w:color w:val="auto"/>
        </w:rPr>
      </w:pPr>
    </w:p>
    <w:p>
      <w:pPr>
        <w:ind w:left="1740" w:hanging="246"/>
        <w:spacing w:after="0"/>
        <w:tabs>
          <w:tab w:leader="none" w:pos="17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Section 4.17(c) of the Zordich Disclosure Schedule lists all Zordich Employee Plans.</w:t>
      </w:r>
    </w:p>
    <w:p>
      <w:pPr>
        <w:spacing w:after="0" w:line="150" w:lineRule="exact"/>
        <w:rPr>
          <w:rFonts w:ascii="Arial" w:cs="Arial" w:eastAsia="Arial" w:hAnsi="Arial"/>
          <w:sz w:val="12"/>
          <w:szCs w:val="12"/>
          <w:color w:val="auto"/>
        </w:rPr>
      </w:pPr>
    </w:p>
    <w:p>
      <w:pPr>
        <w:ind w:left="840" w:right="839" w:firstLine="654"/>
        <w:spacing w:after="0" w:line="341" w:lineRule="auto"/>
        <w:tabs>
          <w:tab w:leader="none" w:pos="1764" w:val="left"/>
        </w:tabs>
        <w:numPr>
          <w:ilvl w:val="0"/>
          <w:numId w:val="82"/>
        </w:numPr>
        <w:rPr>
          <w:rFonts w:ascii="Arial" w:cs="Arial" w:eastAsia="Arial" w:hAnsi="Arial"/>
          <w:sz w:val="10"/>
          <w:szCs w:val="10"/>
          <w:color w:val="auto"/>
        </w:rPr>
      </w:pPr>
      <w:r>
        <w:rPr>
          <w:rFonts w:ascii="Arial" w:cs="Arial" w:eastAsia="Arial" w:hAnsi="Arial"/>
          <w:sz w:val="10"/>
          <w:szCs w:val="10"/>
          <w:color w:val="auto"/>
        </w:rPr>
        <w:t>Each Zordich Employee Plan that is intended to be qualified under Section 401(a) of the Code has received a favorable determination or is the subject of a favorable opinion letter with respect to such qualified status from the IRS. To the Knowledge of Zordich, nothing has occurred that would reasonably be expected to adversely affect the qualified status of any such Zordich Employee Plan or the exempt status of any related trust.</w:t>
      </w:r>
    </w:p>
    <w:p>
      <w:pPr>
        <w:spacing w:after="0" w:line="87" w:lineRule="exact"/>
        <w:rPr>
          <w:rFonts w:ascii="Arial" w:cs="Arial" w:eastAsia="Arial" w:hAnsi="Arial"/>
          <w:sz w:val="10"/>
          <w:szCs w:val="10"/>
          <w:color w:val="auto"/>
        </w:rPr>
      </w:pPr>
    </w:p>
    <w:p>
      <w:pPr>
        <w:ind w:left="840" w:right="879" w:firstLine="654"/>
        <w:spacing w:after="0" w:line="257" w:lineRule="auto"/>
        <w:tabs>
          <w:tab w:leader="none" w:pos="1757" w:val="left"/>
        </w:tabs>
        <w:numPr>
          <w:ilvl w:val="0"/>
          <w:numId w:val="82"/>
        </w:numPr>
        <w:rPr>
          <w:rFonts w:ascii="Arial" w:cs="Arial" w:eastAsia="Arial" w:hAnsi="Arial"/>
          <w:sz w:val="12"/>
          <w:szCs w:val="12"/>
          <w:color w:val="auto"/>
        </w:rPr>
      </w:pPr>
      <w:r>
        <w:rPr>
          <w:rFonts w:ascii="Arial" w:cs="Arial" w:eastAsia="Arial" w:hAnsi="Arial"/>
          <w:sz w:val="12"/>
          <w:szCs w:val="12"/>
          <w:color w:val="auto"/>
        </w:rPr>
        <w:t>Each Zordich Employee Plan has been established, maintained and operated in compliance, in all material respects, with its terms all applicable Law, including the Code ERISA and the Affordable Care Act. No Legal Proceeding (other than those relating to routine claims for benefits) is pending or, to the Knowledge of Zordich, threatened with respect to any Zordich Employee Plan. All payments and/or contributions required to have been made with respect to all Zordich Employee Plans either have been made or have been accrued in accordance with the terms of the applicable Zordich Employee Plan and applicable Law.</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9019"/>
          </w:cols>
          <w:pgMar w:left="1440" w:top="230" w:right="1440" w:bottom="1440" w:gutter="0" w:footer="0" w:header="0"/>
        </w:sectPr>
      </w:pPr>
    </w:p>
    <w:bookmarkStart w:id="64" w:name="page65"/>
    <w:bookmarkEnd w:id="64"/>
    <w:p>
      <w:pPr>
        <w:ind w:left="840" w:right="839" w:firstLine="654"/>
        <w:spacing w:after="0" w:line="282" w:lineRule="auto"/>
        <w:tabs>
          <w:tab w:leader="none" w:pos="1744" w:val="left"/>
        </w:tabs>
        <w:numPr>
          <w:ilvl w:val="1"/>
          <w:numId w:val="8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Neither Zordich nor any of its ERISA Affiliates has, within the past 6 years, maintained, contributed to, or been required to contribute to (i) any employee benefit plan that is or was subject to Title IV or Section 302 of ERISA or Section 412 of the Code, (ii) a Multiemployer Plan,</w:t>
      </w:r>
    </w:p>
    <w:p>
      <w:pPr>
        <w:ind w:left="840" w:right="899" w:hanging="9"/>
        <w:spacing w:after="0" w:line="256" w:lineRule="auto"/>
        <w:tabs>
          <w:tab w:leader="none" w:pos="1051" w:val="left"/>
        </w:tabs>
        <w:numPr>
          <w:ilvl w:val="0"/>
          <w:numId w:val="84"/>
        </w:numPr>
        <w:rPr>
          <w:rFonts w:ascii="Arial" w:cs="Arial" w:eastAsia="Arial" w:hAnsi="Arial"/>
          <w:sz w:val="12"/>
          <w:szCs w:val="12"/>
          <w:color w:val="auto"/>
        </w:rPr>
      </w:pPr>
      <w:r>
        <w:rPr>
          <w:rFonts w:ascii="Arial" w:cs="Arial" w:eastAsia="Arial" w:hAnsi="Arial"/>
          <w:sz w:val="12"/>
          <w:szCs w:val="12"/>
          <w:color w:val="auto"/>
        </w:rPr>
        <w:t>any funded welfare benefit plan within the meaning of Section 419 of the Code, (iv) any Multiple Employer Plan, or (v) any Multiple Employer Welfare Arrangement. Neither Zordich nor any of its ERISA Affiliates has ever incurred any liability under Title IV of ERISA that has not been paid in full.</w:t>
      </w:r>
    </w:p>
    <w:p>
      <w:pPr>
        <w:spacing w:after="0" w:line="127" w:lineRule="exact"/>
        <w:rPr>
          <w:rFonts w:ascii="Arial" w:cs="Arial" w:eastAsia="Arial" w:hAnsi="Arial"/>
          <w:sz w:val="12"/>
          <w:szCs w:val="12"/>
          <w:color w:val="auto"/>
        </w:rPr>
      </w:pPr>
    </w:p>
    <w:p>
      <w:pPr>
        <w:ind w:left="840" w:right="959" w:firstLine="654"/>
        <w:spacing w:after="0" w:line="282" w:lineRule="auto"/>
        <w:tabs>
          <w:tab w:leader="none" w:pos="1764" w:val="left"/>
        </w:tabs>
        <w:numPr>
          <w:ilvl w:val="1"/>
          <w:numId w:val="84"/>
        </w:numPr>
        <w:rPr>
          <w:rFonts w:ascii="Arial" w:cs="Arial" w:eastAsia="Arial" w:hAnsi="Arial"/>
          <w:sz w:val="11"/>
          <w:szCs w:val="11"/>
          <w:color w:val="auto"/>
        </w:rPr>
      </w:pPr>
      <w:r>
        <w:rPr>
          <w:rFonts w:ascii="Arial" w:cs="Arial" w:eastAsia="Arial" w:hAnsi="Arial"/>
          <w:sz w:val="11"/>
          <w:szCs w:val="11"/>
          <w:color w:val="auto"/>
        </w:rPr>
        <w:t>Except as set forth in Section 4.17(g) of the Zordich Disclosure Schedule, no Zordich Employee Plan provides for medical or other welfare benefits beyond termination of service or retirement, other than (i) pursuant to COBRA or an analogous state law requirement or</w:t>
      </w:r>
    </w:p>
    <w:p>
      <w:pPr>
        <w:ind w:left="840" w:right="919" w:hanging="9"/>
        <w:spacing w:after="0" w:line="262" w:lineRule="auto"/>
        <w:tabs>
          <w:tab w:leader="none" w:pos="1017" w:val="left"/>
        </w:tabs>
        <w:numPr>
          <w:ilvl w:val="0"/>
          <w:numId w:val="85"/>
        </w:numPr>
        <w:rPr>
          <w:rFonts w:ascii="Arial" w:cs="Arial" w:eastAsia="Arial" w:hAnsi="Arial"/>
          <w:sz w:val="12"/>
          <w:szCs w:val="12"/>
          <w:color w:val="auto"/>
        </w:rPr>
      </w:pPr>
      <w:r>
        <w:rPr>
          <w:rFonts w:ascii="Arial" w:cs="Arial" w:eastAsia="Arial" w:hAnsi="Arial"/>
          <w:sz w:val="12"/>
          <w:szCs w:val="12"/>
          <w:color w:val="auto"/>
        </w:rPr>
        <w:t>continuation coverage through the end of the month in which such termination or retirement occurs. Zordich does not sponsor or maintain any self-funded medical or long-term disability benefit plan.</w:t>
      </w:r>
    </w:p>
    <w:p>
      <w:pPr>
        <w:spacing w:after="0" w:line="123" w:lineRule="exact"/>
        <w:rPr>
          <w:rFonts w:ascii="Arial" w:cs="Arial" w:eastAsia="Arial" w:hAnsi="Arial"/>
          <w:sz w:val="12"/>
          <w:szCs w:val="12"/>
          <w:color w:val="auto"/>
        </w:rPr>
      </w:pPr>
    </w:p>
    <w:p>
      <w:pPr>
        <w:ind w:left="1760" w:hanging="266"/>
        <w:spacing w:after="0"/>
        <w:tabs>
          <w:tab w:leader="none" w:pos="1760" w:val="left"/>
        </w:tabs>
        <w:numPr>
          <w:ilvl w:val="1"/>
          <w:numId w:val="85"/>
        </w:numPr>
        <w:rPr>
          <w:rFonts w:ascii="Arial" w:cs="Arial" w:eastAsia="Arial" w:hAnsi="Arial"/>
          <w:sz w:val="12"/>
          <w:szCs w:val="12"/>
          <w:color w:val="auto"/>
        </w:rPr>
      </w:pPr>
      <w:r>
        <w:rPr>
          <w:rFonts w:ascii="Arial" w:cs="Arial" w:eastAsia="Arial" w:hAnsi="Arial"/>
          <w:sz w:val="12"/>
          <w:szCs w:val="12"/>
          <w:color w:val="auto"/>
        </w:rPr>
        <w:t>No Zordich Employee Plan is subject to any law of a foreign jurisdiction outside of the United States.</w:t>
      </w:r>
    </w:p>
    <w:p>
      <w:pPr>
        <w:spacing w:after="0" w:line="150" w:lineRule="exact"/>
        <w:rPr>
          <w:rFonts w:ascii="Arial" w:cs="Arial" w:eastAsia="Arial" w:hAnsi="Arial"/>
          <w:sz w:val="12"/>
          <w:szCs w:val="12"/>
          <w:color w:val="auto"/>
        </w:rPr>
      </w:pPr>
    </w:p>
    <w:p>
      <w:pPr>
        <w:ind w:left="840" w:right="919" w:firstLine="654"/>
        <w:spacing w:after="0" w:line="256" w:lineRule="auto"/>
        <w:tabs>
          <w:tab w:leader="none" w:pos="1737" w:val="left"/>
        </w:tabs>
        <w:numPr>
          <w:ilvl w:val="1"/>
          <w:numId w:val="85"/>
        </w:numPr>
        <w:rPr>
          <w:rFonts w:ascii="Arial" w:cs="Arial" w:eastAsia="Arial" w:hAnsi="Arial"/>
          <w:sz w:val="12"/>
          <w:szCs w:val="12"/>
          <w:color w:val="auto"/>
        </w:rPr>
      </w:pPr>
      <w:r>
        <w:rPr>
          <w:rFonts w:ascii="Arial" w:cs="Arial" w:eastAsia="Arial" w:hAnsi="Arial"/>
          <w:sz w:val="12"/>
          <w:szCs w:val="12"/>
          <w:color w:val="auto"/>
        </w:rPr>
        <w:t>Except as set forth in Section 4.17(i) of the Zordich Disclosure Schedule, no Zordich Options or other equity-based awards issued or granted by Zordich are subject to the requirements of Code Section 409A. Each Zordich Employee Plan that constitutes in any part a ““nonqualified deferred compensation plan” (as such term is defined under Section 409A(d)(1) of the Code and the guidance thereunder) (each, a “</w:t>
      </w:r>
      <w:r>
        <w:rPr>
          <w:rFonts w:ascii="Arial" w:cs="Arial" w:eastAsia="Arial" w:hAnsi="Arial"/>
          <w:sz w:val="12"/>
          <w:szCs w:val="12"/>
          <w:b w:val="1"/>
          <w:bCs w:val="1"/>
          <w:color w:val="auto"/>
        </w:rPr>
        <w:t>Zordich 409A</w:t>
      </w:r>
      <w:r>
        <w:rPr>
          <w:rFonts w:ascii="Arial" w:cs="Arial" w:eastAsia="Arial" w:hAnsi="Arial"/>
          <w:sz w:val="12"/>
          <w:szCs w:val="12"/>
          <w:color w:val="auto"/>
        </w:rPr>
        <w:t xml:space="preserve"> </w:t>
      </w:r>
      <w:r>
        <w:rPr>
          <w:rFonts w:ascii="Arial" w:cs="Arial" w:eastAsia="Arial" w:hAnsi="Arial"/>
          <w:sz w:val="12"/>
          <w:szCs w:val="12"/>
          <w:b w:val="1"/>
          <w:bCs w:val="1"/>
          <w:color w:val="auto"/>
        </w:rPr>
        <w:t>Plan</w:t>
      </w:r>
      <w:r>
        <w:rPr>
          <w:rFonts w:ascii="Arial" w:cs="Arial" w:eastAsia="Arial" w:hAnsi="Arial"/>
          <w:sz w:val="12"/>
          <w:szCs w:val="12"/>
          <w:color w:val="auto"/>
        </w:rPr>
        <w:t>”) complies in all material respects, in both form and operation, with the requirements of Code Section 409A and the guidance thereunder. No</w:t>
      </w:r>
      <w:r>
        <w:rPr>
          <w:rFonts w:ascii="Arial" w:cs="Arial" w:eastAsia="Arial" w:hAnsi="Arial"/>
          <w:sz w:val="12"/>
          <w:szCs w:val="12"/>
          <w:b w:val="1"/>
          <w:bCs w:val="1"/>
          <w:color w:val="auto"/>
        </w:rPr>
        <w:t xml:space="preserve"> </w:t>
      </w:r>
      <w:r>
        <w:rPr>
          <w:rFonts w:ascii="Arial" w:cs="Arial" w:eastAsia="Arial" w:hAnsi="Arial"/>
          <w:sz w:val="12"/>
          <w:szCs w:val="12"/>
          <w:color w:val="auto"/>
        </w:rPr>
        <w:t>payment to be made under any Zordich 409A Plan is or, when made in accordance with the terms of the 409A Plan, will be subject to the penalties of Code Section 409A(a)(1).</w:t>
      </w:r>
    </w:p>
    <w:p>
      <w:pPr>
        <w:spacing w:after="0" w:line="127" w:lineRule="exact"/>
        <w:rPr>
          <w:rFonts w:ascii="Arial" w:cs="Arial" w:eastAsia="Arial" w:hAnsi="Arial"/>
          <w:sz w:val="12"/>
          <w:szCs w:val="12"/>
          <w:color w:val="auto"/>
        </w:rPr>
      </w:pPr>
    </w:p>
    <w:p>
      <w:pPr>
        <w:ind w:left="840" w:right="879" w:firstLine="654"/>
        <w:spacing w:after="0" w:line="305" w:lineRule="auto"/>
        <w:tabs>
          <w:tab w:leader="none" w:pos="1737" w:val="left"/>
        </w:tabs>
        <w:numPr>
          <w:ilvl w:val="1"/>
          <w:numId w:val="85"/>
        </w:numPr>
        <w:rPr>
          <w:rFonts w:ascii="Arial" w:cs="Arial" w:eastAsia="Arial" w:hAnsi="Arial"/>
          <w:sz w:val="10"/>
          <w:szCs w:val="10"/>
          <w:color w:val="auto"/>
        </w:rPr>
      </w:pPr>
      <w:r>
        <w:rPr>
          <w:rFonts w:ascii="Arial" w:cs="Arial" w:eastAsia="Arial" w:hAnsi="Arial"/>
          <w:sz w:val="10"/>
          <w:szCs w:val="10"/>
          <w:color w:val="auto"/>
        </w:rPr>
        <w:t>Zordich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Zordich and its Subsidiaries: (i) has withheld and reported all material amounts required by law or by agreement to be withheld and reported with respect to wages, salaries and other payments to employees,</w:t>
      </w:r>
    </w:p>
    <w:p>
      <w:pPr>
        <w:ind w:left="840" w:right="879" w:hanging="9"/>
        <w:spacing w:after="0" w:line="278" w:lineRule="auto"/>
        <w:tabs>
          <w:tab w:leader="none" w:pos="1017" w:val="left"/>
        </w:tabs>
        <w:numPr>
          <w:ilvl w:val="0"/>
          <w:numId w:val="86"/>
        </w:numPr>
        <w:rPr>
          <w:rFonts w:ascii="Arial" w:cs="Arial" w:eastAsia="Arial" w:hAnsi="Arial"/>
          <w:sz w:val="11"/>
          <w:szCs w:val="11"/>
          <w:color w:val="auto"/>
        </w:rPr>
      </w:pPr>
      <w:r>
        <w:rPr>
          <w:rFonts w:ascii="Arial" w:cs="Arial" w:eastAsia="Arial" w:hAnsi="Arial"/>
          <w:sz w:val="11"/>
          <w:szCs w:val="11"/>
          <w:color w:val="auto"/>
        </w:rPr>
        <w:t>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Zordich or any of its Subsidiaries, threatened or reasonably anticipated against Zordich relating to any employee, employment agreement or Zordich Employee Plan (other than routine claims for benefits). To the Knowledge of Zordich or any of its Subsidiaries, there are no pending or threatened or reasonably anticipated claims or actions against Zordich or any of its Subsidiaries, any Zordich trustee or any trustee of any Subsidiary under any workers’ compensation policy or long-term disability policy. Neither Zordich nor any of its Subsidiaries is a party to a conciliation agreement, consent decree or other agreement or Order with any federal, state, or local agency or Governmental Authority with respect to employment practices.</w:t>
      </w:r>
    </w:p>
    <w:p>
      <w:pPr>
        <w:spacing w:after="0" w:line="117" w:lineRule="exact"/>
        <w:rPr>
          <w:rFonts w:ascii="Arial" w:cs="Arial" w:eastAsia="Arial" w:hAnsi="Arial"/>
          <w:sz w:val="11"/>
          <w:szCs w:val="11"/>
          <w:color w:val="auto"/>
        </w:rPr>
      </w:pPr>
    </w:p>
    <w:p>
      <w:pPr>
        <w:ind w:left="1760" w:hanging="266"/>
        <w:spacing w:after="0"/>
        <w:tabs>
          <w:tab w:leader="none" w:pos="1760" w:val="left"/>
        </w:tabs>
        <w:numPr>
          <w:ilvl w:val="1"/>
          <w:numId w:val="86"/>
        </w:numPr>
        <w:rPr>
          <w:rFonts w:ascii="Arial" w:cs="Arial" w:eastAsia="Arial" w:hAnsi="Arial"/>
          <w:sz w:val="11"/>
          <w:szCs w:val="11"/>
          <w:color w:val="auto"/>
        </w:rPr>
      </w:pPr>
      <w:r>
        <w:rPr>
          <w:rFonts w:ascii="Arial" w:cs="Arial" w:eastAsia="Arial" w:hAnsi="Arial"/>
          <w:sz w:val="11"/>
          <w:szCs w:val="11"/>
          <w:color w:val="auto"/>
        </w:rPr>
        <w:t>Neither Zordich nor any of its Subsidiaries has material liability with respect to any misclassification within the past three years of:</w:t>
      </w:r>
    </w:p>
    <w:p>
      <w:pPr>
        <w:spacing w:after="0" w:line="26" w:lineRule="exact"/>
        <w:rPr>
          <w:rFonts w:ascii="Arial" w:cs="Arial" w:eastAsia="Arial" w:hAnsi="Arial"/>
          <w:sz w:val="11"/>
          <w:szCs w:val="11"/>
          <w:color w:val="auto"/>
        </w:rPr>
      </w:pPr>
    </w:p>
    <w:p>
      <w:pPr>
        <w:jc w:val="both"/>
        <w:ind w:left="840" w:right="899" w:hanging="9"/>
        <w:spacing w:after="0" w:line="256" w:lineRule="auto"/>
        <w:tabs>
          <w:tab w:leader="none" w:pos="984" w:val="left"/>
        </w:tabs>
        <w:numPr>
          <w:ilvl w:val="0"/>
          <w:numId w:val="87"/>
        </w:numPr>
        <w:rPr>
          <w:rFonts w:ascii="Arial" w:cs="Arial" w:eastAsia="Arial" w:hAnsi="Arial"/>
          <w:sz w:val="12"/>
          <w:szCs w:val="12"/>
          <w:color w:val="auto"/>
        </w:rPr>
      </w:pPr>
      <w:r>
        <w:rPr>
          <w:rFonts w:ascii="Arial" w:cs="Arial" w:eastAsia="Arial" w:hAnsi="Arial"/>
          <w:sz w:val="12"/>
          <w:szCs w:val="12"/>
          <w:color w:val="auto"/>
        </w:rPr>
        <w:t>any Person as an independent contractor rather than as an employee, (ii) any employee leased from another employer or (iii) any employee currently or formerly classified as exempt from overtime wages. Neither Zordich nor any of its Subsidiaries has taken any action which would constitute a “plant closing” or “mass layoff” within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9019"/>
          </w:cols>
          <w:pgMar w:left="1440" w:top="230" w:right="1440" w:bottom="1440" w:gutter="0" w:footer="0" w:header="0"/>
        </w:sectPr>
      </w:pPr>
    </w:p>
    <w:bookmarkStart w:id="65" w:name="page66"/>
    <w:bookmarkEnd w:id="65"/>
    <w:p>
      <w:pPr>
        <w:ind w:left="840" w:right="979"/>
        <w:spacing w:after="0" w:line="32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92" w:lineRule="exact"/>
        <w:rPr>
          <w:sz w:val="20"/>
          <w:szCs w:val="20"/>
          <w:color w:val="auto"/>
        </w:rPr>
      </w:pPr>
    </w:p>
    <w:p>
      <w:pPr>
        <w:ind w:left="840" w:right="899" w:firstLine="654"/>
        <w:spacing w:after="0" w:line="257" w:lineRule="auto"/>
        <w:tabs>
          <w:tab w:leader="none" w:pos="1735"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There has never been, nor has there been any threat of, any strike, slowdown, work stoppage, lockout, job action, union, organizing activity, question concerning representation or any similar activity or dispute, affecting Zordich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27" w:lineRule="exact"/>
        <w:rPr>
          <w:rFonts w:ascii="Arial" w:cs="Arial" w:eastAsia="Arial" w:hAnsi="Arial"/>
          <w:sz w:val="12"/>
          <w:szCs w:val="12"/>
          <w:color w:val="auto"/>
        </w:rPr>
      </w:pPr>
    </w:p>
    <w:p>
      <w:pPr>
        <w:ind w:left="840" w:right="919" w:firstLine="654"/>
        <w:spacing w:after="0" w:line="286" w:lineRule="auto"/>
        <w:tabs>
          <w:tab w:leader="none" w:pos="1797" w:val="left"/>
        </w:tabs>
        <w:numPr>
          <w:ilvl w:val="0"/>
          <w:numId w:val="88"/>
        </w:numPr>
        <w:rPr>
          <w:rFonts w:ascii="Arial" w:cs="Arial" w:eastAsia="Arial" w:hAnsi="Arial"/>
          <w:sz w:val="11"/>
          <w:szCs w:val="11"/>
          <w:color w:val="auto"/>
        </w:rPr>
      </w:pPr>
      <w:r>
        <w:rPr>
          <w:rFonts w:ascii="Arial" w:cs="Arial" w:eastAsia="Arial" w:hAnsi="Arial"/>
          <w:sz w:val="11"/>
          <w:szCs w:val="11"/>
          <w:color w:val="auto"/>
        </w:rPr>
        <w:t>Neither Zordich nor any of its Subsidiaries is, nor has Zordich or any of its Subsidiaries been, engaged in any unfair labor practice within the meaning of the National Labor Relations Act. There is no Legal Proceeding, claim, labor dispute or grievance pending or, to the Knowledge of Zordich,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Zordich Associate, including charges of unfair labor practices or discrimination complaints.</w:t>
      </w:r>
    </w:p>
    <w:p>
      <w:pPr>
        <w:spacing w:after="0" w:line="113" w:lineRule="exact"/>
        <w:rPr>
          <w:rFonts w:ascii="Arial" w:cs="Arial" w:eastAsia="Arial" w:hAnsi="Arial"/>
          <w:sz w:val="11"/>
          <w:szCs w:val="11"/>
          <w:color w:val="auto"/>
        </w:rPr>
      </w:pPr>
    </w:p>
    <w:p>
      <w:pPr>
        <w:ind w:left="840" w:right="939" w:firstLine="654"/>
        <w:spacing w:after="0" w:line="277" w:lineRule="auto"/>
        <w:tabs>
          <w:tab w:leader="none" w:pos="1761"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There is no contract, agreement, plan or arrangement to which Zordich or any Zordich Affiliate is a party or by which it is bound to compensate any of its employees for excise taxes paid pursuant to Section 4999 or Section 409A of the Code.</w:t>
      </w:r>
    </w:p>
    <w:p>
      <w:pPr>
        <w:spacing w:after="0" w:line="114" w:lineRule="exact"/>
        <w:rPr>
          <w:rFonts w:ascii="Arial" w:cs="Arial" w:eastAsia="Arial" w:hAnsi="Arial"/>
          <w:sz w:val="12"/>
          <w:szCs w:val="12"/>
          <w:color w:val="auto"/>
        </w:rPr>
      </w:pPr>
    </w:p>
    <w:p>
      <w:pPr>
        <w:ind w:left="840" w:right="859" w:firstLine="654"/>
        <w:spacing w:after="0" w:line="260" w:lineRule="auto"/>
        <w:tabs>
          <w:tab w:leader="none" w:pos="1764" w:val="left"/>
        </w:tabs>
        <w:numPr>
          <w:ilvl w:val="0"/>
          <w:numId w:val="88"/>
        </w:numPr>
        <w:rPr>
          <w:rFonts w:ascii="Arial" w:cs="Arial" w:eastAsia="Arial" w:hAnsi="Arial"/>
          <w:sz w:val="12"/>
          <w:szCs w:val="12"/>
          <w:color w:val="auto"/>
        </w:rPr>
      </w:pPr>
      <w:r>
        <w:rPr>
          <w:rFonts w:ascii="Arial" w:cs="Arial" w:eastAsia="Arial" w:hAnsi="Arial"/>
          <w:sz w:val="12"/>
          <w:szCs w:val="12"/>
          <w:color w:val="auto"/>
        </w:rPr>
        <w:t>Neither Zordich nor any of its Subsidiaries is a party to any Contract that could, due to the Merger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Zordich or any of its Subsidiaries.</w:t>
      </w:r>
    </w:p>
    <w:p>
      <w:pPr>
        <w:spacing w:after="0" w:line="124" w:lineRule="exact"/>
        <w:rPr>
          <w:sz w:val="20"/>
          <w:szCs w:val="20"/>
          <w:color w:val="auto"/>
        </w:rPr>
      </w:pPr>
    </w:p>
    <w:p>
      <w:pPr>
        <w:ind w:left="840" w:right="819" w:firstLine="295"/>
        <w:spacing w:after="0" w:line="278" w:lineRule="auto"/>
        <w:rPr>
          <w:sz w:val="20"/>
          <w:szCs w:val="20"/>
          <w:color w:val="auto"/>
        </w:rPr>
      </w:pPr>
      <w:r>
        <w:rPr>
          <w:rFonts w:ascii="Arial" w:cs="Arial" w:eastAsia="Arial" w:hAnsi="Arial"/>
          <w:sz w:val="11"/>
          <w:szCs w:val="11"/>
          <w:color w:val="auto"/>
        </w:rPr>
        <w:t xml:space="preserve">4.18 </w:t>
      </w:r>
      <w:r>
        <w:rPr>
          <w:rFonts w:ascii="Arial" w:cs="Arial" w:eastAsia="Arial" w:hAnsi="Arial"/>
          <w:sz w:val="11"/>
          <w:szCs w:val="11"/>
          <w:u w:val="single" w:color="auto"/>
          <w:color w:val="auto"/>
        </w:rPr>
        <w:t>Environmental Matters.</w:t>
      </w:r>
      <w:r>
        <w:rPr>
          <w:rFonts w:ascii="Arial" w:cs="Arial" w:eastAsia="Arial" w:hAnsi="Arial"/>
          <w:sz w:val="11"/>
          <w:szCs w:val="11"/>
          <w:color w:val="auto"/>
        </w:rPr>
        <w:t xml:space="preserve"> Since January 1, 2017, Zordich and each of its Subsidiaries has complied with all applicable Environmental Laws, which compliance includes the possession by Zordich of all permits and other Governmental Authorizations required under applicable Environmental Laws and compliance with the terms and conditions thereof, except for any failure to be in compliance that, individually or in the aggregate, would not result in a Zordich Material Adverse Effect. Neither Zordich nor any of its Subsidiaries has received, since January 1, 2017, any written notice or other communication (in writing or otherwise), whether from a Governmental Authority, citizens group, employee or otherwise, that alleges that Zordich or any of its Subsidiaries is not in compliance with any Environmental Law, and, to the Knowledge of Zordich, there are no circumstances that may prevent or interfere with Zordich’s or any of its Subsidiaries’ compliance with any Environmental Law in the future, except where such failure to comply would not reasonably be expected to have a Zordich Material Adverse Effect. To the Knowledge of Zordich: (i) no current or prior owner of any property leased or controlled by Zordich or any of its Subsidiaries has received, since January 1, 2017, any written notice or other communication relating to property owned or leased at any time by Zordich or any of its Subsidiaries, whether from a Governmental Authority, citizens group, employee or otherwise, that alleges that such current or prior owner or Zordich or any of its Subsidiaries is not in compliance with or violated any Environmental Law relating to such property and (ii) neither Zordich nor any of its Subsidiaries has no material liability under any Environmental Law.</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9019"/>
          </w:cols>
          <w:pgMar w:left="1440" w:top="230" w:right="1440" w:bottom="1440" w:gutter="0" w:footer="0" w:header="0"/>
        </w:sectPr>
      </w:pPr>
    </w:p>
    <w:bookmarkStart w:id="66" w:name="page67"/>
    <w:bookmarkEnd w:id="66"/>
    <w:p>
      <w:pPr>
        <w:ind w:left="840" w:right="839" w:firstLine="295"/>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4.19 </w:t>
      </w:r>
      <w:r>
        <w:rPr>
          <w:rFonts w:ascii="Arial" w:cs="Arial" w:eastAsia="Arial" w:hAnsi="Arial"/>
          <w:sz w:val="11"/>
          <w:szCs w:val="11"/>
          <w:u w:val="single" w:color="auto"/>
          <w:color w:val="auto"/>
        </w:rPr>
        <w:t>Insurance.</w:t>
      </w:r>
      <w:r>
        <w:rPr>
          <w:rFonts w:ascii="Arial" w:cs="Arial" w:eastAsia="Arial" w:hAnsi="Arial"/>
          <w:sz w:val="11"/>
          <w:szCs w:val="11"/>
          <w:color w:val="auto"/>
        </w:rPr>
        <w:t xml:space="preserve"> Zordich has made available to the Company accurate and complete copies of all material insurance policies and all material self-insurance programs and arrangements relating to the business, assets, liabilities and operations of Zordich and Merger Sub. Each of such insurance policies is in full force and effect and Zordich and Merger Sub are in compliance in all material respects with the terms thereof. Other than customary end of policy notifications from insurance carriers, since January 1, 2017, Zordich has not received any notice or other communication regarding any actual or possible: (i) cancellation or invalidation of any insurance policy or (ii) refusal or denial of any coverage, reservation of rights or rejection of any material claim under any insurance policy. Each of Zordich and Merger Sub has provided timely written notice to the appropriate insurance carrier(s) of each Legal Proceeding pending against Zordich for which Zordich has insurance coverage, and no such carrier has issued a denial of coverage or a reservation of rights with respect to any such Legal Proceeding, or informed Zordich of its intent to do so.</w:t>
      </w:r>
    </w:p>
    <w:p>
      <w:pPr>
        <w:spacing w:after="0" w:line="115" w:lineRule="exact"/>
        <w:rPr>
          <w:sz w:val="20"/>
          <w:szCs w:val="20"/>
          <w:color w:val="auto"/>
        </w:rPr>
      </w:pPr>
    </w:p>
    <w:p>
      <w:pPr>
        <w:jc w:val="both"/>
        <w:ind w:left="840" w:right="899" w:firstLine="295"/>
        <w:spacing w:after="0" w:line="260" w:lineRule="auto"/>
        <w:rPr>
          <w:sz w:val="20"/>
          <w:szCs w:val="20"/>
          <w:color w:val="auto"/>
        </w:rPr>
      </w:pPr>
      <w:r>
        <w:rPr>
          <w:rFonts w:ascii="Arial" w:cs="Arial" w:eastAsia="Arial" w:hAnsi="Arial"/>
          <w:sz w:val="12"/>
          <w:szCs w:val="12"/>
          <w:color w:val="auto"/>
        </w:rPr>
        <w:t xml:space="preserve">4.20 </w:t>
      </w:r>
      <w:r>
        <w:rPr>
          <w:rFonts w:ascii="Arial" w:cs="Arial" w:eastAsia="Arial" w:hAnsi="Arial"/>
          <w:sz w:val="12"/>
          <w:szCs w:val="12"/>
          <w:u w:val="single" w:color="auto"/>
          <w:color w:val="auto"/>
        </w:rPr>
        <w:t>Transactions with Affiliates</w:t>
      </w:r>
      <w:r>
        <w:rPr>
          <w:rFonts w:ascii="Arial" w:cs="Arial" w:eastAsia="Arial" w:hAnsi="Arial"/>
          <w:sz w:val="12"/>
          <w:szCs w:val="12"/>
          <w:color w:val="auto"/>
        </w:rPr>
        <w:t>. Except as set forth in the Zordich SEC Documents filed prior to the date of this Agreement, since the date of Zordich’s last proxy statement filed in 2019 with the SEC, no event has occurred that would be required to be reported by Zordich pursuant to Item 404 of Regulation S-K promulgated by the SEC. Section 4.20 of the Zordich Disclosure Schedule identifies each Person who is (or who may be deemed to be) an Affiliate of Zordich as of the date of this Agreement.</w:t>
      </w:r>
    </w:p>
    <w:p>
      <w:pPr>
        <w:spacing w:after="0" w:line="124" w:lineRule="exact"/>
        <w:rPr>
          <w:sz w:val="20"/>
          <w:szCs w:val="20"/>
          <w:color w:val="auto"/>
        </w:rPr>
      </w:pPr>
    </w:p>
    <w:p>
      <w:pPr>
        <w:ind w:left="840" w:right="979" w:firstLine="295"/>
        <w:spacing w:after="0" w:line="264" w:lineRule="auto"/>
        <w:rPr>
          <w:sz w:val="20"/>
          <w:szCs w:val="20"/>
          <w:color w:val="auto"/>
        </w:rPr>
      </w:pPr>
      <w:r>
        <w:rPr>
          <w:rFonts w:ascii="Arial" w:cs="Arial" w:eastAsia="Arial" w:hAnsi="Arial"/>
          <w:sz w:val="12"/>
          <w:szCs w:val="12"/>
          <w:color w:val="auto"/>
        </w:rPr>
        <w:t xml:space="preserve">4.21 </w:t>
      </w:r>
      <w:r>
        <w:rPr>
          <w:rFonts w:ascii="Arial" w:cs="Arial" w:eastAsia="Arial" w:hAnsi="Arial"/>
          <w:sz w:val="12"/>
          <w:szCs w:val="12"/>
          <w:u w:val="single" w:color="auto"/>
          <w:color w:val="auto"/>
        </w:rPr>
        <w:t>No Financial Advisors</w:t>
      </w:r>
      <w:r>
        <w:rPr>
          <w:rFonts w:ascii="Arial" w:cs="Arial" w:eastAsia="Arial" w:hAnsi="Arial"/>
          <w:sz w:val="12"/>
          <w:szCs w:val="12"/>
          <w:color w:val="auto"/>
        </w:rPr>
        <w:t>. Except as set forth on Section 4.21 of the Zordich Disclosure Schedule, no broker, finder or investment banker is entitled to any brokerage fee, finder’s fee, opinion fee, success fee, transaction fee or other fee or commission in connection with the Contemplated Transactions based upon arrangements made by or on behalf of Zordich.</w:t>
      </w:r>
    </w:p>
    <w:p>
      <w:pPr>
        <w:spacing w:after="0" w:line="122" w:lineRule="exact"/>
        <w:rPr>
          <w:sz w:val="20"/>
          <w:szCs w:val="20"/>
          <w:color w:val="auto"/>
        </w:rPr>
      </w:pPr>
    </w:p>
    <w:p>
      <w:pPr>
        <w:ind w:left="840" w:right="879" w:firstLine="295"/>
        <w:spacing w:after="0" w:line="257" w:lineRule="auto"/>
        <w:rPr>
          <w:sz w:val="20"/>
          <w:szCs w:val="20"/>
          <w:color w:val="auto"/>
        </w:rPr>
      </w:pPr>
      <w:r>
        <w:rPr>
          <w:rFonts w:ascii="Arial" w:cs="Arial" w:eastAsia="Arial" w:hAnsi="Arial"/>
          <w:sz w:val="12"/>
          <w:szCs w:val="12"/>
          <w:color w:val="auto"/>
        </w:rPr>
        <w:t xml:space="preserve">4.22 </w:t>
      </w:r>
      <w:r>
        <w:rPr>
          <w:rFonts w:ascii="Arial" w:cs="Arial" w:eastAsia="Arial" w:hAnsi="Arial"/>
          <w:sz w:val="12"/>
          <w:szCs w:val="12"/>
          <w:u w:val="single" w:color="auto"/>
          <w:color w:val="auto"/>
        </w:rPr>
        <w:t>Valid Issuance; No Bad Actor</w:t>
      </w:r>
      <w:r>
        <w:rPr>
          <w:rFonts w:ascii="Arial" w:cs="Arial" w:eastAsia="Arial" w:hAnsi="Arial"/>
          <w:sz w:val="12"/>
          <w:szCs w:val="12"/>
          <w:color w:val="auto"/>
        </w:rPr>
        <w:t>. The Zordich Common Stock to be issued in the Merger will, when issued in accordance with the provisions of this Agreement, be validly issued, fully paid and nonassessable. (i) To the Knowledge of Zordich as of the date of this Agreement, and (ii) as of the Closing, no “bad actor” disqualifying event described in Rule 506(d)(1)(i)-(viii) of the Securities Act (a “</w:t>
      </w:r>
      <w:r>
        <w:rPr>
          <w:rFonts w:ascii="Arial" w:cs="Arial" w:eastAsia="Arial" w:hAnsi="Arial"/>
          <w:sz w:val="12"/>
          <w:szCs w:val="12"/>
          <w:b w:val="1"/>
          <w:bCs w:val="1"/>
          <w:color w:val="auto"/>
        </w:rPr>
        <w:t>Disqualification Event</w:t>
      </w:r>
      <w:r>
        <w:rPr>
          <w:rFonts w:ascii="Arial" w:cs="Arial" w:eastAsia="Arial" w:hAnsi="Arial"/>
          <w:sz w:val="12"/>
          <w:szCs w:val="12"/>
          <w:color w:val="auto"/>
        </w:rPr>
        <w:t>”) is applicable to Zordich or, to Zordich’s Knowledge, any Zordich Covered Person, except for a Disqualification Event as to which Rule 506(d)(2)(ii–iv) or (d)(3), is applicable.</w:t>
      </w:r>
    </w:p>
    <w:p>
      <w:pPr>
        <w:spacing w:after="0" w:line="128" w:lineRule="exact"/>
        <w:rPr>
          <w:sz w:val="20"/>
          <w:szCs w:val="20"/>
          <w:color w:val="auto"/>
        </w:rPr>
      </w:pPr>
    </w:p>
    <w:p>
      <w:pPr>
        <w:ind w:left="840" w:right="899" w:firstLine="295"/>
        <w:spacing w:after="0" w:line="255" w:lineRule="auto"/>
        <w:rPr>
          <w:sz w:val="20"/>
          <w:szCs w:val="20"/>
          <w:color w:val="auto"/>
        </w:rPr>
      </w:pPr>
      <w:r>
        <w:rPr>
          <w:rFonts w:ascii="Arial" w:cs="Arial" w:eastAsia="Arial" w:hAnsi="Arial"/>
          <w:sz w:val="12"/>
          <w:szCs w:val="12"/>
          <w:color w:val="auto"/>
        </w:rPr>
        <w:t xml:space="preserve">4.23 </w:t>
      </w:r>
      <w:r>
        <w:rPr>
          <w:rFonts w:ascii="Arial" w:cs="Arial" w:eastAsia="Arial" w:hAnsi="Arial"/>
          <w:sz w:val="12"/>
          <w:szCs w:val="12"/>
          <w:u w:val="single" w:color="auto"/>
          <w:color w:val="auto"/>
        </w:rPr>
        <w:t>Privacy and Data Security</w:t>
      </w:r>
      <w:r>
        <w:rPr>
          <w:rFonts w:ascii="Arial" w:cs="Arial" w:eastAsia="Arial" w:hAnsi="Arial"/>
          <w:sz w:val="12"/>
          <w:szCs w:val="12"/>
          <w:color w:val="auto"/>
        </w:rPr>
        <w:t>. Zordich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Zordich in connection with the operation of Zordich’s business, except for such non-compliance as has not had, and would not reasonably be expected to have, individually or in the aggregate, a Zordich Material Adverse Effect. To the Knowledge of Zordich, Zordich has complied with its Privacy Policies, except for such non-compliance as has not had, and would not reasonably be expected to have, individually or in the aggregate, a Zordich Material Adverse Effect. To the Knowledge of Zordich, as of the date hereof, no claims have been asserted or threatened against Zordich by any Person alleging a violation of Privacy Laws and/or Privacy Policies.</w:t>
      </w:r>
    </w:p>
    <w:p>
      <w:pPr>
        <w:spacing w:after="0" w:line="127" w:lineRule="exact"/>
        <w:rPr>
          <w:sz w:val="20"/>
          <w:szCs w:val="20"/>
          <w:color w:val="auto"/>
        </w:rPr>
      </w:pPr>
    </w:p>
    <w:p>
      <w:pPr>
        <w:ind w:left="840" w:right="939" w:firstLine="295"/>
        <w:spacing w:after="0" w:line="264" w:lineRule="auto"/>
        <w:rPr>
          <w:sz w:val="20"/>
          <w:szCs w:val="20"/>
          <w:color w:val="auto"/>
        </w:rPr>
      </w:pPr>
      <w:r>
        <w:rPr>
          <w:rFonts w:ascii="Arial" w:cs="Arial" w:eastAsia="Arial" w:hAnsi="Arial"/>
          <w:sz w:val="12"/>
          <w:szCs w:val="12"/>
          <w:color w:val="auto"/>
        </w:rPr>
        <w:t xml:space="preserve">4.24 </w:t>
      </w:r>
      <w:r>
        <w:rPr>
          <w:rFonts w:ascii="Arial" w:cs="Arial" w:eastAsia="Arial" w:hAnsi="Arial"/>
          <w:sz w:val="12"/>
          <w:szCs w:val="12"/>
          <w:u w:val="single" w:color="auto"/>
          <w:color w:val="auto"/>
        </w:rPr>
        <w:t>Regulatory Filings</w:t>
      </w:r>
      <w:r>
        <w:rPr>
          <w:rFonts w:ascii="Arial" w:cs="Arial" w:eastAsia="Arial" w:hAnsi="Arial"/>
          <w:sz w:val="12"/>
          <w:szCs w:val="12"/>
          <w:color w:val="auto"/>
        </w:rPr>
        <w:t>. As of the date of this Agreement, each of Zordich and its Subsidiaries has withdrawn or terminated all of its Investigational New Drug (IND) applications, and any comparable regulatory filings to any Governmental Authority outside the United States, for any and all of its product candidates within and outside the United States.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9019"/>
          </w:cols>
          <w:pgMar w:left="1440" w:top="230" w:right="1440" w:bottom="1440" w:gutter="0" w:footer="0" w:header="0"/>
        </w:sectPr>
      </w:pPr>
    </w:p>
    <w:bookmarkStart w:id="67" w:name="page68"/>
    <w:bookmarkEnd w:id="67"/>
    <w:p>
      <w:pPr>
        <w:ind w:left="840" w:right="1039" w:firstLine="295"/>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4.25 </w:t>
      </w:r>
      <w:r>
        <w:rPr>
          <w:rFonts w:ascii="Arial" w:cs="Arial" w:eastAsia="Arial" w:hAnsi="Arial"/>
          <w:sz w:val="12"/>
          <w:szCs w:val="12"/>
          <w:u w:val="single" w:color="auto"/>
          <w:color w:val="auto"/>
        </w:rPr>
        <w:t>Exchange Act Registration</w:t>
      </w:r>
      <w:r>
        <w:rPr>
          <w:rFonts w:ascii="Arial" w:cs="Arial" w:eastAsia="Arial" w:hAnsi="Arial"/>
          <w:sz w:val="12"/>
          <w:szCs w:val="12"/>
          <w:color w:val="auto"/>
        </w:rPr>
        <w:t>. Other than the Zordich Common Stock to be issued in the Merger, the Zordich Common Stock is registered pursuant to Section 12(b) or 12(g) of the Exchange Act.</w:t>
      </w:r>
    </w:p>
    <w:p>
      <w:pPr>
        <w:spacing w:after="0" w:line="115" w:lineRule="exact"/>
        <w:rPr>
          <w:sz w:val="20"/>
          <w:szCs w:val="20"/>
          <w:color w:val="auto"/>
        </w:rPr>
      </w:pPr>
    </w:p>
    <w:p>
      <w:pPr>
        <w:ind w:left="840" w:right="879" w:firstLine="295"/>
        <w:spacing w:after="0" w:line="255" w:lineRule="auto"/>
        <w:rPr>
          <w:sz w:val="20"/>
          <w:szCs w:val="20"/>
          <w:color w:val="auto"/>
        </w:rPr>
      </w:pPr>
      <w:r>
        <w:rPr>
          <w:rFonts w:ascii="Arial" w:cs="Arial" w:eastAsia="Arial" w:hAnsi="Arial"/>
          <w:sz w:val="12"/>
          <w:szCs w:val="12"/>
          <w:color w:val="auto"/>
        </w:rPr>
        <w:t xml:space="preserve">4.26 </w:t>
      </w:r>
      <w:r>
        <w:rPr>
          <w:rFonts w:ascii="Arial" w:cs="Arial" w:eastAsia="Arial" w:hAnsi="Arial"/>
          <w:sz w:val="12"/>
          <w:szCs w:val="12"/>
          <w:u w:val="single" w:color="auto"/>
          <w:color w:val="auto"/>
        </w:rPr>
        <w:t>No Other Representations or Warranties</w:t>
      </w:r>
      <w:r>
        <w:rPr>
          <w:rFonts w:ascii="Arial" w:cs="Arial" w:eastAsia="Arial" w:hAnsi="Arial"/>
          <w:sz w:val="12"/>
          <w:szCs w:val="12"/>
          <w:color w:val="auto"/>
        </w:rPr>
        <w:t xml:space="preserve">. Zordich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Zordich, Merger Sub or stockholders or any of their respective Affiliates in connection with the Contemplated Transactions, and (subject to the express representations and warranties of the Company set forth in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(in each case as qualified and limited by the Company Disclosure Schedule)) none of Zordich, Merger Sub or any of their respective Representatives or stockholders, has relied on any such information (including the accuracy or completeness thereof).</w:t>
      </w:r>
    </w:p>
    <w:p>
      <w:pPr>
        <w:spacing w:after="0" w:line="201"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2"/>
          <w:szCs w:val="12"/>
          <w:color w:val="auto"/>
        </w:rPr>
        <w:t>Section 5.</w:t>
      </w:r>
      <w:r>
        <w:rPr>
          <w:sz w:val="20"/>
          <w:szCs w:val="20"/>
          <w:color w:val="auto"/>
        </w:rPr>
        <w:tab/>
      </w:r>
      <w:r>
        <w:rPr>
          <w:rFonts w:ascii="Arial" w:cs="Arial" w:eastAsia="Arial" w:hAnsi="Arial"/>
          <w:sz w:val="10"/>
          <w:szCs w:val="10"/>
          <w:u w:val="single" w:color="auto"/>
          <w:color w:val="auto"/>
        </w:rPr>
        <w:t>Certain Covenants of the Parties</w:t>
      </w:r>
    </w:p>
    <w:p>
      <w:pPr>
        <w:spacing w:after="0" w:line="79"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1"/>
          <w:szCs w:val="11"/>
          <w:u w:val="single" w:color="auto"/>
          <w:color w:val="auto"/>
        </w:rPr>
        <w:t>Operation of Zordich’s Business</w:t>
      </w:r>
    </w:p>
    <w:p>
      <w:pPr>
        <w:spacing w:after="0" w:line="79" w:lineRule="exact"/>
        <w:rPr>
          <w:sz w:val="20"/>
          <w:szCs w:val="20"/>
          <w:color w:val="auto"/>
        </w:rPr>
      </w:pPr>
    </w:p>
    <w:p>
      <w:pPr>
        <w:ind w:left="840" w:right="919" w:firstLine="654"/>
        <w:spacing w:after="0" w:line="286" w:lineRule="auto"/>
        <w:tabs>
          <w:tab w:leader="none" w:pos="1757" w:val="left"/>
        </w:tabs>
        <w:numPr>
          <w:ilvl w:val="0"/>
          <w:numId w:val="89"/>
        </w:numPr>
        <w:rPr>
          <w:rFonts w:ascii="Arial" w:cs="Arial" w:eastAsia="Arial" w:hAnsi="Arial"/>
          <w:sz w:val="11"/>
          <w:szCs w:val="11"/>
          <w:color w:val="auto"/>
        </w:rPr>
      </w:pPr>
      <w:r>
        <w:rPr>
          <w:rFonts w:ascii="Arial" w:cs="Arial" w:eastAsia="Arial" w:hAnsi="Arial"/>
          <w:sz w:val="11"/>
          <w:szCs w:val="11"/>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1"/>
          <w:szCs w:val="11"/>
          <w:u w:val="single" w:color="auto"/>
          <w:color w:val="auto"/>
        </w:rPr>
        <w:t>Section 10</w:t>
      </w:r>
      <w:r>
        <w:rPr>
          <w:rFonts w:ascii="Arial" w:cs="Arial" w:eastAsia="Arial" w:hAnsi="Arial"/>
          <w:sz w:val="11"/>
          <w:szCs w:val="11"/>
          <w:color w:val="auto"/>
        </w:rPr>
        <w:t xml:space="preserve"> and the Effective Time (the “</w:t>
      </w:r>
      <w:r>
        <w:rPr>
          <w:rFonts w:ascii="Arial" w:cs="Arial" w:eastAsia="Arial" w:hAnsi="Arial"/>
          <w:sz w:val="11"/>
          <w:szCs w:val="11"/>
          <w:b w:val="1"/>
          <w:bCs w:val="1"/>
          <w:color w:val="auto"/>
        </w:rPr>
        <w:t>Pre-Closing Period</w:t>
      </w:r>
      <w:r>
        <w:rPr>
          <w:rFonts w:ascii="Arial" w:cs="Arial" w:eastAsia="Arial" w:hAnsi="Arial"/>
          <w:sz w:val="11"/>
          <w:szCs w:val="11"/>
          <w:color w:val="auto"/>
        </w:rPr>
        <w:t>”), Zordich shall conduct its business and operations in the Ordinary Course of Business and in material compliance with all applicable</w:t>
      </w:r>
      <w:r>
        <w:rPr>
          <w:rFonts w:ascii="Arial" w:cs="Arial" w:eastAsia="Arial" w:hAnsi="Arial"/>
          <w:sz w:val="11"/>
          <w:szCs w:val="11"/>
          <w:b w:val="1"/>
          <w:bCs w:val="1"/>
          <w:color w:val="auto"/>
        </w:rPr>
        <w:t xml:space="preserve"> </w:t>
      </w:r>
      <w:r>
        <w:rPr>
          <w:rFonts w:ascii="Arial" w:cs="Arial" w:eastAsia="Arial" w:hAnsi="Arial"/>
          <w:sz w:val="11"/>
          <w:szCs w:val="11"/>
          <w:color w:val="auto"/>
        </w:rPr>
        <w:t>Law and the requirements of all Contracts that constitute Zordich Material Contracts.</w:t>
      </w:r>
    </w:p>
    <w:p>
      <w:pPr>
        <w:spacing w:after="0" w:line="113" w:lineRule="exact"/>
        <w:rPr>
          <w:rFonts w:ascii="Arial" w:cs="Arial" w:eastAsia="Arial" w:hAnsi="Arial"/>
          <w:sz w:val="11"/>
          <w:szCs w:val="11"/>
          <w:color w:val="auto"/>
        </w:rPr>
      </w:pPr>
    </w:p>
    <w:p>
      <w:pPr>
        <w:ind w:left="840" w:right="939" w:firstLine="654"/>
        <w:spacing w:after="0" w:line="264" w:lineRule="auto"/>
        <w:tabs>
          <w:tab w:leader="none" w:pos="1764" w:val="left"/>
        </w:tabs>
        <w:numPr>
          <w:ilvl w:val="0"/>
          <w:numId w:val="89"/>
        </w:numPr>
        <w:rPr>
          <w:rFonts w:ascii="Arial" w:cs="Arial" w:eastAsia="Arial" w:hAnsi="Arial"/>
          <w:sz w:val="12"/>
          <w:szCs w:val="12"/>
          <w:color w:val="auto"/>
        </w:rPr>
      </w:pPr>
      <w:r>
        <w:rPr>
          <w:rFonts w:ascii="Arial" w:cs="Arial" w:eastAsia="Arial" w:hAnsi="Arial"/>
          <w:sz w:val="12"/>
          <w:szCs w:val="12"/>
          <w:color w:val="auto"/>
        </w:rPr>
        <w:t>Except (i) as expressly contemplated or permitted by this Agreement, (ii) as set forth in Section 5.1(b) of the Zordich Disclosure Schedule, (iii) as required by applicable Law or (iv) with the prior written consent of the Company (which consent shall not be unreasonably withheld, delayed or conditioned), at all times during the Pre-Closing Period, Zordich shall not,</w:t>
      </w:r>
    </w:p>
    <w:p>
      <w:pPr>
        <w:spacing w:after="0" w:line="50" w:lineRule="exact"/>
        <w:rPr>
          <w:rFonts w:ascii="Arial" w:cs="Arial" w:eastAsia="Arial" w:hAnsi="Arial"/>
          <w:sz w:val="12"/>
          <w:szCs w:val="12"/>
          <w:color w:val="auto"/>
        </w:rPr>
      </w:pPr>
    </w:p>
    <w:p>
      <w:pPr>
        <w:ind w:left="1120" w:right="1039" w:firstLine="642"/>
        <w:spacing w:after="0" w:line="264" w:lineRule="auto"/>
        <w:tabs>
          <w:tab w:leader="none" w:pos="1990" w:val="left"/>
        </w:tabs>
        <w:numPr>
          <w:ilvl w:val="1"/>
          <w:numId w:val="89"/>
        </w:numPr>
        <w:rPr>
          <w:rFonts w:ascii="Arial" w:cs="Arial" w:eastAsia="Arial" w:hAnsi="Arial"/>
          <w:sz w:val="12"/>
          <w:szCs w:val="12"/>
          <w:color w:val="auto"/>
        </w:rPr>
      </w:pPr>
      <w:r>
        <w:rPr>
          <w:rFonts w:ascii="Arial" w:cs="Arial" w:eastAsia="Arial" w:hAnsi="Arial"/>
          <w:sz w:val="12"/>
          <w:szCs w:val="12"/>
          <w:color w:val="auto"/>
        </w:rPr>
        <w:t>declare, accrue, set aside or pay any dividend or make any other distribution in respect of any shares of capital stock; or repurchase, redeem or otherwise reacquire any shares of its capital stock or other securities (except for shares of Zordich Common Stock from terminated employees, directors or consultants of Zordich);</w:t>
      </w:r>
    </w:p>
    <w:p>
      <w:pPr>
        <w:spacing w:after="0" w:line="50" w:lineRule="exact"/>
        <w:rPr>
          <w:rFonts w:ascii="Arial" w:cs="Arial" w:eastAsia="Arial" w:hAnsi="Arial"/>
          <w:sz w:val="12"/>
          <w:szCs w:val="12"/>
          <w:color w:val="auto"/>
        </w:rPr>
      </w:pPr>
    </w:p>
    <w:p>
      <w:pPr>
        <w:ind w:left="1120" w:right="1079" w:firstLine="642"/>
        <w:spacing w:after="0" w:line="260" w:lineRule="auto"/>
        <w:tabs>
          <w:tab w:leader="none" w:pos="2024" w:val="left"/>
        </w:tabs>
        <w:numPr>
          <w:ilvl w:val="1"/>
          <w:numId w:val="89"/>
        </w:numPr>
        <w:rPr>
          <w:rFonts w:ascii="Arial" w:cs="Arial" w:eastAsia="Arial" w:hAnsi="Arial"/>
          <w:sz w:val="12"/>
          <w:szCs w:val="12"/>
          <w:color w:val="auto"/>
        </w:rPr>
      </w:pPr>
      <w:r>
        <w:rPr>
          <w:rFonts w:ascii="Arial" w:cs="Arial" w:eastAsia="Arial" w:hAnsi="Arial"/>
          <w:sz w:val="12"/>
          <w:szCs w:val="12"/>
          <w:color w:val="auto"/>
        </w:rPr>
        <w:t>sell, issue, grant, pledge or otherwise dispose of or encumber or authorize the issuance of: (A) any capital stock or other security (except for Zordich Common Stock issued upon the valid exercise or settlement of outstanding Zordich Options or Zordich RSUs, as applicable), (B) any option, warrant or right to acquire any capital stock or any other security or (C) any instrument convertible into or exchangeable for any capital stock or other security;</w:t>
      </w:r>
    </w:p>
    <w:p>
      <w:pPr>
        <w:spacing w:after="0" w:line="52" w:lineRule="exact"/>
        <w:rPr>
          <w:rFonts w:ascii="Arial" w:cs="Arial" w:eastAsia="Arial" w:hAnsi="Arial"/>
          <w:sz w:val="12"/>
          <w:szCs w:val="12"/>
          <w:color w:val="auto"/>
        </w:rPr>
      </w:pPr>
    </w:p>
    <w:p>
      <w:pPr>
        <w:ind w:left="1120" w:right="959" w:firstLine="642"/>
        <w:spacing w:after="0" w:line="299" w:lineRule="auto"/>
        <w:tabs>
          <w:tab w:leader="none" w:pos="2057" w:val="left"/>
        </w:tabs>
        <w:numPr>
          <w:ilvl w:val="1"/>
          <w:numId w:val="89"/>
        </w:numPr>
        <w:rPr>
          <w:rFonts w:ascii="Arial" w:cs="Arial" w:eastAsia="Arial" w:hAnsi="Arial"/>
          <w:sz w:val="11"/>
          <w:szCs w:val="11"/>
          <w:color w:val="auto"/>
        </w:rPr>
      </w:pPr>
      <w:r>
        <w:rPr>
          <w:rFonts w:ascii="Arial" w:cs="Arial" w:eastAsia="Arial" w:hAnsi="Arial"/>
          <w:sz w:val="11"/>
          <w:szCs w:val="11"/>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32" w:lineRule="exact"/>
        <w:rPr>
          <w:rFonts w:ascii="Arial" w:cs="Arial" w:eastAsia="Arial" w:hAnsi="Arial"/>
          <w:sz w:val="11"/>
          <w:szCs w:val="11"/>
          <w:color w:val="auto"/>
        </w:rPr>
      </w:pPr>
    </w:p>
    <w:p>
      <w:pPr>
        <w:ind w:left="2060" w:hanging="298"/>
        <w:spacing w:after="0"/>
        <w:tabs>
          <w:tab w:leader="none" w:pos="2060" w:val="left"/>
        </w:tabs>
        <w:numPr>
          <w:ilvl w:val="1"/>
          <w:numId w:val="89"/>
        </w:numPr>
        <w:rPr>
          <w:rFonts w:ascii="Arial" w:cs="Arial" w:eastAsia="Arial" w:hAnsi="Arial"/>
          <w:sz w:val="11"/>
          <w:szCs w:val="11"/>
          <w:color w:val="auto"/>
        </w:rPr>
      </w:pPr>
      <w:r>
        <w:rPr>
          <w:rFonts w:ascii="Arial" w:cs="Arial" w:eastAsia="Arial" w:hAnsi="Arial"/>
          <w:sz w:val="11"/>
          <w:szCs w:val="11"/>
          <w:color w:val="auto"/>
        </w:rPr>
        <w:t>form any Subsidiary or acquire any equity interest or other interest in any other Entity or enter into a joint venture with any</w:t>
      </w:r>
    </w:p>
    <w:p>
      <w:pPr>
        <w:spacing w:after="0" w:line="26" w:lineRule="exact"/>
        <w:rPr>
          <w:rFonts w:ascii="Arial" w:cs="Arial" w:eastAsia="Arial" w:hAnsi="Arial"/>
          <w:sz w:val="11"/>
          <w:szCs w:val="11"/>
          <w:color w:val="auto"/>
        </w:rPr>
      </w:pPr>
    </w:p>
    <w:p>
      <w:pPr>
        <w:ind w:left="1120"/>
        <w:spacing w:after="0"/>
        <w:rPr>
          <w:rFonts w:ascii="Arial" w:cs="Arial" w:eastAsia="Arial" w:hAnsi="Arial"/>
          <w:sz w:val="11"/>
          <w:szCs w:val="11"/>
          <w:color w:val="auto"/>
        </w:rPr>
      </w:pPr>
      <w:r>
        <w:rPr>
          <w:rFonts w:ascii="Arial" w:cs="Arial" w:eastAsia="Arial" w:hAnsi="Arial"/>
          <w:sz w:val="12"/>
          <w:szCs w:val="12"/>
          <w:color w:val="auto"/>
        </w:rPr>
        <w:t>other Entity;</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9019"/>
          </w:cols>
          <w:pgMar w:left="1440" w:top="230" w:right="1440" w:bottom="1440" w:gutter="0" w:footer="0" w:header="0"/>
        </w:sectPr>
      </w:pPr>
    </w:p>
    <w:bookmarkStart w:id="68" w:name="page69"/>
    <w:bookmarkEnd w:id="68"/>
    <w:p>
      <w:pPr>
        <w:ind w:left="1120" w:right="919" w:firstLine="642"/>
        <w:spacing w:after="0" w:line="277" w:lineRule="auto"/>
        <w:tabs>
          <w:tab w:leader="none" w:pos="2017" w:val="left"/>
        </w:tabs>
        <w:numPr>
          <w:ilvl w:val="1"/>
          <w:numId w:val="9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 lend money to any Person, (B) incur or guarantee any indebtedness for borrowed money, (C) guarantee any debt securities of others or (D) make any capital expenditure or commitment;</w:t>
      </w:r>
    </w:p>
    <w:p>
      <w:pPr>
        <w:spacing w:after="0" w:line="42" w:lineRule="exact"/>
        <w:rPr>
          <w:rFonts w:ascii="Arial" w:cs="Arial" w:eastAsia="Arial" w:hAnsi="Arial"/>
          <w:sz w:val="12"/>
          <w:szCs w:val="12"/>
          <w:color w:val="auto"/>
        </w:rPr>
      </w:pPr>
    </w:p>
    <w:p>
      <w:pPr>
        <w:ind w:left="1120" w:right="919" w:firstLine="642"/>
        <w:spacing w:after="0" w:line="306" w:lineRule="auto"/>
        <w:tabs>
          <w:tab w:leader="none" w:pos="2050" w:val="left"/>
        </w:tabs>
        <w:numPr>
          <w:ilvl w:val="1"/>
          <w:numId w:val="90"/>
        </w:numPr>
        <w:rPr>
          <w:rFonts w:ascii="Arial" w:cs="Arial" w:eastAsia="Arial" w:hAnsi="Arial"/>
          <w:sz w:val="10"/>
          <w:szCs w:val="10"/>
          <w:color w:val="auto"/>
        </w:rPr>
      </w:pPr>
      <w:r>
        <w:rPr>
          <w:rFonts w:ascii="Arial" w:cs="Arial" w:eastAsia="Arial" w:hAnsi="Arial"/>
          <w:sz w:val="10"/>
          <w:szCs w:val="10"/>
          <w:color w:val="auto"/>
        </w:rPr>
        <w:t>(A) adopt, establish or enter into any Zordich Employee Plan, (B) cause or permit any Zordich Employee Plan to be amended other than as required by law or in order to make amendments for the purposes of Section 409A of the Code, (C) pay any bonus or make any profit-sharing or similar payment to (except with respect to obligations pursuant to any Zordich Employee Plan), or increase the amount of the wages, salary, commissions, fringe benefits or other compensation or remuneration payable to, any of its employees, directors or consultants or</w:t>
      </w:r>
    </w:p>
    <w:p>
      <w:pPr>
        <w:ind w:left="1320" w:hanging="195"/>
        <w:spacing w:after="0"/>
        <w:tabs>
          <w:tab w:leader="none" w:pos="13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increase the severance or change of control benefits offered to any current or new employees, directors or consultants;</w:t>
      </w:r>
    </w:p>
    <w:p>
      <w:pPr>
        <w:spacing w:after="0" w:line="69" w:lineRule="exact"/>
        <w:rPr>
          <w:rFonts w:ascii="Arial" w:cs="Arial" w:eastAsia="Arial" w:hAnsi="Arial"/>
          <w:sz w:val="12"/>
          <w:szCs w:val="12"/>
          <w:color w:val="auto"/>
        </w:rPr>
      </w:pPr>
    </w:p>
    <w:p>
      <w:pPr>
        <w:ind w:left="2080" w:hanging="318"/>
        <w:spacing w:after="0"/>
        <w:tabs>
          <w:tab w:leader="none" w:pos="2080" w:val="left"/>
        </w:tabs>
        <w:numPr>
          <w:ilvl w:val="1"/>
          <w:numId w:val="91"/>
        </w:numPr>
        <w:rPr>
          <w:rFonts w:ascii="Arial" w:cs="Arial" w:eastAsia="Arial" w:hAnsi="Arial"/>
          <w:sz w:val="12"/>
          <w:szCs w:val="12"/>
          <w:color w:val="auto"/>
        </w:rPr>
      </w:pPr>
      <w:r>
        <w:rPr>
          <w:rFonts w:ascii="Arial" w:cs="Arial" w:eastAsia="Arial" w:hAnsi="Arial"/>
          <w:sz w:val="12"/>
          <w:szCs w:val="12"/>
          <w:color w:val="auto"/>
        </w:rPr>
        <w:t>enter into any transaction outside the Ordinary Course of Business;</w:t>
      </w:r>
    </w:p>
    <w:p>
      <w:pPr>
        <w:spacing w:after="0" w:line="78" w:lineRule="exact"/>
        <w:rPr>
          <w:rFonts w:ascii="Arial" w:cs="Arial" w:eastAsia="Arial" w:hAnsi="Arial"/>
          <w:sz w:val="12"/>
          <w:szCs w:val="12"/>
          <w:color w:val="auto"/>
        </w:rPr>
      </w:pPr>
    </w:p>
    <w:p>
      <w:pPr>
        <w:ind w:left="1120" w:right="1219" w:firstLine="642"/>
        <w:spacing w:after="0" w:line="277" w:lineRule="auto"/>
        <w:tabs>
          <w:tab w:leader="none" w:pos="2117" w:val="left"/>
        </w:tabs>
        <w:numPr>
          <w:ilvl w:val="1"/>
          <w:numId w:val="91"/>
        </w:numPr>
        <w:rPr>
          <w:rFonts w:ascii="Arial" w:cs="Arial" w:eastAsia="Arial" w:hAnsi="Arial"/>
          <w:sz w:val="12"/>
          <w:szCs w:val="12"/>
          <w:color w:val="auto"/>
        </w:rPr>
      </w:pPr>
      <w:r>
        <w:rPr>
          <w:rFonts w:ascii="Arial" w:cs="Arial" w:eastAsia="Arial" w:hAnsi="Arial"/>
          <w:sz w:val="12"/>
          <w:szCs w:val="12"/>
          <w:color w:val="auto"/>
        </w:rPr>
        <w:t>acquire any material asset or sell, lease or otherwise irrevocably dispose of any of its assets or properties, or grant any Encumbrance with respect to such assets or properties;</w:t>
      </w:r>
    </w:p>
    <w:p>
      <w:pPr>
        <w:spacing w:after="0" w:line="42" w:lineRule="exact"/>
        <w:rPr>
          <w:rFonts w:ascii="Arial" w:cs="Arial" w:eastAsia="Arial" w:hAnsi="Arial"/>
          <w:sz w:val="12"/>
          <w:szCs w:val="12"/>
          <w:color w:val="auto"/>
        </w:rPr>
      </w:pPr>
    </w:p>
    <w:p>
      <w:pPr>
        <w:ind w:left="1120" w:right="1099" w:firstLine="642"/>
        <w:spacing w:after="0" w:line="277" w:lineRule="auto"/>
        <w:tabs>
          <w:tab w:leader="none" w:pos="2050" w:val="left"/>
        </w:tabs>
        <w:numPr>
          <w:ilvl w:val="1"/>
          <w:numId w:val="91"/>
        </w:numPr>
        <w:rPr>
          <w:rFonts w:ascii="Arial" w:cs="Arial" w:eastAsia="Arial" w:hAnsi="Arial"/>
          <w:sz w:val="12"/>
          <w:szCs w:val="12"/>
          <w:color w:val="auto"/>
        </w:rPr>
      </w:pPr>
      <w:r>
        <w:rPr>
          <w:rFonts w:ascii="Arial" w:cs="Arial" w:eastAsia="Arial" w:hAnsi="Arial"/>
          <w:sz w:val="12"/>
          <w:szCs w:val="12"/>
          <w:color w:val="auto"/>
        </w:rPr>
        <w:t>make, change or revoke any material Tax election; file any material amendment to any Tax Return or adopt or change any material accounting method in respect of Taxes;</w:t>
      </w:r>
    </w:p>
    <w:p>
      <w:pPr>
        <w:spacing w:after="0" w:line="42" w:lineRule="exact"/>
        <w:rPr>
          <w:rFonts w:ascii="Arial" w:cs="Arial" w:eastAsia="Arial" w:hAnsi="Arial"/>
          <w:sz w:val="12"/>
          <w:szCs w:val="12"/>
          <w:color w:val="auto"/>
        </w:rPr>
      </w:pPr>
    </w:p>
    <w:p>
      <w:pPr>
        <w:ind w:left="1120" w:right="919" w:firstLine="642"/>
        <w:spacing w:after="0" w:line="290" w:lineRule="auto"/>
        <w:tabs>
          <w:tab w:leader="none" w:pos="2017" w:val="left"/>
        </w:tabs>
        <w:numPr>
          <w:ilvl w:val="1"/>
          <w:numId w:val="91"/>
        </w:numPr>
        <w:rPr>
          <w:rFonts w:ascii="Arial" w:cs="Arial" w:eastAsia="Arial" w:hAnsi="Arial"/>
          <w:sz w:val="11"/>
          <w:szCs w:val="11"/>
          <w:color w:val="auto"/>
        </w:rPr>
      </w:pPr>
      <w:r>
        <w:rPr>
          <w:rFonts w:ascii="Arial" w:cs="Arial" w:eastAsia="Arial" w:hAnsi="Arial"/>
          <w:sz w:val="11"/>
          <w:szCs w:val="11"/>
          <w:color w:val="auto"/>
        </w:rPr>
        <w:t>waive, settle or compromise any pending or threatened Legal Proceeding against Zordich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Zordich or its Subsidiaries, taken as a whole, or any equitable relief on, or the admission of wrongdoing by, Zordich or any of its Subsidiaries;</w:t>
      </w:r>
    </w:p>
    <w:p>
      <w:pPr>
        <w:spacing w:after="0" w:line="38" w:lineRule="exact"/>
        <w:rPr>
          <w:rFonts w:ascii="Arial" w:cs="Arial" w:eastAsia="Arial" w:hAnsi="Arial"/>
          <w:sz w:val="11"/>
          <w:szCs w:val="11"/>
          <w:color w:val="auto"/>
        </w:rPr>
      </w:pPr>
    </w:p>
    <w:p>
      <w:pPr>
        <w:ind w:left="2060" w:hanging="298"/>
        <w:spacing w:after="0"/>
        <w:tabs>
          <w:tab w:leader="none" w:pos="2060" w:val="left"/>
        </w:tabs>
        <w:numPr>
          <w:ilvl w:val="1"/>
          <w:numId w:val="91"/>
        </w:numPr>
        <w:rPr>
          <w:rFonts w:ascii="Arial" w:cs="Arial" w:eastAsia="Arial" w:hAnsi="Arial"/>
          <w:sz w:val="11"/>
          <w:szCs w:val="11"/>
          <w:color w:val="auto"/>
        </w:rPr>
      </w:pPr>
      <w:r>
        <w:rPr>
          <w:rFonts w:ascii="Arial" w:cs="Arial" w:eastAsia="Arial" w:hAnsi="Arial"/>
          <w:sz w:val="11"/>
          <w:szCs w:val="11"/>
          <w:color w:val="auto"/>
        </w:rPr>
        <w:t>terminate or modify in any material respect, or fail to exercise renewal rights with respect to, any material insurance policy;</w:t>
      </w:r>
    </w:p>
    <w:p>
      <w:pPr>
        <w:spacing w:after="0" w:line="90" w:lineRule="exact"/>
        <w:rPr>
          <w:rFonts w:ascii="Arial" w:cs="Arial" w:eastAsia="Arial" w:hAnsi="Arial"/>
          <w:sz w:val="11"/>
          <w:szCs w:val="11"/>
          <w:color w:val="auto"/>
        </w:rPr>
      </w:pPr>
    </w:p>
    <w:p>
      <w:pPr>
        <w:ind w:left="2080" w:hanging="318"/>
        <w:spacing w:after="0"/>
        <w:tabs>
          <w:tab w:leader="none" w:pos="2080" w:val="left"/>
        </w:tabs>
        <w:numPr>
          <w:ilvl w:val="1"/>
          <w:numId w:val="91"/>
        </w:numPr>
        <w:rPr>
          <w:rFonts w:ascii="Arial" w:cs="Arial" w:eastAsia="Arial" w:hAnsi="Arial"/>
          <w:sz w:val="12"/>
          <w:szCs w:val="12"/>
          <w:color w:val="auto"/>
        </w:rPr>
      </w:pPr>
      <w:r>
        <w:rPr>
          <w:rFonts w:ascii="Arial" w:cs="Arial" w:eastAsia="Arial" w:hAnsi="Arial"/>
          <w:sz w:val="12"/>
          <w:szCs w:val="12"/>
          <w:color w:val="auto"/>
        </w:rPr>
        <w:t>enter into, amend or terminate any Zordich Material Contract; or</w:t>
      </w:r>
    </w:p>
    <w:p>
      <w:pPr>
        <w:spacing w:after="0" w:line="78" w:lineRule="exact"/>
        <w:rPr>
          <w:rFonts w:ascii="Arial" w:cs="Arial" w:eastAsia="Arial" w:hAnsi="Arial"/>
          <w:sz w:val="12"/>
          <w:szCs w:val="12"/>
          <w:color w:val="auto"/>
        </w:rPr>
      </w:pPr>
    </w:p>
    <w:p>
      <w:pPr>
        <w:ind w:left="2120" w:hanging="358"/>
        <w:spacing w:after="0"/>
        <w:tabs>
          <w:tab w:leader="none" w:pos="2120" w:val="left"/>
        </w:tabs>
        <w:numPr>
          <w:ilvl w:val="1"/>
          <w:numId w:val="91"/>
        </w:numPr>
        <w:rPr>
          <w:rFonts w:ascii="Arial" w:cs="Arial" w:eastAsia="Arial" w:hAnsi="Arial"/>
          <w:sz w:val="12"/>
          <w:szCs w:val="12"/>
          <w:color w:val="auto"/>
        </w:rPr>
      </w:pPr>
      <w:r>
        <w:rPr>
          <w:rFonts w:ascii="Arial" w:cs="Arial" w:eastAsia="Arial" w:hAnsi="Arial"/>
          <w:sz w:val="12"/>
          <w:szCs w:val="12"/>
          <w:color w:val="auto"/>
        </w:rPr>
        <w:t>agree, resolve or commit to do any of the foregoing.</w:t>
      </w:r>
    </w:p>
    <w:p>
      <w:pPr>
        <w:spacing w:after="0" w:line="151" w:lineRule="exact"/>
        <w:rPr>
          <w:sz w:val="20"/>
          <w:szCs w:val="20"/>
          <w:color w:val="auto"/>
        </w:rPr>
      </w:pPr>
    </w:p>
    <w:p>
      <w:pPr>
        <w:ind w:left="840" w:right="999"/>
        <w:spacing w:after="0" w:line="264" w:lineRule="auto"/>
        <w:rPr>
          <w:sz w:val="20"/>
          <w:szCs w:val="20"/>
          <w:color w:val="auto"/>
        </w:rPr>
      </w:pPr>
      <w:r>
        <w:rPr>
          <w:rFonts w:ascii="Arial" w:cs="Arial" w:eastAsia="Arial" w:hAnsi="Arial"/>
          <w:sz w:val="12"/>
          <w:szCs w:val="12"/>
          <w:color w:val="auto"/>
        </w:rPr>
        <w:t>Nothing contained in this Agreement shall give the Company, directly or indirectly, the right to control or direct the operations of Zordich prior to the Effective Time. Prior to the Effective Time, Zordich shall exercise, consistent with the terms and conditions of this Agreement, complete unilateral control and supervision over its business operations.</w:t>
      </w:r>
    </w:p>
    <w:p>
      <w:pPr>
        <w:spacing w:after="0" w:line="19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0"/>
          <w:szCs w:val="10"/>
          <w:u w:val="single" w:color="auto"/>
          <w:color w:val="auto"/>
        </w:rPr>
        <w:t>Operation of the Company’s Business</w:t>
      </w:r>
      <w:r>
        <w:rPr>
          <w:rFonts w:ascii="Arial" w:cs="Arial" w:eastAsia="Arial" w:hAnsi="Arial"/>
          <w:sz w:val="10"/>
          <w:szCs w:val="10"/>
          <w:color w:val="auto"/>
        </w:rPr>
        <w:t>.</w:t>
      </w:r>
    </w:p>
    <w:p>
      <w:pPr>
        <w:spacing w:after="0" w:line="79" w:lineRule="exact"/>
        <w:rPr>
          <w:sz w:val="20"/>
          <w:szCs w:val="20"/>
          <w:color w:val="auto"/>
        </w:rPr>
      </w:pPr>
    </w:p>
    <w:p>
      <w:pPr>
        <w:ind w:left="840" w:right="859" w:firstLine="654"/>
        <w:spacing w:after="0" w:line="260" w:lineRule="auto"/>
        <w:tabs>
          <w:tab w:leader="none" w:pos="1757" w:val="left"/>
        </w:tabs>
        <w:numPr>
          <w:ilvl w:val="0"/>
          <w:numId w:val="92"/>
        </w:numPr>
        <w:rPr>
          <w:rFonts w:ascii="Arial" w:cs="Arial" w:eastAsia="Arial" w:hAnsi="Arial"/>
          <w:sz w:val="12"/>
          <w:szCs w:val="12"/>
          <w:color w:val="auto"/>
        </w:rPr>
      </w:pPr>
      <w:r>
        <w:rPr>
          <w:rFonts w:ascii="Arial" w:cs="Arial" w:eastAsia="Arial" w:hAnsi="Arial"/>
          <w:sz w:val="12"/>
          <w:szCs w:val="12"/>
          <w:color w:val="auto"/>
        </w:rPr>
        <w:t>Except as expressly contemplated or permitted by this Agreement, as required by applicable Law or unless Zordich shall otherwise consent in writing (which consent shall not be unreasonably withheld, delayed or conditioned), during the Pre-Closing Period each of the Company and its Subsidiaries shall conduct its business and operations in the Ordinary Course of Business and in material compliance with all applicable Law and the requirements of all Contracts that constitute Company Material Contracts.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9019"/>
          </w:cols>
          <w:pgMar w:left="1440" w:top="230" w:right="1440" w:bottom="1440" w:gutter="0" w:footer="0" w:header="0"/>
        </w:sectPr>
      </w:pPr>
    </w:p>
    <w:bookmarkStart w:id="69" w:name="page70"/>
    <w:bookmarkEnd w:id="69"/>
    <w:p>
      <w:pPr>
        <w:ind w:left="840" w:right="899" w:firstLine="654"/>
        <w:spacing w:after="0" w:line="260" w:lineRule="auto"/>
        <w:tabs>
          <w:tab w:leader="none" w:pos="1764" w:val="left"/>
        </w:tabs>
        <w:numPr>
          <w:ilvl w:val="0"/>
          <w:numId w:val="9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Except (i) as expressly contemplated or permitted by this Agreement, (ii) as set forth in Section 5.2(b) of the Company Disclosure Schedule, (iii) as required by applicable Law or (iv) with the prior written consent of Zordich (which consent shall not be unreasonably withheld, delayed or conditioned), at all times during the Pre-Closing Period, the Company shall not, nor shall it cause or permit any of its Subsidiaries to, do any of the following:</w:t>
      </w:r>
    </w:p>
    <w:p>
      <w:pPr>
        <w:spacing w:after="0" w:line="52" w:lineRule="exact"/>
        <w:rPr>
          <w:rFonts w:ascii="Arial" w:cs="Arial" w:eastAsia="Arial" w:hAnsi="Arial"/>
          <w:sz w:val="12"/>
          <w:szCs w:val="12"/>
          <w:color w:val="auto"/>
        </w:rPr>
      </w:pPr>
    </w:p>
    <w:p>
      <w:pPr>
        <w:ind w:left="1120" w:right="879" w:firstLine="642"/>
        <w:spacing w:after="0" w:line="264" w:lineRule="auto"/>
        <w:tabs>
          <w:tab w:leader="none" w:pos="1990" w:val="left"/>
        </w:tabs>
        <w:numPr>
          <w:ilvl w:val="1"/>
          <w:numId w:val="93"/>
        </w:numPr>
        <w:rPr>
          <w:rFonts w:ascii="Arial" w:cs="Arial" w:eastAsia="Arial" w:hAnsi="Arial"/>
          <w:sz w:val="12"/>
          <w:szCs w:val="12"/>
          <w:color w:val="auto"/>
        </w:rPr>
      </w:pPr>
      <w:r>
        <w:rPr>
          <w:rFonts w:ascii="Arial" w:cs="Arial" w:eastAsia="Arial" w:hAnsi="Arial"/>
          <w:sz w:val="12"/>
          <w:szCs w:val="12"/>
          <w:color w:val="auto"/>
        </w:rPr>
        <w:t>declare, accrue, set aside or pay any dividend, other than cash dividends, or make any other distribution in respect to any shares of capital stock; or repurchase, redeem or otherwise reacquire any shares of Company Common Stock or other securities (except for shares of Company Common Stock from terminated employees, directors or consultants of the Company);</w:t>
      </w:r>
    </w:p>
    <w:p>
      <w:pPr>
        <w:spacing w:after="0" w:line="50" w:lineRule="exact"/>
        <w:rPr>
          <w:rFonts w:ascii="Arial" w:cs="Arial" w:eastAsia="Arial" w:hAnsi="Arial"/>
          <w:sz w:val="12"/>
          <w:szCs w:val="12"/>
          <w:color w:val="auto"/>
        </w:rPr>
      </w:pPr>
    </w:p>
    <w:p>
      <w:pPr>
        <w:ind w:left="1120" w:right="919" w:firstLine="642"/>
        <w:spacing w:after="0" w:line="341" w:lineRule="auto"/>
        <w:tabs>
          <w:tab w:leader="none" w:pos="2024" w:val="left"/>
        </w:tabs>
        <w:numPr>
          <w:ilvl w:val="1"/>
          <w:numId w:val="93"/>
        </w:numPr>
        <w:rPr>
          <w:rFonts w:ascii="Arial" w:cs="Arial" w:eastAsia="Arial" w:hAnsi="Arial"/>
          <w:sz w:val="10"/>
          <w:szCs w:val="10"/>
          <w:color w:val="auto"/>
        </w:rPr>
      </w:pPr>
      <w:r>
        <w:rPr>
          <w:rFonts w:ascii="Arial" w:cs="Arial" w:eastAsia="Arial" w:hAnsi="Arial"/>
          <w:sz w:val="10"/>
          <w:szCs w:val="10"/>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5" w:lineRule="exact"/>
        <w:rPr>
          <w:rFonts w:ascii="Arial" w:cs="Arial" w:eastAsia="Arial" w:hAnsi="Arial"/>
          <w:sz w:val="10"/>
          <w:szCs w:val="10"/>
          <w:color w:val="auto"/>
        </w:rPr>
      </w:pPr>
    </w:p>
    <w:p>
      <w:pPr>
        <w:ind w:left="1120" w:right="859" w:firstLine="642"/>
        <w:spacing w:after="0" w:line="341" w:lineRule="auto"/>
        <w:tabs>
          <w:tab w:leader="none" w:pos="2057" w:val="left"/>
        </w:tabs>
        <w:numPr>
          <w:ilvl w:val="1"/>
          <w:numId w:val="93"/>
        </w:numPr>
        <w:rPr>
          <w:rFonts w:ascii="Arial" w:cs="Arial" w:eastAsia="Arial" w:hAnsi="Arial"/>
          <w:sz w:val="10"/>
          <w:szCs w:val="10"/>
          <w:color w:val="auto"/>
        </w:rPr>
      </w:pPr>
      <w:r>
        <w:rPr>
          <w:rFonts w:ascii="Arial" w:cs="Arial" w:eastAsia="Arial" w:hAnsi="Arial"/>
          <w:sz w:val="10"/>
          <w:szCs w:val="10"/>
          <w:color w:val="auto"/>
        </w:rPr>
        <w:t>sell, issue, grant, pledge or otherwise dispose of or encumber or authorize any of the foregoing actions with respect to: (A) any capital stock or other security of the Company or any of its Subsidiaries, (B) any option, warrant or right to acquire any capital stock or any other security or (C) any instrument convertible into or exchangeable for any capital stock or other security of the Company or any of its Subsidiaries;</w:t>
      </w:r>
    </w:p>
    <w:p>
      <w:pPr>
        <w:spacing w:after="0" w:line="15" w:lineRule="exact"/>
        <w:rPr>
          <w:rFonts w:ascii="Arial" w:cs="Arial" w:eastAsia="Arial" w:hAnsi="Arial"/>
          <w:sz w:val="10"/>
          <w:szCs w:val="10"/>
          <w:color w:val="auto"/>
        </w:rPr>
      </w:pPr>
    </w:p>
    <w:p>
      <w:pPr>
        <w:ind w:left="2060" w:hanging="298"/>
        <w:spacing w:after="0"/>
        <w:tabs>
          <w:tab w:leader="none" w:pos="2060" w:val="left"/>
        </w:tabs>
        <w:numPr>
          <w:ilvl w:val="1"/>
          <w:numId w:val="93"/>
        </w:numPr>
        <w:rPr>
          <w:rFonts w:ascii="Arial" w:cs="Arial" w:eastAsia="Arial" w:hAnsi="Arial"/>
          <w:sz w:val="11"/>
          <w:szCs w:val="11"/>
          <w:color w:val="auto"/>
        </w:rPr>
      </w:pPr>
      <w:r>
        <w:rPr>
          <w:rFonts w:ascii="Arial" w:cs="Arial" w:eastAsia="Arial" w:hAnsi="Arial"/>
          <w:sz w:val="11"/>
          <w:szCs w:val="11"/>
          <w:color w:val="auto"/>
        </w:rPr>
        <w:t>form any Subsidiary or acquire any equity interest or other interest in any other Entity or enter into a joint venture with any</w:t>
      </w:r>
    </w:p>
    <w:p>
      <w:pPr>
        <w:spacing w:after="0" w:line="26" w:lineRule="exact"/>
        <w:rPr>
          <w:rFonts w:ascii="Arial" w:cs="Arial" w:eastAsia="Arial" w:hAnsi="Arial"/>
          <w:sz w:val="11"/>
          <w:szCs w:val="11"/>
          <w:color w:val="auto"/>
        </w:rPr>
      </w:pPr>
    </w:p>
    <w:p>
      <w:pPr>
        <w:ind w:left="1120"/>
        <w:spacing w:after="0"/>
        <w:rPr>
          <w:rFonts w:ascii="Arial" w:cs="Arial" w:eastAsia="Arial" w:hAnsi="Arial"/>
          <w:sz w:val="11"/>
          <w:szCs w:val="11"/>
          <w:color w:val="auto"/>
        </w:rPr>
      </w:pPr>
      <w:r>
        <w:rPr>
          <w:rFonts w:ascii="Arial" w:cs="Arial" w:eastAsia="Arial" w:hAnsi="Arial"/>
          <w:sz w:val="12"/>
          <w:szCs w:val="12"/>
          <w:color w:val="auto"/>
        </w:rPr>
        <w:t>other Entity;</w:t>
      </w:r>
    </w:p>
    <w:p>
      <w:pPr>
        <w:spacing w:after="0" w:line="69" w:lineRule="exact"/>
        <w:rPr>
          <w:rFonts w:ascii="Arial" w:cs="Arial" w:eastAsia="Arial" w:hAnsi="Arial"/>
          <w:sz w:val="11"/>
          <w:szCs w:val="11"/>
          <w:color w:val="auto"/>
        </w:rPr>
      </w:pPr>
    </w:p>
    <w:p>
      <w:pPr>
        <w:ind w:left="1120" w:right="879" w:firstLine="642"/>
        <w:spacing w:after="0" w:line="324" w:lineRule="auto"/>
        <w:tabs>
          <w:tab w:leader="none" w:pos="2017" w:val="left"/>
        </w:tabs>
        <w:numPr>
          <w:ilvl w:val="1"/>
          <w:numId w:val="93"/>
        </w:numPr>
        <w:rPr>
          <w:rFonts w:ascii="Arial" w:cs="Arial" w:eastAsia="Arial" w:hAnsi="Arial"/>
          <w:sz w:val="11"/>
          <w:szCs w:val="11"/>
          <w:color w:val="auto"/>
        </w:rPr>
      </w:pPr>
      <w:r>
        <w:rPr>
          <w:rFonts w:ascii="Arial" w:cs="Arial" w:eastAsia="Arial" w:hAnsi="Arial"/>
          <w:sz w:val="11"/>
          <w:szCs w:val="11"/>
          <w:color w:val="auto"/>
        </w:rPr>
        <w:t>(A) lend money to any Person, (B) incur or guarantee any indebtedness for borrowed money, other than in the Ordinary Course of Business, (C) guarantee any debt securities of others or (D) make any capital expenditure or commitment in excess of $150,000;</w:t>
      </w:r>
    </w:p>
    <w:p>
      <w:pPr>
        <w:spacing w:after="0" w:line="19" w:lineRule="exact"/>
        <w:rPr>
          <w:rFonts w:ascii="Arial" w:cs="Arial" w:eastAsia="Arial" w:hAnsi="Arial"/>
          <w:sz w:val="11"/>
          <w:szCs w:val="11"/>
          <w:color w:val="auto"/>
        </w:rPr>
      </w:pPr>
    </w:p>
    <w:p>
      <w:pPr>
        <w:ind w:left="1120" w:right="1019" w:firstLine="642"/>
        <w:spacing w:after="0" w:line="286" w:lineRule="auto"/>
        <w:tabs>
          <w:tab w:leader="none" w:pos="2050" w:val="left"/>
        </w:tabs>
        <w:numPr>
          <w:ilvl w:val="1"/>
          <w:numId w:val="93"/>
        </w:numPr>
        <w:rPr>
          <w:rFonts w:ascii="Arial" w:cs="Arial" w:eastAsia="Arial" w:hAnsi="Arial"/>
          <w:sz w:val="11"/>
          <w:szCs w:val="11"/>
          <w:color w:val="auto"/>
        </w:rPr>
      </w:pPr>
      <w:r>
        <w:rPr>
          <w:rFonts w:ascii="Arial" w:cs="Arial" w:eastAsia="Arial" w:hAnsi="Arial"/>
          <w:sz w:val="11"/>
          <w:szCs w:val="11"/>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or change of control benefits offered to any current or new employees, directors or consultants;</w:t>
      </w:r>
    </w:p>
    <w:p>
      <w:pPr>
        <w:spacing w:after="0" w:line="40" w:lineRule="exact"/>
        <w:rPr>
          <w:rFonts w:ascii="Arial" w:cs="Arial" w:eastAsia="Arial" w:hAnsi="Arial"/>
          <w:sz w:val="11"/>
          <w:szCs w:val="11"/>
          <w:color w:val="auto"/>
        </w:rPr>
      </w:pPr>
    </w:p>
    <w:p>
      <w:pPr>
        <w:ind w:left="2080" w:hanging="318"/>
        <w:spacing w:after="0"/>
        <w:tabs>
          <w:tab w:leader="none" w:pos="2080" w:val="left"/>
        </w:tabs>
        <w:numPr>
          <w:ilvl w:val="1"/>
          <w:numId w:val="93"/>
        </w:numPr>
        <w:rPr>
          <w:rFonts w:ascii="Arial" w:cs="Arial" w:eastAsia="Arial" w:hAnsi="Arial"/>
          <w:sz w:val="12"/>
          <w:szCs w:val="12"/>
          <w:color w:val="auto"/>
        </w:rPr>
      </w:pPr>
      <w:r>
        <w:rPr>
          <w:rFonts w:ascii="Arial" w:cs="Arial" w:eastAsia="Arial" w:hAnsi="Arial"/>
          <w:sz w:val="12"/>
          <w:szCs w:val="12"/>
          <w:color w:val="auto"/>
        </w:rPr>
        <w:t>enter into any material transaction outside the Ordinary Course of Business;</w:t>
      </w:r>
    </w:p>
    <w:p>
      <w:pPr>
        <w:spacing w:after="0" w:line="78" w:lineRule="exact"/>
        <w:rPr>
          <w:rFonts w:ascii="Arial" w:cs="Arial" w:eastAsia="Arial" w:hAnsi="Arial"/>
          <w:sz w:val="12"/>
          <w:szCs w:val="12"/>
          <w:color w:val="auto"/>
        </w:rPr>
      </w:pPr>
    </w:p>
    <w:p>
      <w:pPr>
        <w:ind w:left="1120" w:right="1219" w:firstLine="642"/>
        <w:spacing w:after="0" w:line="277" w:lineRule="auto"/>
        <w:tabs>
          <w:tab w:leader="none" w:pos="2117" w:val="left"/>
        </w:tabs>
        <w:numPr>
          <w:ilvl w:val="1"/>
          <w:numId w:val="93"/>
        </w:numPr>
        <w:rPr>
          <w:rFonts w:ascii="Arial" w:cs="Arial" w:eastAsia="Arial" w:hAnsi="Arial"/>
          <w:sz w:val="12"/>
          <w:szCs w:val="12"/>
          <w:color w:val="auto"/>
        </w:rPr>
      </w:pPr>
      <w:r>
        <w:rPr>
          <w:rFonts w:ascii="Arial" w:cs="Arial" w:eastAsia="Arial" w:hAnsi="Arial"/>
          <w:sz w:val="12"/>
          <w:szCs w:val="12"/>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42" w:lineRule="exact"/>
        <w:rPr>
          <w:rFonts w:ascii="Arial" w:cs="Arial" w:eastAsia="Arial" w:hAnsi="Arial"/>
          <w:sz w:val="12"/>
          <w:szCs w:val="12"/>
          <w:color w:val="auto"/>
        </w:rPr>
      </w:pPr>
    </w:p>
    <w:p>
      <w:pPr>
        <w:ind w:left="2060" w:hanging="298"/>
        <w:spacing w:after="0"/>
        <w:tabs>
          <w:tab w:leader="none" w:pos="2060" w:val="left"/>
        </w:tabs>
        <w:numPr>
          <w:ilvl w:val="1"/>
          <w:numId w:val="93"/>
        </w:numPr>
        <w:rPr>
          <w:rFonts w:ascii="Arial" w:cs="Arial" w:eastAsia="Arial" w:hAnsi="Arial"/>
          <w:sz w:val="11"/>
          <w:szCs w:val="11"/>
          <w:color w:val="auto"/>
        </w:rPr>
      </w:pPr>
      <w:r>
        <w:rPr>
          <w:rFonts w:ascii="Arial" w:cs="Arial" w:eastAsia="Arial" w:hAnsi="Arial"/>
          <w:sz w:val="11"/>
          <w:szCs w:val="11"/>
          <w:color w:val="auto"/>
        </w:rPr>
        <w:t>sell, assign, transfer, license, sublicense or otherwise dispose of any material Company IP Rights (other than pursuant to</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non-exclusive licenses in the Ordinary Course of Business);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9019"/>
          </w:cols>
          <w:pgMar w:left="1440" w:top="230" w:right="1440" w:bottom="1440" w:gutter="0" w:footer="0" w:header="0"/>
        </w:sectPr>
      </w:pPr>
    </w:p>
    <w:bookmarkStart w:id="70" w:name="page71"/>
    <w:bookmarkEnd w:id="70"/>
    <w:p>
      <w:pPr>
        <w:ind w:left="1120" w:right="899" w:firstLine="642"/>
        <w:spacing w:after="0" w:line="257" w:lineRule="auto"/>
        <w:tabs>
          <w:tab w:leader="none" w:pos="2017" w:val="left"/>
        </w:tabs>
        <w:numPr>
          <w:ilvl w:val="0"/>
          <w:numId w:val="9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waive, settle or compromise any pending or threatened Legal Proceeding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55" w:lineRule="exact"/>
        <w:rPr>
          <w:rFonts w:ascii="Arial" w:cs="Arial" w:eastAsia="Arial" w:hAnsi="Arial"/>
          <w:sz w:val="12"/>
          <w:szCs w:val="12"/>
          <w:color w:val="auto"/>
        </w:rPr>
      </w:pPr>
    </w:p>
    <w:p>
      <w:pPr>
        <w:ind w:left="2060" w:hanging="298"/>
        <w:spacing w:after="0"/>
        <w:tabs>
          <w:tab w:leader="none" w:pos="20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terminate or modify in any material respect, or fail to exercise renewal rights with respect to, any material insurance policy;</w:t>
      </w:r>
    </w:p>
    <w:p>
      <w:pPr>
        <w:spacing w:after="0" w:line="90" w:lineRule="exact"/>
        <w:rPr>
          <w:rFonts w:ascii="Arial" w:cs="Arial" w:eastAsia="Arial" w:hAnsi="Arial"/>
          <w:sz w:val="11"/>
          <w:szCs w:val="11"/>
          <w:color w:val="auto"/>
        </w:rPr>
      </w:pPr>
    </w:p>
    <w:p>
      <w:pPr>
        <w:ind w:left="1120" w:right="1059" w:firstLine="642"/>
        <w:spacing w:after="0" w:line="277" w:lineRule="auto"/>
        <w:tabs>
          <w:tab w:leader="none" w:pos="2084" w:val="left"/>
        </w:tabs>
        <w:numPr>
          <w:ilvl w:val="0"/>
          <w:numId w:val="94"/>
        </w:numPr>
        <w:rPr>
          <w:rFonts w:ascii="Arial" w:cs="Arial" w:eastAsia="Arial" w:hAnsi="Arial"/>
          <w:sz w:val="12"/>
          <w:szCs w:val="12"/>
          <w:color w:val="auto"/>
        </w:rPr>
      </w:pPr>
      <w:r>
        <w:rPr>
          <w:rFonts w:ascii="Arial" w:cs="Arial" w:eastAsia="Arial" w:hAnsi="Arial"/>
          <w:sz w:val="12"/>
          <w:szCs w:val="12"/>
          <w:color w:val="auto"/>
        </w:rPr>
        <w:t>make, change or revoke any material Tax election; file any material amendment to any Tax Return or adopt or change any material accounting method in respect of Taxes;</w:t>
      </w:r>
    </w:p>
    <w:p>
      <w:pPr>
        <w:spacing w:after="0" w:line="42" w:lineRule="exact"/>
        <w:rPr>
          <w:rFonts w:ascii="Arial" w:cs="Arial" w:eastAsia="Arial" w:hAnsi="Arial"/>
          <w:sz w:val="12"/>
          <w:szCs w:val="12"/>
          <w:color w:val="auto"/>
        </w:rPr>
      </w:pPr>
    </w:p>
    <w:p>
      <w:pPr>
        <w:ind w:left="2120" w:hanging="358"/>
        <w:spacing w:after="0"/>
        <w:tabs>
          <w:tab w:leader="none" w:pos="21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enter into, amend or terminate any Company Material Contract;</w:t>
      </w:r>
    </w:p>
    <w:p>
      <w:pPr>
        <w:spacing w:after="0" w:line="78" w:lineRule="exact"/>
        <w:rPr>
          <w:rFonts w:ascii="Arial" w:cs="Arial" w:eastAsia="Arial" w:hAnsi="Arial"/>
          <w:sz w:val="12"/>
          <w:szCs w:val="12"/>
          <w:color w:val="auto"/>
        </w:rPr>
      </w:pPr>
    </w:p>
    <w:p>
      <w:pPr>
        <w:ind w:left="1120" w:right="979" w:firstLine="642"/>
        <w:spacing w:after="0" w:line="264" w:lineRule="auto"/>
        <w:tabs>
          <w:tab w:leader="none" w:pos="2111" w:val="left"/>
        </w:tabs>
        <w:numPr>
          <w:ilvl w:val="0"/>
          <w:numId w:val="94"/>
        </w:numPr>
        <w:rPr>
          <w:rFonts w:ascii="Arial" w:cs="Arial" w:eastAsia="Arial" w:hAnsi="Arial"/>
          <w:sz w:val="12"/>
          <w:szCs w:val="12"/>
          <w:color w:val="auto"/>
        </w:rPr>
      </w:pPr>
      <w:r>
        <w:rPr>
          <w:rFonts w:ascii="Arial" w:cs="Arial" w:eastAsia="Arial" w:hAnsi="Arial"/>
          <w:sz w:val="12"/>
          <w:szCs w:val="12"/>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50" w:lineRule="exact"/>
        <w:rPr>
          <w:rFonts w:ascii="Arial" w:cs="Arial" w:eastAsia="Arial" w:hAnsi="Arial"/>
          <w:sz w:val="12"/>
          <w:szCs w:val="12"/>
          <w:color w:val="auto"/>
        </w:rPr>
      </w:pPr>
    </w:p>
    <w:p>
      <w:pPr>
        <w:ind w:left="2080" w:hanging="318"/>
        <w:spacing w:after="0"/>
        <w:tabs>
          <w:tab w:leader="none" w:pos="20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agree, resolve or commit to do any of the foregoing.</w:t>
      </w:r>
    </w:p>
    <w:p>
      <w:pPr>
        <w:spacing w:after="0" w:line="151" w:lineRule="exact"/>
        <w:rPr>
          <w:sz w:val="20"/>
          <w:szCs w:val="20"/>
          <w:color w:val="auto"/>
        </w:rPr>
      </w:pPr>
    </w:p>
    <w:p>
      <w:pPr>
        <w:ind w:left="840" w:right="859"/>
        <w:spacing w:after="0" w:line="264" w:lineRule="auto"/>
        <w:rPr>
          <w:sz w:val="20"/>
          <w:szCs w:val="20"/>
          <w:color w:val="auto"/>
        </w:rPr>
      </w:pPr>
      <w:r>
        <w:rPr>
          <w:rFonts w:ascii="Arial" w:cs="Arial" w:eastAsia="Arial" w:hAnsi="Arial"/>
          <w:sz w:val="12"/>
          <w:szCs w:val="12"/>
          <w:color w:val="auto"/>
        </w:rPr>
        <w:t>Nothing contained in this Agreement shall give Zordich,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9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0"/>
          <w:szCs w:val="10"/>
          <w:u w:val="single" w:color="auto"/>
          <w:color w:val="auto"/>
        </w:rPr>
        <w:t>Access and Investigation</w:t>
      </w:r>
      <w:r>
        <w:rPr>
          <w:rFonts w:ascii="Arial" w:cs="Arial" w:eastAsia="Arial" w:hAnsi="Arial"/>
          <w:sz w:val="10"/>
          <w:szCs w:val="10"/>
          <w:color w:val="auto"/>
        </w:rPr>
        <w:t>.</w:t>
      </w:r>
    </w:p>
    <w:p>
      <w:pPr>
        <w:spacing w:after="0" w:line="79" w:lineRule="exact"/>
        <w:rPr>
          <w:sz w:val="20"/>
          <w:szCs w:val="20"/>
          <w:color w:val="auto"/>
        </w:rPr>
      </w:pPr>
    </w:p>
    <w:p>
      <w:pPr>
        <w:ind w:left="840" w:right="859" w:firstLine="654"/>
        <w:spacing w:after="0" w:line="307" w:lineRule="auto"/>
        <w:tabs>
          <w:tab w:leader="none" w:pos="1757" w:val="left"/>
        </w:tabs>
        <w:numPr>
          <w:ilvl w:val="0"/>
          <w:numId w:val="95"/>
        </w:numPr>
        <w:rPr>
          <w:rFonts w:ascii="Arial" w:cs="Arial" w:eastAsia="Arial" w:hAnsi="Arial"/>
          <w:sz w:val="10"/>
          <w:szCs w:val="10"/>
          <w:color w:val="auto"/>
        </w:rPr>
      </w:pPr>
      <w:r>
        <w:rPr>
          <w:rFonts w:ascii="Arial" w:cs="Arial" w:eastAsia="Arial" w:hAnsi="Arial"/>
          <w:sz w:val="10"/>
          <w:szCs w:val="10"/>
          <w:color w:val="auto"/>
        </w:rPr>
        <w:t xml:space="preserve">Subject to the terms of the Confidentiality Agreement, which the Parties agree will continue in full force following the date of this Agreement, during the Pre-Closing Period, upon reasonable notice, Zordich,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Any investigation conducted by either Zordich or the Company pursuant to this </w:t>
      </w:r>
      <w:r>
        <w:rPr>
          <w:rFonts w:ascii="Arial" w:cs="Arial" w:eastAsia="Arial" w:hAnsi="Arial"/>
          <w:sz w:val="10"/>
          <w:szCs w:val="10"/>
          <w:u w:val="single" w:color="auto"/>
          <w:color w:val="auto"/>
        </w:rPr>
        <w:t>Section 5.3</w:t>
      </w:r>
      <w:r>
        <w:rPr>
          <w:rFonts w:ascii="Arial" w:cs="Arial" w:eastAsia="Arial" w:hAnsi="Arial"/>
          <w:sz w:val="10"/>
          <w:szCs w:val="10"/>
          <w:color w:val="auto"/>
        </w:rPr>
        <w:t xml:space="preserve"> shall be conducted in such manner as not to interfere unreasonably with the conduct of the business of the other Party. Within a commercially reasonable time after the date of this Agreement, the Company shall use commercially reasonable efforts to engage consultants or employees to fill the roles of chief financial officer and chief medical officer; provided, that prior to such engagements, the Company will provide Zordich an opportunity to meet the candidates for such roles, and the Company will consider in good faith Zordich’s views with respect to the candidates. Notwithstanding the foregoing, filling such roles shall in no event be a condition to Closing nor shall the failure to fill such roles prior to the Closing Date be a breach of this Agreement or constitute a Company Material Adverse Effect.</w:t>
      </w:r>
    </w:p>
    <w:p>
      <w:pPr>
        <w:spacing w:after="0" w:line="249" w:lineRule="exact"/>
        <w:rPr>
          <w:rFonts w:ascii="Arial" w:cs="Arial" w:eastAsia="Arial" w:hAnsi="Arial"/>
          <w:sz w:val="10"/>
          <w:szCs w:val="10"/>
          <w:color w:val="auto"/>
        </w:rPr>
      </w:pPr>
    </w:p>
    <w:p>
      <w:pPr>
        <w:ind w:left="840" w:right="919" w:firstLine="654"/>
        <w:spacing w:after="0" w:line="277" w:lineRule="auto"/>
        <w:tabs>
          <w:tab w:leader="none" w:pos="1764"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Notwithstanding anything herein to the contrary in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no access or examination contemplated by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shall be permitted to the extent that it would require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9019"/>
          </w:cols>
          <w:pgMar w:left="1440" w:top="230" w:right="1440" w:bottom="1440" w:gutter="0" w:footer="0" w:header="0"/>
        </w:sectPr>
      </w:pPr>
    </w:p>
    <w:bookmarkStart w:id="71" w:name="page72"/>
    <w:bookmarkEnd w:id="71"/>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any Party or its Subsidiaries to waive the attorney-client privilege or attorney work product privilege, or violate any applicable Law or agreement;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200"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5.4</w:t>
      </w:r>
      <w:r>
        <w:rPr>
          <w:sz w:val="20"/>
          <w:szCs w:val="20"/>
          <w:color w:val="auto"/>
        </w:rPr>
        <w:tab/>
      </w:r>
      <w:r>
        <w:rPr>
          <w:rFonts w:ascii="Arial" w:cs="Arial" w:eastAsia="Arial" w:hAnsi="Arial"/>
          <w:sz w:val="11"/>
          <w:szCs w:val="11"/>
          <w:u w:val="single" w:color="auto"/>
          <w:color w:val="auto"/>
        </w:rPr>
        <w:t>No Solicitation</w:t>
      </w:r>
    </w:p>
    <w:p>
      <w:pPr>
        <w:spacing w:after="0" w:line="79" w:lineRule="exact"/>
        <w:rPr>
          <w:sz w:val="20"/>
          <w:szCs w:val="20"/>
          <w:color w:val="auto"/>
        </w:rPr>
      </w:pPr>
    </w:p>
    <w:p>
      <w:pPr>
        <w:ind w:left="840" w:right="819" w:firstLine="654"/>
        <w:spacing w:after="0" w:line="276" w:lineRule="auto"/>
        <w:tabs>
          <w:tab w:leader="none" w:pos="1757" w:val="left"/>
        </w:tabs>
        <w:numPr>
          <w:ilvl w:val="0"/>
          <w:numId w:val="96"/>
        </w:numPr>
        <w:rPr>
          <w:rFonts w:ascii="Arial" w:cs="Arial" w:eastAsia="Arial" w:hAnsi="Arial"/>
          <w:sz w:val="11"/>
          <w:szCs w:val="11"/>
          <w:color w:val="auto"/>
        </w:rPr>
      </w:pPr>
      <w:r>
        <w:rPr>
          <w:rFonts w:ascii="Arial" w:cs="Arial" w:eastAsia="Arial" w:hAnsi="Arial"/>
          <w:sz w:val="11"/>
          <w:szCs w:val="11"/>
          <w:color w:val="auto"/>
        </w:rPr>
        <w:t xml:space="preserve">Each of Zordich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6.3</w:t>
      </w:r>
      <w:r>
        <w:rPr>
          <w:rFonts w:ascii="Arial" w:cs="Arial" w:eastAsia="Arial" w:hAnsi="Arial"/>
          <w:sz w:val="11"/>
          <w:szCs w:val="11"/>
          <w:color w:val="auto"/>
        </w:rPr>
        <w:t xml:space="preserve">) or (v) execute or enter into any letter of intent or any Contract contemplating or otherwise relating to any Acquisition Transaction; provided, however, that, notwithstanding anything contained in this </w:t>
      </w:r>
      <w:r>
        <w:rPr>
          <w:rFonts w:ascii="Arial" w:cs="Arial" w:eastAsia="Arial" w:hAnsi="Arial"/>
          <w:sz w:val="11"/>
          <w:szCs w:val="11"/>
          <w:u w:val="single" w:color="auto"/>
          <w:color w:val="auto"/>
        </w:rPr>
        <w:t>Section 5.4</w:t>
      </w:r>
      <w:r>
        <w:rPr>
          <w:rFonts w:ascii="Arial" w:cs="Arial" w:eastAsia="Arial" w:hAnsi="Arial"/>
          <w:sz w:val="11"/>
          <w:szCs w:val="11"/>
          <w:color w:val="auto"/>
        </w:rPr>
        <w:t xml:space="preserve"> and subject to compliance with this </w:t>
      </w:r>
      <w:r>
        <w:rPr>
          <w:rFonts w:ascii="Arial" w:cs="Arial" w:eastAsia="Arial" w:hAnsi="Arial"/>
          <w:sz w:val="11"/>
          <w:szCs w:val="11"/>
          <w:u w:val="single" w:color="auto"/>
          <w:color w:val="auto"/>
        </w:rPr>
        <w:t>Section 5.4</w:t>
      </w:r>
      <w:r>
        <w:rPr>
          <w:rFonts w:ascii="Arial" w:cs="Arial" w:eastAsia="Arial" w:hAnsi="Arial"/>
          <w:sz w:val="11"/>
          <w:szCs w:val="11"/>
          <w:color w:val="auto"/>
        </w:rPr>
        <w:t xml:space="preserve">, prior to obtaining the Required Zordich Stockholder Vote, Zordich may furnish non-public information regarding Zordich and its Subsidiaries to, and enter into discussions or negotiations with, any Person in response to a bona fide written Acquisition Proposal by such Person which the Zordich Board determines in good faith, after consultation with Zordich’s financial advisors and outside legal counsel, constitutes, or is reasonably likely to result in, a Superior Offer (and is not withdrawn) if: (A) neither Zordich nor any Representative of Zordich shall have breached this </w:t>
      </w:r>
      <w:r>
        <w:rPr>
          <w:rFonts w:ascii="Arial" w:cs="Arial" w:eastAsia="Arial" w:hAnsi="Arial"/>
          <w:sz w:val="11"/>
          <w:szCs w:val="11"/>
          <w:u w:val="single" w:color="auto"/>
          <w:color w:val="auto"/>
        </w:rPr>
        <w:t>Section 5.4</w:t>
      </w:r>
      <w:r>
        <w:rPr>
          <w:rFonts w:ascii="Arial" w:cs="Arial" w:eastAsia="Arial" w:hAnsi="Arial"/>
          <w:sz w:val="11"/>
          <w:szCs w:val="11"/>
          <w:color w:val="auto"/>
        </w:rPr>
        <w:t xml:space="preserve"> in any material respect, (B) the Zordich Board concludes in good faith based on the advice of outside legal counsel, that the failure to take such action would reasonably be expected to be inconsistent with the Zordich Board’s fiduciary duties under applicable Law, (C) at least two (2) Business Days prior to initially furnishing any such nonpublic information to, or entering into discussions with, such Person, Zordich gives the Company written notice of the identity of such Person and of Zordich’s intention to furnish nonpublic information to, or enter into discussions with, such Person, (D) Zordich receives from such Person an executed Acceptable Confidentiality Agreement and (E) at least two (2) Business Days prior to furnishing any such nonpublic information to such Person, Zoridch furnishes such nonpublic information to the Company (to the extent such information has not been previously furnished by Zordich to the Company). Without limiting the generality of the foregoing, each Party acknowledges and agrees that, in the event any Representative of such Party takes any action that, if taken by such Party, would constitute a breach of this </w:t>
      </w:r>
      <w:r>
        <w:rPr>
          <w:rFonts w:ascii="Arial" w:cs="Arial" w:eastAsia="Arial" w:hAnsi="Arial"/>
          <w:sz w:val="11"/>
          <w:szCs w:val="11"/>
          <w:u w:val="single" w:color="auto"/>
          <w:color w:val="auto"/>
        </w:rPr>
        <w:t>Section 5.4</w:t>
      </w:r>
      <w:r>
        <w:rPr>
          <w:rFonts w:ascii="Arial" w:cs="Arial" w:eastAsia="Arial" w:hAnsi="Arial"/>
          <w:sz w:val="11"/>
          <w:szCs w:val="11"/>
          <w:color w:val="auto"/>
        </w:rPr>
        <w:t xml:space="preserve"> by such Party, the taking of such action by such Representative shall be deemed to constitute a breach of this </w:t>
      </w:r>
      <w:r>
        <w:rPr>
          <w:rFonts w:ascii="Arial" w:cs="Arial" w:eastAsia="Arial" w:hAnsi="Arial"/>
          <w:sz w:val="11"/>
          <w:szCs w:val="11"/>
          <w:u w:val="single" w:color="auto"/>
          <w:color w:val="auto"/>
        </w:rPr>
        <w:t>Section 5.4</w:t>
      </w:r>
      <w:r>
        <w:rPr>
          <w:rFonts w:ascii="Arial" w:cs="Arial" w:eastAsia="Arial" w:hAnsi="Arial"/>
          <w:sz w:val="11"/>
          <w:szCs w:val="11"/>
          <w:color w:val="auto"/>
        </w:rPr>
        <w:t xml:space="preserve"> by such Party for purposes of this Agreement.</w:t>
      </w:r>
    </w:p>
    <w:p>
      <w:pPr>
        <w:spacing w:after="0" w:line="123" w:lineRule="exact"/>
        <w:rPr>
          <w:rFonts w:ascii="Arial" w:cs="Arial" w:eastAsia="Arial" w:hAnsi="Arial"/>
          <w:sz w:val="11"/>
          <w:szCs w:val="11"/>
          <w:color w:val="auto"/>
        </w:rPr>
      </w:pPr>
    </w:p>
    <w:p>
      <w:pPr>
        <w:ind w:left="1760" w:hanging="266"/>
        <w:spacing w:after="0"/>
        <w:tabs>
          <w:tab w:leader="none" w:pos="1760" w:val="left"/>
        </w:tabs>
        <w:numPr>
          <w:ilvl w:val="0"/>
          <w:numId w:val="96"/>
        </w:numPr>
        <w:rPr>
          <w:rFonts w:ascii="Arial" w:cs="Arial" w:eastAsia="Arial" w:hAnsi="Arial"/>
          <w:sz w:val="11"/>
          <w:szCs w:val="11"/>
          <w:color w:val="auto"/>
        </w:rPr>
      </w:pPr>
      <w:r>
        <w:rPr>
          <w:rFonts w:ascii="Arial" w:cs="Arial" w:eastAsia="Arial" w:hAnsi="Arial"/>
          <w:sz w:val="11"/>
          <w:szCs w:val="11"/>
          <w:color w:val="auto"/>
        </w:rPr>
        <w:t>If any Party or any Representative of such Party receives an Acquisition Proposal or Acquisition Inquiry at any time during the</w:t>
      </w:r>
    </w:p>
    <w:p>
      <w:pPr>
        <w:spacing w:after="0" w:line="27" w:lineRule="exact"/>
        <w:rPr>
          <w:sz w:val="20"/>
          <w:szCs w:val="20"/>
          <w:color w:val="auto"/>
        </w:rPr>
      </w:pPr>
    </w:p>
    <w:p>
      <w:pPr>
        <w:ind w:left="840" w:right="899"/>
        <w:spacing w:after="0" w:line="254" w:lineRule="auto"/>
        <w:rPr>
          <w:sz w:val="20"/>
          <w:szCs w:val="20"/>
          <w:color w:val="auto"/>
        </w:rPr>
      </w:pPr>
      <w:r>
        <w:rPr>
          <w:rFonts w:ascii="Arial" w:cs="Arial" w:eastAsia="Arial" w:hAnsi="Arial"/>
          <w:sz w:val="12"/>
          <w:szCs w:val="12"/>
          <w:color w:val="auto"/>
        </w:rPr>
        <w:t>Pre-Closing Period, then such Party shall promptly (and in no event later than one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9019"/>
          </w:cols>
          <w:pgMar w:left="1440" w:top="230" w:right="1440" w:bottom="1440" w:gutter="0" w:footer="0" w:header="0"/>
        </w:sectPr>
      </w:pPr>
    </w:p>
    <w:bookmarkStart w:id="72" w:name="page73"/>
    <w:bookmarkEnd w:id="72"/>
    <w:p>
      <w:pPr>
        <w:ind w:left="840" w:right="939" w:firstLine="654"/>
        <w:spacing w:after="0" w:line="264" w:lineRule="auto"/>
        <w:tabs>
          <w:tab w:leader="none" w:pos="1757" w:val="left"/>
        </w:tabs>
        <w:numPr>
          <w:ilvl w:val="0"/>
          <w:numId w:val="9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22" w:lineRule="exact"/>
        <w:rPr>
          <w:sz w:val="20"/>
          <w:szCs w:val="20"/>
          <w:color w:val="auto"/>
        </w:rPr>
      </w:pPr>
    </w:p>
    <w:p>
      <w:pPr>
        <w:ind w:left="840" w:right="859" w:firstLine="295"/>
        <w:spacing w:after="0" w:line="308" w:lineRule="auto"/>
        <w:rPr>
          <w:sz w:val="20"/>
          <w:szCs w:val="20"/>
          <w:color w:val="auto"/>
        </w:rPr>
      </w:pPr>
      <w:r>
        <w:rPr>
          <w:rFonts w:ascii="Arial" w:cs="Arial" w:eastAsia="Arial" w:hAnsi="Arial"/>
          <w:sz w:val="10"/>
          <w:szCs w:val="10"/>
          <w:color w:val="auto"/>
        </w:rPr>
        <w:t xml:space="preserve">5.5 </w:t>
      </w:r>
      <w:r>
        <w:rPr>
          <w:rFonts w:ascii="Arial" w:cs="Arial" w:eastAsia="Arial" w:hAnsi="Arial"/>
          <w:sz w:val="10"/>
          <w:szCs w:val="10"/>
          <w:u w:val="single" w:color="auto"/>
          <w:color w:val="auto"/>
        </w:rPr>
        <w:t>Notification of Certain Matters</w:t>
      </w:r>
      <w:r>
        <w:rPr>
          <w:rFonts w:ascii="Arial" w:cs="Arial" w:eastAsia="Arial" w:hAnsi="Arial"/>
          <w:sz w:val="10"/>
          <w:szCs w:val="10"/>
          <w:color w:val="auto"/>
        </w:rPr>
        <w:t xml:space="preserve">. During the Pre-Closing Period, each of the Company, on the one hand, and Zordich,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Arial" w:cs="Arial" w:eastAsia="Arial" w:hAnsi="Arial"/>
          <w:sz w:val="10"/>
          <w:szCs w:val="10"/>
          <w:u w:val="single" w:color="auto"/>
          <w:color w:val="auto"/>
        </w:rPr>
        <w:t>Sections 7</w:t>
      </w:r>
      <w:r>
        <w:rPr>
          <w:rFonts w:ascii="Arial" w:cs="Arial" w:eastAsia="Arial" w:hAnsi="Arial"/>
          <w:sz w:val="10"/>
          <w:szCs w:val="10"/>
          <w:color w:val="auto"/>
        </w:rPr>
        <w:t xml:space="preserve">, </w:t>
      </w:r>
      <w:r>
        <w:rPr>
          <w:rFonts w:ascii="Arial" w:cs="Arial" w:eastAsia="Arial" w:hAnsi="Arial"/>
          <w:sz w:val="10"/>
          <w:szCs w:val="10"/>
          <w:u w:val="single" w:color="auto"/>
          <w:color w:val="auto"/>
        </w:rPr>
        <w:t>8</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9</w:t>
      </w:r>
      <w:r>
        <w:rPr>
          <w:rFonts w:ascii="Arial" w:cs="Arial" w:eastAsia="Arial" w:hAnsi="Arial"/>
          <w:sz w:val="10"/>
          <w:szCs w:val="10"/>
          <w:color w:val="auto"/>
        </w:rPr>
        <w:t xml:space="preserve">, as applicable, impossible or materially less likely. No such notice shall be deemed to supplement or amend the Company Disclosure Schedule or the Zordich Disclosure Schedule for the purpose of (x) determining the accuracy of any of the representations and warranties made by the Company in this Agreement or (y) determining whether any condition set forth in </w:t>
      </w:r>
      <w:r>
        <w:rPr>
          <w:rFonts w:ascii="Arial" w:cs="Arial" w:eastAsia="Arial" w:hAnsi="Arial"/>
          <w:sz w:val="10"/>
          <w:szCs w:val="10"/>
          <w:u w:val="single" w:color="auto"/>
          <w:color w:val="auto"/>
        </w:rPr>
        <w:t>Section 7</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8</w:t>
      </w:r>
      <w:r>
        <w:rPr>
          <w:rFonts w:ascii="Arial" w:cs="Arial" w:eastAsia="Arial" w:hAnsi="Arial"/>
          <w:sz w:val="10"/>
          <w:szCs w:val="10"/>
          <w:color w:val="auto"/>
        </w:rPr>
        <w:t xml:space="preserve"> has been satisfied. During the Pre-Closing Period, if the Company becomes aware of any significant matter related to the Company’s Phase 1 trials or any other toxicology study, the Company shall promptly (and in any event within 48 hours) notify Zordich of the same. Any failure by either Party to provide notice pursuant to this </w:t>
      </w:r>
      <w:r>
        <w:rPr>
          <w:rFonts w:ascii="Arial" w:cs="Arial" w:eastAsia="Arial" w:hAnsi="Arial"/>
          <w:sz w:val="10"/>
          <w:szCs w:val="10"/>
          <w:u w:val="single" w:color="auto"/>
          <w:color w:val="auto"/>
        </w:rPr>
        <w:t>Section 5.5</w:t>
      </w:r>
      <w:r>
        <w:rPr>
          <w:rFonts w:ascii="Arial" w:cs="Arial" w:eastAsia="Arial" w:hAnsi="Arial"/>
          <w:sz w:val="10"/>
          <w:szCs w:val="10"/>
          <w:color w:val="auto"/>
        </w:rPr>
        <w:t xml:space="preserve"> shall not be deemed to be a breach for purposes of </w:t>
      </w:r>
      <w:r>
        <w:rPr>
          <w:rFonts w:ascii="Arial" w:cs="Arial" w:eastAsia="Arial" w:hAnsi="Arial"/>
          <w:sz w:val="10"/>
          <w:szCs w:val="10"/>
          <w:u w:val="single" w:color="auto"/>
          <w:color w:val="auto"/>
        </w:rPr>
        <w:t>Section 8.2</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9.2</w:t>
      </w:r>
      <w:r>
        <w:rPr>
          <w:rFonts w:ascii="Arial" w:cs="Arial" w:eastAsia="Arial" w:hAnsi="Arial"/>
          <w:sz w:val="10"/>
          <w:szCs w:val="10"/>
          <w:color w:val="auto"/>
        </w:rPr>
        <w:t>, as applicable, unless such failure to provide such notice was knowing and intentional.</w:t>
      </w:r>
    </w:p>
    <w:p>
      <w:pPr>
        <w:spacing w:after="0" w:line="324"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2"/>
          <w:szCs w:val="12"/>
          <w:color w:val="auto"/>
        </w:rPr>
        <w:t>Section 6.</w:t>
      </w:r>
      <w:r>
        <w:rPr>
          <w:sz w:val="20"/>
          <w:szCs w:val="20"/>
          <w:color w:val="auto"/>
        </w:rPr>
        <w:tab/>
      </w:r>
      <w:r>
        <w:rPr>
          <w:rFonts w:ascii="Arial" w:cs="Arial" w:eastAsia="Arial" w:hAnsi="Arial"/>
          <w:sz w:val="11"/>
          <w:szCs w:val="11"/>
          <w:u w:val="single" w:color="auto"/>
          <w:color w:val="auto"/>
        </w:rPr>
        <w:t>Additional Agreements of the Parties</w:t>
      </w:r>
    </w:p>
    <w:p>
      <w:pPr>
        <w:spacing w:after="0" w:line="79"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6.1</w:t>
      </w:r>
      <w:r>
        <w:rPr>
          <w:sz w:val="20"/>
          <w:szCs w:val="20"/>
          <w:color w:val="auto"/>
        </w:rPr>
        <w:tab/>
      </w:r>
      <w:r>
        <w:rPr>
          <w:rFonts w:ascii="Arial" w:cs="Arial" w:eastAsia="Arial" w:hAnsi="Arial"/>
          <w:sz w:val="10"/>
          <w:szCs w:val="10"/>
          <w:u w:val="single" w:color="auto"/>
          <w:color w:val="auto"/>
        </w:rPr>
        <w:t>Proxy Statement</w:t>
      </w:r>
      <w:r>
        <w:rPr>
          <w:rFonts w:ascii="Arial" w:cs="Arial" w:eastAsia="Arial" w:hAnsi="Arial"/>
          <w:sz w:val="10"/>
          <w:szCs w:val="10"/>
          <w:color w:val="auto"/>
        </w:rPr>
        <w:t>.</w:t>
      </w:r>
    </w:p>
    <w:p>
      <w:pPr>
        <w:spacing w:after="0" w:line="79" w:lineRule="exact"/>
        <w:rPr>
          <w:sz w:val="20"/>
          <w:szCs w:val="20"/>
          <w:color w:val="auto"/>
        </w:rPr>
      </w:pPr>
    </w:p>
    <w:p>
      <w:pPr>
        <w:ind w:left="840" w:right="819" w:firstLine="654"/>
        <w:spacing w:after="0" w:line="280" w:lineRule="auto"/>
        <w:tabs>
          <w:tab w:leader="none" w:pos="1750" w:val="left"/>
        </w:tabs>
        <w:numPr>
          <w:ilvl w:val="0"/>
          <w:numId w:val="98"/>
        </w:numPr>
        <w:rPr>
          <w:rFonts w:ascii="Arial" w:cs="Arial" w:eastAsia="Arial" w:hAnsi="Arial"/>
          <w:sz w:val="11"/>
          <w:szCs w:val="11"/>
          <w:color w:val="auto"/>
        </w:rPr>
      </w:pPr>
      <w:r>
        <w:rPr>
          <w:rFonts w:ascii="Arial" w:cs="Arial" w:eastAsia="Arial" w:hAnsi="Arial"/>
          <w:sz w:val="11"/>
          <w:szCs w:val="11"/>
          <w:color w:val="auto"/>
        </w:rPr>
        <w:t>As promptly as practicable after the date of this Agreement, Zordich shall prepare, and following receipt of the Company Audited Financial Statements, file with the SEC a proxy statement relating to the Zordich Stockholder Meeting to be held in connection with the Merger (together with any amendments thereof or supplements thereto, the “</w:t>
      </w:r>
      <w:r>
        <w:rPr>
          <w:rFonts w:ascii="Arial" w:cs="Arial" w:eastAsia="Arial" w:hAnsi="Arial"/>
          <w:sz w:val="11"/>
          <w:szCs w:val="11"/>
          <w:b w:val="1"/>
          <w:bCs w:val="1"/>
          <w:color w:val="auto"/>
        </w:rPr>
        <w:t>Proxy Statement</w:t>
      </w:r>
      <w:r>
        <w:rPr>
          <w:rFonts w:ascii="Arial" w:cs="Arial" w:eastAsia="Arial" w:hAnsi="Arial"/>
          <w:sz w:val="11"/>
          <w:szCs w:val="11"/>
          <w:color w:val="auto"/>
        </w:rPr>
        <w:t>”). Each of the Parties shall reasonably cooperate with the other party and furnish, and cause its Representatives to furnish all information concerning itself and their Affiliates, as applicable, to the other Parties as the other Parties may reasonably request in connection with such actions and the preparation of the Proxy Statement. Without limiting the foregoing, each of Zordich and the Company will use commercially reasonable efforts to cause to be delivered to Zordich and the Company a letter of such company’s independent accounting firm, dated no more than two (2) Business Days before the date on which the definitive Proxy Statement is filed with the SEC (and reasonably satisfactory in form and substance to Zordich and the Company), that is customary in scope and substance for letters delivered by independent public accountants in connection with proxy statements similar to the Proxy Statement.</w:t>
      </w:r>
    </w:p>
    <w:p>
      <w:pPr>
        <w:spacing w:after="0" w:line="116" w:lineRule="exact"/>
        <w:rPr>
          <w:rFonts w:ascii="Arial" w:cs="Arial" w:eastAsia="Arial" w:hAnsi="Arial"/>
          <w:sz w:val="11"/>
          <w:szCs w:val="11"/>
          <w:color w:val="auto"/>
        </w:rPr>
      </w:pPr>
    </w:p>
    <w:p>
      <w:pPr>
        <w:ind w:left="840" w:right="819" w:firstLine="654"/>
        <w:spacing w:after="0" w:line="282" w:lineRule="auto"/>
        <w:tabs>
          <w:tab w:leader="none" w:pos="1764" w:val="left"/>
        </w:tabs>
        <w:numPr>
          <w:ilvl w:val="0"/>
          <w:numId w:val="98"/>
        </w:numPr>
        <w:rPr>
          <w:rFonts w:ascii="Arial" w:cs="Arial" w:eastAsia="Arial" w:hAnsi="Arial"/>
          <w:sz w:val="11"/>
          <w:szCs w:val="11"/>
          <w:color w:val="auto"/>
        </w:rPr>
      </w:pPr>
      <w:r>
        <w:rPr>
          <w:rFonts w:ascii="Arial" w:cs="Arial" w:eastAsia="Arial" w:hAnsi="Arial"/>
          <w:sz w:val="11"/>
          <w:szCs w:val="11"/>
          <w:color w:val="auto"/>
        </w:rPr>
        <w:t>Zordich covenants and agrees that the Proxy Statement (and the letter to stockholders, notice of meeting and form of proxy included therewith) will (i) comply as to form in all material respects with the requirements of applicable U.S. federal securities laws and the DGCL, and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or its Affiliates, to Zordich for inclusion in the Proxy Statement (including the Company Audited Financial Statements) will not contain any untrue statement of a material fact or omit to state any material fact required to be stated therein or necessary in order to make such information, in light of the circumstances under</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9019"/>
          </w:cols>
          <w:pgMar w:left="1440" w:top="230" w:right="1440" w:bottom="1440" w:gutter="0" w:footer="0" w:header="0"/>
        </w:sectPr>
      </w:pPr>
    </w:p>
    <w:bookmarkStart w:id="73" w:name="page74"/>
    <w:bookmarkEnd w:id="73"/>
    <w:p>
      <w:pPr>
        <w:ind w:left="840" w:right="1039"/>
        <w:spacing w:after="0" w:line="26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which they were made, not misleading. Notwithstanding the foregoing, neither party makes any covenant, representation or warranty with respect to statements made in the Proxy Statement (and the letter to stockholders, notice of meeting and form of proxy included therewith), if any, based on information provided by the other party or its Subsidiaries or any of their Representatives regarding such other party or its Affiliates, for inclusion therein.</w:t>
      </w:r>
    </w:p>
    <w:p>
      <w:pPr>
        <w:spacing w:after="0" w:line="124" w:lineRule="exact"/>
        <w:rPr>
          <w:sz w:val="20"/>
          <w:szCs w:val="20"/>
          <w:color w:val="auto"/>
        </w:rPr>
      </w:pPr>
    </w:p>
    <w:p>
      <w:pPr>
        <w:ind w:left="840" w:right="819" w:firstLine="654"/>
        <w:spacing w:after="0" w:line="281" w:lineRule="auto"/>
        <w:tabs>
          <w:tab w:leader="none" w:pos="1757" w:val="left"/>
        </w:tabs>
        <w:numPr>
          <w:ilvl w:val="0"/>
          <w:numId w:val="99"/>
        </w:numPr>
        <w:rPr>
          <w:rFonts w:ascii="Arial" w:cs="Arial" w:eastAsia="Arial" w:hAnsi="Arial"/>
          <w:sz w:val="11"/>
          <w:szCs w:val="11"/>
          <w:color w:val="auto"/>
        </w:rPr>
      </w:pPr>
      <w:r>
        <w:rPr>
          <w:rFonts w:ascii="Arial" w:cs="Arial" w:eastAsia="Arial" w:hAnsi="Arial"/>
          <w:sz w:val="11"/>
          <w:szCs w:val="11"/>
          <w:color w:val="auto"/>
        </w:rPr>
        <w:t>Zordich shall use commercially reasonable efforts to cause the Proxy Statement to be mailed to Zordich’s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Zordich, Merger Sub or the Company become aware of any event or information that, pursuant to the Securities Act or the Exchange Act, should be disclosed in an amendment or supplement to the Proxy Statement, as the case may be, then such Party, as the case may be, shall promptly inform the other Parties thereof and shall cooperate with such other Parties in Zordich filing such amendment or supplement with the SEC and, if appropriate, in mailing such amendment or supplement to the Zordich stockholders.</w:t>
      </w:r>
    </w:p>
    <w:p>
      <w:pPr>
        <w:spacing w:after="0" w:line="115" w:lineRule="exact"/>
        <w:rPr>
          <w:rFonts w:ascii="Arial" w:cs="Arial" w:eastAsia="Arial" w:hAnsi="Arial"/>
          <w:sz w:val="11"/>
          <w:szCs w:val="11"/>
          <w:color w:val="auto"/>
        </w:rPr>
      </w:pPr>
    </w:p>
    <w:p>
      <w:pPr>
        <w:ind w:left="840" w:right="899" w:firstLine="654"/>
        <w:spacing w:after="0" w:line="264" w:lineRule="auto"/>
        <w:tabs>
          <w:tab w:leader="none" w:pos="1761"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Company shall reasonably cooperate with Zordich and provide, and cause its Representatives to provide, Zordich and its Representatives, with all true, correct and complete information regarding the Company or its Subsidiaries that is required by Law to be included in the Proxy Statement or reasonably requested by Zordich to be included in the Proxy Statement.</w:t>
      </w:r>
    </w:p>
    <w:p>
      <w:pPr>
        <w:spacing w:after="0" w:line="122" w:lineRule="exact"/>
        <w:rPr>
          <w:rFonts w:ascii="Arial" w:cs="Arial" w:eastAsia="Arial" w:hAnsi="Arial"/>
          <w:sz w:val="12"/>
          <w:szCs w:val="12"/>
          <w:color w:val="auto"/>
        </w:rPr>
      </w:pPr>
    </w:p>
    <w:p>
      <w:pPr>
        <w:ind w:left="840" w:right="819" w:firstLine="654"/>
        <w:spacing w:after="0" w:line="278" w:lineRule="auto"/>
        <w:tabs>
          <w:tab w:leader="none" w:pos="1750" w:val="left"/>
        </w:tabs>
        <w:numPr>
          <w:ilvl w:val="0"/>
          <w:numId w:val="99"/>
        </w:numPr>
        <w:rPr>
          <w:rFonts w:ascii="Arial" w:cs="Arial" w:eastAsia="Arial" w:hAnsi="Arial"/>
          <w:sz w:val="11"/>
          <w:szCs w:val="11"/>
          <w:color w:val="auto"/>
        </w:rPr>
      </w:pPr>
      <w:r>
        <w:rPr>
          <w:rFonts w:ascii="Arial" w:cs="Arial" w:eastAsia="Arial" w:hAnsi="Arial"/>
          <w:sz w:val="11"/>
          <w:szCs w:val="11"/>
          <w:color w:val="auto"/>
        </w:rPr>
        <w:t>As promptly as reasonably practicable following the date of this Agreement (i) the Company will furnish to Zordich audited financial statements for each of its fiscal years required to be included in the Proxy Statement (the “</w:t>
      </w:r>
      <w:r>
        <w:rPr>
          <w:rFonts w:ascii="Arial" w:cs="Arial" w:eastAsia="Arial" w:hAnsi="Arial"/>
          <w:sz w:val="11"/>
          <w:szCs w:val="11"/>
          <w:b w:val="1"/>
          <w:bCs w:val="1"/>
          <w:color w:val="auto"/>
        </w:rPr>
        <w:t>Company Audited Financial Statements</w:t>
      </w:r>
      <w:r>
        <w:rPr>
          <w:rFonts w:ascii="Arial" w:cs="Arial" w:eastAsia="Arial" w:hAnsi="Arial"/>
          <w:sz w:val="11"/>
          <w:szCs w:val="11"/>
          <w:color w:val="auto"/>
        </w:rPr>
        <w:t>”) and (ii) the Company will furnish to Zordich unaudited interim financial statements for each interim period completed prior to Closing that would be required to be included in the Proxy Statement or any periodic report due prior to the Closing if the Company were subject to the periodic reporting requirements under the Securities Act or the Exchange Act (the “</w:t>
      </w:r>
      <w:r>
        <w:rPr>
          <w:rFonts w:ascii="Arial" w:cs="Arial" w:eastAsia="Arial" w:hAnsi="Arial"/>
          <w:sz w:val="11"/>
          <w:szCs w:val="11"/>
          <w:b w:val="1"/>
          <w:bCs w:val="1"/>
          <w:color w:val="auto"/>
        </w:rPr>
        <w:t>Company Interim Financial Statements</w:t>
      </w:r>
      <w:r>
        <w:rPr>
          <w:rFonts w:ascii="Arial" w:cs="Arial" w:eastAsia="Arial" w:hAnsi="Arial"/>
          <w:sz w:val="11"/>
          <w:szCs w:val="11"/>
          <w:color w:val="auto"/>
        </w:rPr>
        <w:t>”). Each of the Company Audited Financial Statements and the Company Interim Financial Statements, and all financial statements of Zordich to be included in the Proxy Statement, will be suitable for inclusion in the Proxy Statement and prepared in accordance with GAAP as applied on a consistent basis (unless otherwise noted therein throughout the periods indicated) during the periods involved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and on that basis will present fairly, in all material respects, the financial position and the results of operations, and cash flows of the Company or Zordich, as applicable, as of the dates of and for the periods referred to therein.</w:t>
      </w:r>
    </w:p>
    <w:p>
      <w:pPr>
        <w:spacing w:after="0" w:line="119" w:lineRule="exact"/>
        <w:rPr>
          <w:rFonts w:ascii="Arial" w:cs="Arial" w:eastAsia="Arial" w:hAnsi="Arial"/>
          <w:sz w:val="11"/>
          <w:szCs w:val="11"/>
          <w:color w:val="auto"/>
        </w:rPr>
      </w:pPr>
    </w:p>
    <w:p>
      <w:pPr>
        <w:ind w:left="840" w:right="959" w:firstLine="654"/>
        <w:spacing w:after="0" w:line="264" w:lineRule="auto"/>
        <w:tabs>
          <w:tab w:leader="none" w:pos="1744" w:val="left"/>
        </w:tabs>
        <w:numPr>
          <w:ilvl w:val="0"/>
          <w:numId w:val="99"/>
        </w:numPr>
        <w:rPr>
          <w:rFonts w:ascii="Arial" w:cs="Arial" w:eastAsia="Arial" w:hAnsi="Arial"/>
          <w:sz w:val="12"/>
          <w:szCs w:val="12"/>
          <w:color w:val="auto"/>
        </w:rPr>
      </w:pPr>
      <w:r>
        <w:rPr>
          <w:rFonts w:ascii="Arial" w:cs="Arial" w:eastAsia="Arial" w:hAnsi="Arial"/>
          <w:sz w:val="12"/>
          <w:szCs w:val="12"/>
          <w:color w:val="auto"/>
        </w:rPr>
        <w:t>Prior to the Effective Time, Zordich shall use commercially reasonable efforts to ensure that the issuance of the Zordich Common Stock in the Merger will be exempt from registration pursuant to Section 4(2) of the Securities Act and from registration or qualification requirements under applicable state securities laws.</w:t>
      </w:r>
    </w:p>
    <w:p>
      <w:pPr>
        <w:spacing w:after="0" w:line="122" w:lineRule="exact"/>
        <w:rPr>
          <w:rFonts w:ascii="Arial" w:cs="Arial" w:eastAsia="Arial" w:hAnsi="Arial"/>
          <w:sz w:val="12"/>
          <w:szCs w:val="12"/>
          <w:color w:val="auto"/>
        </w:rPr>
      </w:pPr>
    </w:p>
    <w:p>
      <w:pPr>
        <w:ind w:left="840" w:right="959" w:firstLine="654"/>
        <w:spacing w:after="0" w:line="324" w:lineRule="auto"/>
        <w:tabs>
          <w:tab w:leader="none" w:pos="1764" w:val="left"/>
        </w:tabs>
        <w:numPr>
          <w:ilvl w:val="0"/>
          <w:numId w:val="99"/>
        </w:numPr>
        <w:rPr>
          <w:rFonts w:ascii="Arial" w:cs="Arial" w:eastAsia="Arial" w:hAnsi="Arial"/>
          <w:sz w:val="11"/>
          <w:szCs w:val="11"/>
          <w:color w:val="auto"/>
        </w:rPr>
      </w:pPr>
      <w:r>
        <w:rPr>
          <w:rFonts w:ascii="Arial" w:cs="Arial" w:eastAsia="Arial" w:hAnsi="Arial"/>
          <w:sz w:val="11"/>
          <w:szCs w:val="11"/>
          <w:color w:val="auto"/>
        </w:rPr>
        <w:t>Each Party shall bear its own fees and expenses in connection with preparation of the Proxy, solicitation of proxies and the Zordich Shareholder Meeting. Zordich shall retain, and be responsible for the fees and expenses of, a nationally-recognized proxy solicitor, to be</w:t>
      </w: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9019"/>
          </w:cols>
          <w:pgMar w:left="1440" w:top="230" w:right="1440" w:bottom="1440" w:gutter="0" w:footer="0" w:header="0"/>
        </w:sectPr>
      </w:pPr>
    </w:p>
    <w:bookmarkStart w:id="74" w:name="page75"/>
    <w:bookmarkEnd w:id="74"/>
    <w:p>
      <w:pPr>
        <w:jc w:val="both"/>
        <w:ind w:left="840" w:right="109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retained in connection with the solicitation of proxies for the Zordich Shareholder Meeting. Zordich shall also be responsible for all filing fees and printing, mailing and other costs incurred in connection with preparation and filing of the Proxy with the SEC and the solicitation of proxies for the Zordich Shareholder Meeting.</w:t>
      </w:r>
    </w:p>
    <w:p>
      <w:pPr>
        <w:spacing w:after="0" w:line="19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1"/>
          <w:szCs w:val="11"/>
          <w:u w:val="single" w:color="auto"/>
          <w:color w:val="auto"/>
        </w:rPr>
        <w:t>Intentionally Omitted</w:t>
      </w:r>
    </w:p>
    <w:p>
      <w:pPr>
        <w:spacing w:after="0" w:line="79"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6.3</w:t>
      </w:r>
      <w:r>
        <w:rPr>
          <w:sz w:val="20"/>
          <w:szCs w:val="20"/>
          <w:color w:val="auto"/>
        </w:rPr>
        <w:tab/>
      </w:r>
      <w:r>
        <w:rPr>
          <w:rFonts w:ascii="Arial" w:cs="Arial" w:eastAsia="Arial" w:hAnsi="Arial"/>
          <w:sz w:val="11"/>
          <w:szCs w:val="11"/>
          <w:u w:val="single" w:color="auto"/>
          <w:color w:val="auto"/>
        </w:rPr>
        <w:t>Zordich Stockholder Meeting</w:t>
      </w:r>
      <w:r>
        <w:rPr>
          <w:rFonts w:ascii="Arial" w:cs="Arial" w:eastAsia="Arial" w:hAnsi="Arial"/>
          <w:sz w:val="11"/>
          <w:szCs w:val="11"/>
          <w:color w:val="auto"/>
        </w:rPr>
        <w:t>.</w:t>
      </w:r>
    </w:p>
    <w:p>
      <w:pPr>
        <w:spacing w:after="0" w:line="79" w:lineRule="exact"/>
        <w:rPr>
          <w:sz w:val="20"/>
          <w:szCs w:val="20"/>
          <w:color w:val="auto"/>
        </w:rPr>
      </w:pPr>
    </w:p>
    <w:p>
      <w:pPr>
        <w:ind w:left="840" w:right="839" w:firstLine="654"/>
        <w:spacing w:after="0" w:line="277" w:lineRule="auto"/>
        <w:tabs>
          <w:tab w:leader="none" w:pos="1757" w:val="left"/>
        </w:tabs>
        <w:numPr>
          <w:ilvl w:val="0"/>
          <w:numId w:val="100"/>
        </w:numPr>
        <w:rPr>
          <w:rFonts w:ascii="Arial" w:cs="Arial" w:eastAsia="Arial" w:hAnsi="Arial"/>
          <w:sz w:val="11"/>
          <w:szCs w:val="11"/>
          <w:color w:val="auto"/>
        </w:rPr>
      </w:pPr>
      <w:r>
        <w:rPr>
          <w:rFonts w:ascii="Arial" w:cs="Arial" w:eastAsia="Arial" w:hAnsi="Arial"/>
          <w:sz w:val="11"/>
          <w:szCs w:val="11"/>
          <w:color w:val="auto"/>
        </w:rPr>
        <w:t>Zordich shall take all action necessary under applicable Law to call, give notice of and hold a meeting of the holders of Zordich Common Stock to consider and vote to approve this Agreement and the Contemplated Transactions, including the issuance of the shares of Zordich Common Stock to the stockholders of the Company pursuant to the terms of this Agreement, and, if deemed necessary by the Parties, an amendment to Zordich’s certificate of incorporation to effect the Zordich Reverse Stock Split (collectively, the “</w:t>
      </w:r>
      <w:r>
        <w:rPr>
          <w:rFonts w:ascii="Arial" w:cs="Arial" w:eastAsia="Arial" w:hAnsi="Arial"/>
          <w:sz w:val="11"/>
          <w:szCs w:val="11"/>
          <w:b w:val="1"/>
          <w:bCs w:val="1"/>
          <w:color w:val="auto"/>
        </w:rPr>
        <w:t>Zordich Stockholder Matters</w:t>
      </w:r>
      <w:r>
        <w:rPr>
          <w:rFonts w:ascii="Arial" w:cs="Arial" w:eastAsia="Arial" w:hAnsi="Arial"/>
          <w:sz w:val="11"/>
          <w:szCs w:val="11"/>
          <w:color w:val="auto"/>
        </w:rPr>
        <w:t>” and such meeting, the “</w:t>
      </w:r>
      <w:r>
        <w:rPr>
          <w:rFonts w:ascii="Arial" w:cs="Arial" w:eastAsia="Arial" w:hAnsi="Arial"/>
          <w:sz w:val="11"/>
          <w:szCs w:val="11"/>
          <w:b w:val="1"/>
          <w:bCs w:val="1"/>
          <w:color w:val="auto"/>
        </w:rPr>
        <w:t>Zordich Stockholder Meeting</w:t>
      </w:r>
      <w:r>
        <w:rPr>
          <w:rFonts w:ascii="Arial" w:cs="Arial" w:eastAsia="Arial" w:hAnsi="Arial"/>
          <w:sz w:val="11"/>
          <w:szCs w:val="11"/>
          <w:color w:val="auto"/>
        </w:rPr>
        <w:t xml:space="preserve">”). The Zordich Stockholder Meeting shall be held as promptly as practicable after the date that the definitive Proxy Statement is filed with the SEC, and in any event no later than forty-five (45) days after such date. Zordich shall take reasonable measures to ensure that all proxies solicited in connection with the Zordich Stockholder Meeting are solicited in compliance with all applicable Law. Notwithstanding anything to the contrary contained herein, if on the date of the Zordich Stockholder Meeting, or a date preceding the date on which the Zordich Stockholder Meeting is scheduled, Zordich reasonably believes that (i) it will not receive proxies sufficient to obtain the Required Zordich Stockholder Vote, whether or not a quorum would be present or (ii) it will not have sufficient shares of Zordich Common Stock represented (whether in person or by proxy) to constitute a quorum necessary to conduct the business of the Zordich Stockholder Meeting, Zordich may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 If on the date of the Zordich Stockholder Meeting, or a date preceding the date on which the Zordich Stockholder Meeting is scheduled, the Parties are unable to negotiate an agreed upon determination of Net Cash or Company Net Cash pursuant to </w:t>
      </w:r>
      <w:r>
        <w:rPr>
          <w:rFonts w:ascii="Arial" w:cs="Arial" w:eastAsia="Arial" w:hAnsi="Arial"/>
          <w:sz w:val="11"/>
          <w:szCs w:val="11"/>
          <w:u w:val="single" w:color="auto"/>
          <w:color w:val="auto"/>
        </w:rPr>
        <w:t>Section 2.8(i)</w:t>
      </w:r>
      <w:r>
        <w:rPr>
          <w:rFonts w:ascii="Arial" w:cs="Arial" w:eastAsia="Arial" w:hAnsi="Arial"/>
          <w:sz w:val="11"/>
          <w:szCs w:val="11"/>
          <w:color w:val="auto"/>
        </w:rPr>
        <w:t>, Zordich will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w:t>
      </w:r>
    </w:p>
    <w:p>
      <w:pPr>
        <w:spacing w:after="0" w:line="118" w:lineRule="exact"/>
        <w:rPr>
          <w:rFonts w:ascii="Arial" w:cs="Arial" w:eastAsia="Arial" w:hAnsi="Arial"/>
          <w:sz w:val="11"/>
          <w:szCs w:val="11"/>
          <w:color w:val="auto"/>
        </w:rPr>
      </w:pPr>
    </w:p>
    <w:p>
      <w:pPr>
        <w:ind w:left="840" w:right="839" w:firstLine="654"/>
        <w:spacing w:after="0" w:line="280" w:lineRule="auto"/>
        <w:tabs>
          <w:tab w:leader="none" w:pos="176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 xml:space="preserve">Zordich agrees that, subject to </w:t>
      </w:r>
      <w:r>
        <w:rPr>
          <w:rFonts w:ascii="Arial" w:cs="Arial" w:eastAsia="Arial" w:hAnsi="Arial"/>
          <w:sz w:val="11"/>
          <w:szCs w:val="11"/>
          <w:u w:val="single" w:color="auto"/>
          <w:color w:val="auto"/>
        </w:rPr>
        <w:t>Section 6.3(c)</w:t>
      </w:r>
      <w:r>
        <w:rPr>
          <w:rFonts w:ascii="Arial" w:cs="Arial" w:eastAsia="Arial" w:hAnsi="Arial"/>
          <w:sz w:val="11"/>
          <w:szCs w:val="11"/>
          <w:color w:val="auto"/>
        </w:rPr>
        <w:t xml:space="preserve">: (i) the Zordich Board shall recommend that the holders of Zordich Common Stock vote to approve the Zordich Stockholder Matters and shall use commercially reasonable efforts to solicit such approval within the timeframe set forth in </w:t>
      </w:r>
      <w:r>
        <w:rPr>
          <w:rFonts w:ascii="Arial" w:cs="Arial" w:eastAsia="Arial" w:hAnsi="Arial"/>
          <w:sz w:val="11"/>
          <w:szCs w:val="11"/>
          <w:u w:val="single" w:color="auto"/>
          <w:color w:val="auto"/>
        </w:rPr>
        <w:t>Section 6.3(a)</w:t>
      </w:r>
      <w:r>
        <w:rPr>
          <w:rFonts w:ascii="Arial" w:cs="Arial" w:eastAsia="Arial" w:hAnsi="Arial"/>
          <w:sz w:val="11"/>
          <w:szCs w:val="11"/>
          <w:color w:val="auto"/>
        </w:rPr>
        <w:t xml:space="preserve"> above, (ii) the Proxy Statement shall include a statement to the effect that the Zordich Board recommends that Zordich’s stockholders vote to approve the Zordich Stockholder Matters (the recommendation of the Zordich Board being referred to as the “</w:t>
      </w:r>
      <w:r>
        <w:rPr>
          <w:rFonts w:ascii="Arial" w:cs="Arial" w:eastAsia="Arial" w:hAnsi="Arial"/>
          <w:sz w:val="11"/>
          <w:szCs w:val="11"/>
          <w:b w:val="1"/>
          <w:bCs w:val="1"/>
          <w:color w:val="auto"/>
        </w:rPr>
        <w:t>Zordich Board</w:t>
      </w:r>
      <w:r>
        <w:rPr>
          <w:rFonts w:ascii="Arial" w:cs="Arial" w:eastAsia="Arial" w:hAnsi="Arial"/>
          <w:sz w:val="11"/>
          <w:szCs w:val="11"/>
          <w:color w:val="auto"/>
        </w:rPr>
        <w:t xml:space="preserve"> </w:t>
      </w:r>
      <w:r>
        <w:rPr>
          <w:rFonts w:ascii="Arial" w:cs="Arial" w:eastAsia="Arial" w:hAnsi="Arial"/>
          <w:sz w:val="11"/>
          <w:szCs w:val="11"/>
          <w:b w:val="1"/>
          <w:bCs w:val="1"/>
          <w:color w:val="auto"/>
        </w:rPr>
        <w:t>Recommendation</w:t>
      </w:r>
      <w:r>
        <w:rPr>
          <w:rFonts w:ascii="Arial" w:cs="Arial" w:eastAsia="Arial" w:hAnsi="Arial"/>
          <w:sz w:val="11"/>
          <w:szCs w:val="11"/>
          <w:color w:val="auto"/>
        </w:rPr>
        <w:t>”) and (iii) the Zordich Board Recommendation shall not be withheld, amended, withdrawn or modified (and the Zordich Board shall</w:t>
      </w:r>
      <w:r>
        <w:rPr>
          <w:rFonts w:ascii="Arial" w:cs="Arial" w:eastAsia="Arial" w:hAnsi="Arial"/>
          <w:sz w:val="11"/>
          <w:szCs w:val="11"/>
          <w:b w:val="1"/>
          <w:bCs w:val="1"/>
          <w:color w:val="auto"/>
        </w:rPr>
        <w:t xml:space="preserve"> </w:t>
      </w:r>
      <w:r>
        <w:rPr>
          <w:rFonts w:ascii="Arial" w:cs="Arial" w:eastAsia="Arial" w:hAnsi="Arial"/>
          <w:sz w:val="11"/>
          <w:szCs w:val="11"/>
          <w:color w:val="auto"/>
        </w:rPr>
        <w:t>not publicly propose to withhold, amend, withdraw or modify the Zordich Board Recommendation) in a manner adverse to the Company, and no resolution by the Zordich Board or any committee thereof to withdraw or modify the Zordich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Arial" w:cs="Arial" w:eastAsia="Arial" w:hAnsi="Arial"/>
          <w:sz w:val="11"/>
          <w:szCs w:val="11"/>
          <w:b w:val="1"/>
          <w:bCs w:val="1"/>
          <w:color w:val="auto"/>
        </w:rPr>
        <w:t>Zordich Board Adverse Recommendation Change</w:t>
      </w:r>
      <w:r>
        <w:rPr>
          <w:rFonts w:ascii="Arial" w:cs="Arial" w:eastAsia="Arial" w:hAnsi="Arial"/>
          <w:sz w:val="11"/>
          <w:szCs w:val="11"/>
          <w:color w:val="auto"/>
        </w:rPr>
        <w:t>”).</w:t>
      </w:r>
    </w:p>
    <w:p>
      <w:pPr>
        <w:spacing w:after="0" w:line="116" w:lineRule="exact"/>
        <w:rPr>
          <w:rFonts w:ascii="Arial" w:cs="Arial" w:eastAsia="Arial" w:hAnsi="Arial"/>
          <w:sz w:val="11"/>
          <w:szCs w:val="11"/>
          <w:color w:val="auto"/>
        </w:rPr>
      </w:pPr>
    </w:p>
    <w:p>
      <w:pPr>
        <w:ind w:left="840" w:right="899" w:firstLine="654"/>
        <w:spacing w:after="0" w:line="277" w:lineRule="auto"/>
        <w:tabs>
          <w:tab w:leader="none" w:pos="1757" w:val="left"/>
        </w:tabs>
        <w:numPr>
          <w:ilvl w:val="0"/>
          <w:numId w:val="100"/>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w:t>
      </w:r>
      <w:r>
        <w:rPr>
          <w:rFonts w:ascii="Arial" w:cs="Arial" w:eastAsia="Arial" w:hAnsi="Arial"/>
          <w:sz w:val="12"/>
          <w:szCs w:val="12"/>
          <w:u w:val="single" w:color="auto"/>
          <w:color w:val="auto"/>
        </w:rPr>
        <w:t>Section 6.3(b)</w:t>
      </w:r>
      <w:r>
        <w:rPr>
          <w:rFonts w:ascii="Arial" w:cs="Arial" w:eastAsia="Arial" w:hAnsi="Arial"/>
          <w:sz w:val="12"/>
          <w:szCs w:val="12"/>
          <w:color w:val="auto"/>
        </w:rPr>
        <w:t xml:space="preserve">, and subject to compliance with </w:t>
      </w:r>
      <w:r>
        <w:rPr>
          <w:rFonts w:ascii="Arial" w:cs="Arial" w:eastAsia="Arial" w:hAnsi="Arial"/>
          <w:sz w:val="12"/>
          <w:szCs w:val="12"/>
          <w:u w:val="single" w:color="auto"/>
          <w:color w:val="auto"/>
        </w:rPr>
        <w:t>Section 5.4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6.3</w:t>
      </w:r>
      <w:r>
        <w:rPr>
          <w:rFonts w:ascii="Arial" w:cs="Arial" w:eastAsia="Arial" w:hAnsi="Arial"/>
          <w:sz w:val="12"/>
          <w:szCs w:val="12"/>
          <w:color w:val="auto"/>
        </w:rPr>
        <w:t>, at any time prior to the approval of Zordich</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9019"/>
          </w:cols>
          <w:pgMar w:left="1440" w:top="230" w:right="1440" w:bottom="1440" w:gutter="0" w:footer="0" w:header="0"/>
        </w:sectPr>
      </w:pPr>
    </w:p>
    <w:bookmarkStart w:id="75" w:name="page76"/>
    <w:bookmarkEnd w:id="75"/>
    <w:p>
      <w:pPr>
        <w:ind w:left="840" w:right="819"/>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Stockholder Matters by the Required Zordich Stockholder Vote, Zordich receives a bona fide written Superior Offer, the Zordich Board may make a Zordich Board Adverse Recommendation Change if, but only if, in the receipt of and on account of such Superior Offer, the Zordich Board determines in good faith, based on the advice of its outside legal counsel, that the failure to make a Zordich Board Adverse Recommendation Change would reasonably be expected to be inconsistent with its fiduciary duties under applicable Law; provided that (1) the Company receives written notice from Zordich confirming that the Zordich Board has determined to change its recommendation at least four (4) Business Days in advance of the Zordich Board Adverse Recommendation Change (the “</w:t>
      </w:r>
      <w:r>
        <w:rPr>
          <w:rFonts w:ascii="Arial" w:cs="Arial" w:eastAsia="Arial" w:hAnsi="Arial"/>
          <w:sz w:val="11"/>
          <w:szCs w:val="11"/>
          <w:b w:val="1"/>
          <w:bCs w:val="1"/>
          <w:color w:val="auto"/>
        </w:rPr>
        <w:t>Notice Period</w:t>
      </w:r>
      <w:r>
        <w:rPr>
          <w:rFonts w:ascii="Arial" w:cs="Arial" w:eastAsia="Arial" w:hAnsi="Arial"/>
          <w:sz w:val="11"/>
          <w:szCs w:val="11"/>
          <w:color w:val="auto"/>
        </w:rPr>
        <w:t xml:space="preserve">”), which notice shall include a description in reasonable detail of the reasons for such Zordich Board Adverse Recommendation Change, and written copies of any relevant proposed transaction agreements with any party making a potential Superior Offer, (2) during any Notice Period, the Company shall be entitled to deliver to Zordich one or more counterproposals to such Acquisition Proposal and Zordich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Zordich’s stockholders would receive as a result of such potential Superior Offer), Zordich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Arial" w:cs="Arial" w:eastAsia="Arial" w:hAnsi="Arial"/>
          <w:sz w:val="11"/>
          <w:szCs w:val="11"/>
          <w:u w:val="single" w:color="auto"/>
          <w:color w:val="auto"/>
        </w:rPr>
        <w:t>Section 6.3(c)</w:t>
      </w:r>
      <w:r>
        <w:rPr>
          <w:rFonts w:ascii="Arial" w:cs="Arial" w:eastAsia="Arial" w:hAnsi="Arial"/>
          <w:sz w:val="11"/>
          <w:szCs w:val="11"/>
          <w:color w:val="auto"/>
        </w:rPr>
        <w:t xml:space="preserve"> and the Zordich Board shall not make a Zordich Board Adverse Recommendation Change prior to the end of such Notice Period as so extended (it being understood that there may be multiple extensions).</w:t>
      </w:r>
    </w:p>
    <w:p>
      <w:pPr>
        <w:spacing w:after="0" w:line="120" w:lineRule="exact"/>
        <w:rPr>
          <w:sz w:val="20"/>
          <w:szCs w:val="20"/>
          <w:color w:val="auto"/>
        </w:rPr>
      </w:pPr>
    </w:p>
    <w:p>
      <w:pPr>
        <w:jc w:val="both"/>
        <w:ind w:left="840" w:right="919" w:firstLine="654"/>
        <w:spacing w:after="0" w:line="264" w:lineRule="auto"/>
        <w:tabs>
          <w:tab w:leader="none" w:pos="1764"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Zordich’s obligation to call, give notice of and hold the Zordich Stockholder Meeting in accordance with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shall not be limited or otherwise affected by the commencement, disclosure, announcement or submission of any Superior Offer or Acquisition Proposal, or by any withdrawal or modification of the Zordich Board Recommendation.</w:t>
      </w:r>
    </w:p>
    <w:p>
      <w:pPr>
        <w:spacing w:after="0" w:line="122" w:lineRule="exact"/>
        <w:rPr>
          <w:rFonts w:ascii="Arial" w:cs="Arial" w:eastAsia="Arial" w:hAnsi="Arial"/>
          <w:sz w:val="12"/>
          <w:szCs w:val="12"/>
          <w:color w:val="auto"/>
        </w:rPr>
      </w:pPr>
    </w:p>
    <w:p>
      <w:pPr>
        <w:ind w:left="840" w:right="1059" w:firstLine="654"/>
        <w:spacing w:after="0" w:line="282" w:lineRule="auto"/>
        <w:tabs>
          <w:tab w:leader="none" w:pos="1757" w:val="left"/>
        </w:tabs>
        <w:numPr>
          <w:ilvl w:val="0"/>
          <w:numId w:val="101"/>
        </w:numPr>
        <w:rPr>
          <w:rFonts w:ascii="Arial" w:cs="Arial" w:eastAsia="Arial" w:hAnsi="Arial"/>
          <w:sz w:val="11"/>
          <w:szCs w:val="11"/>
          <w:color w:val="auto"/>
        </w:rPr>
      </w:pPr>
      <w:r>
        <w:rPr>
          <w:rFonts w:ascii="Arial" w:cs="Arial" w:eastAsia="Arial" w:hAnsi="Arial"/>
          <w:sz w:val="11"/>
          <w:szCs w:val="11"/>
          <w:color w:val="auto"/>
        </w:rPr>
        <w:t>Nothing contained in this Agreement shall prohibit Zordich or the Zordich Board from complying with Rules 14d-9 and 14e-2(a) promulgated under the Exchange Act; provided however, that any disclosure made by Zordich or the Zordich Board pursuant to Rules 14d-9 and</w:t>
      </w:r>
    </w:p>
    <w:p>
      <w:pPr>
        <w:ind w:left="840" w:right="959"/>
        <w:spacing w:after="0" w:line="256" w:lineRule="auto"/>
        <w:rPr>
          <w:rFonts w:ascii="Arial" w:cs="Arial" w:eastAsia="Arial" w:hAnsi="Arial"/>
          <w:sz w:val="11"/>
          <w:szCs w:val="11"/>
          <w:color w:val="auto"/>
        </w:rPr>
      </w:pPr>
      <w:r>
        <w:rPr>
          <w:rFonts w:ascii="Arial" w:cs="Arial" w:eastAsia="Arial" w:hAnsi="Arial"/>
          <w:sz w:val="12"/>
          <w:szCs w:val="12"/>
          <w:color w:val="auto"/>
        </w:rPr>
        <w:t>14e-2(a) shall be limited to a statement that Zordich is unable to take a position with respect to the bidder’s tender offer unless the Zordich Board determines in good faith, after consultation with its outside legal counsel, that such statement would reasonably be expected to be inconsistent with its fiduciary duties under applicable Law.</w:t>
      </w:r>
    </w:p>
    <w:p>
      <w:pPr>
        <w:spacing w:after="0" w:line="200"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6.4</w:t>
      </w:r>
      <w:r>
        <w:rPr>
          <w:sz w:val="20"/>
          <w:szCs w:val="20"/>
          <w:color w:val="auto"/>
        </w:rPr>
        <w:tab/>
      </w:r>
      <w:r>
        <w:rPr>
          <w:rFonts w:ascii="Arial" w:cs="Arial" w:eastAsia="Arial" w:hAnsi="Arial"/>
          <w:sz w:val="11"/>
          <w:szCs w:val="11"/>
          <w:u w:val="single" w:color="auto"/>
          <w:color w:val="auto"/>
        </w:rPr>
        <w:t>Best Efforts; Regulatory Approvals; Transaction Litigation</w:t>
      </w:r>
      <w:r>
        <w:rPr>
          <w:rFonts w:ascii="Arial" w:cs="Arial" w:eastAsia="Arial" w:hAnsi="Arial"/>
          <w:sz w:val="11"/>
          <w:szCs w:val="11"/>
          <w:color w:val="auto"/>
        </w:rPr>
        <w:t>.</w:t>
      </w:r>
    </w:p>
    <w:p>
      <w:pPr>
        <w:spacing w:after="0" w:line="79" w:lineRule="exact"/>
        <w:rPr>
          <w:sz w:val="20"/>
          <w:szCs w:val="20"/>
          <w:color w:val="auto"/>
        </w:rPr>
      </w:pPr>
    </w:p>
    <w:p>
      <w:pPr>
        <w:ind w:left="1740" w:hanging="246"/>
        <w:spacing w:after="0"/>
        <w:tabs>
          <w:tab w:leader="none" w:pos="174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The Parties shall use best efforts to consummate the Contemplated Transactions. Without limiting the generality of the foregoing,</w:t>
      </w:r>
    </w:p>
    <w:p>
      <w:pPr>
        <w:spacing w:after="0" w:line="26" w:lineRule="exact"/>
        <w:rPr>
          <w:rFonts w:ascii="Arial" w:cs="Arial" w:eastAsia="Arial" w:hAnsi="Arial"/>
          <w:sz w:val="11"/>
          <w:szCs w:val="11"/>
          <w:color w:val="auto"/>
        </w:rPr>
      </w:pPr>
    </w:p>
    <w:p>
      <w:pPr>
        <w:ind w:left="840" w:right="859"/>
        <w:spacing w:after="0" w:line="254" w:lineRule="auto"/>
        <w:rPr>
          <w:rFonts w:ascii="Arial" w:cs="Arial" w:eastAsia="Arial" w:hAnsi="Arial"/>
          <w:sz w:val="11"/>
          <w:szCs w:val="11"/>
          <w:color w:val="auto"/>
        </w:rPr>
      </w:pPr>
      <w:r>
        <w:rPr>
          <w:rFonts w:ascii="Arial" w:cs="Arial" w:eastAsia="Arial" w:hAnsi="Arial"/>
          <w:sz w:val="12"/>
          <w:szCs w:val="12"/>
          <w:color w:val="auto"/>
        </w:rPr>
        <w:t>each Party: (i) shall make all filings and other submissions (if any) and give all notices (if any) required to be made and given by such Party in connection with the Contemplated Transactions, (ii) shall use best efforts to obtain each Consent (if any) reasonably required to be obtained (pursuant to any applicable Law or Contract, or otherwise) by such Party in connection with the Contemplated Transactions or for such Contract to remain in full force and effect, (iii) shall use best efforts to lift any injunction prohibiting, or any other legal bar to, the Contemplated Transactions and (iv) shall use best efforts to satisfy the conditions precedent to the consummation of this Agreement.</w:t>
      </w:r>
    </w:p>
    <w:p>
      <w:pPr>
        <w:spacing w:after="0" w:line="127" w:lineRule="exact"/>
        <w:rPr>
          <w:rFonts w:ascii="Arial" w:cs="Arial" w:eastAsia="Arial" w:hAnsi="Arial"/>
          <w:sz w:val="11"/>
          <w:szCs w:val="11"/>
          <w:color w:val="auto"/>
        </w:rPr>
      </w:pPr>
    </w:p>
    <w:p>
      <w:pPr>
        <w:jc w:val="both"/>
        <w:ind w:left="840" w:right="919" w:firstLine="654"/>
        <w:spacing w:after="0" w:line="260" w:lineRule="auto"/>
        <w:tabs>
          <w:tab w:leader="none" w:pos="1764"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9019"/>
          </w:cols>
          <w:pgMar w:left="1440" w:top="230" w:right="1440" w:bottom="1440" w:gutter="0" w:footer="0" w:header="0"/>
        </w:sectPr>
      </w:pPr>
    </w:p>
    <w:bookmarkStart w:id="76" w:name="page77"/>
    <w:bookmarkEnd w:id="76"/>
    <w:p>
      <w:pPr>
        <w:ind w:left="840" w:right="819" w:firstLine="654"/>
        <w:spacing w:after="0" w:line="255" w:lineRule="auto"/>
        <w:tabs>
          <w:tab w:leader="none" w:pos="1755" w:val="left"/>
        </w:tabs>
        <w:numPr>
          <w:ilvl w:val="0"/>
          <w:numId w:val="10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Without limiting the generality of the foregoing, Zordich shall give Company prompt written notice of any litigation against Zordich and/or its directors relating to this Agreement or the Contemplated Transactions (“</w:t>
      </w:r>
      <w:r>
        <w:rPr>
          <w:rFonts w:ascii="Arial" w:cs="Arial" w:eastAsia="Arial" w:hAnsi="Arial"/>
          <w:sz w:val="12"/>
          <w:szCs w:val="12"/>
          <w:b w:val="1"/>
          <w:bCs w:val="1"/>
          <w:color w:val="auto"/>
        </w:rPr>
        <w:t>Transaction Litigation</w:t>
      </w:r>
      <w:r>
        <w:rPr>
          <w:rFonts w:ascii="Arial" w:cs="Arial" w:eastAsia="Arial" w:hAnsi="Arial"/>
          <w:sz w:val="12"/>
          <w:szCs w:val="12"/>
          <w:color w:val="auto"/>
        </w:rPr>
        <w:t>”) (including by providing copies of all pleadings with respect thereto) and keep Company reasonably informed with respect to the status thereof. Zordich will (i) give Company the opportunity to participate in the defense, settlement or prosecution of any Transaction Litigation, (ii) consult with Company with respect to the defense, settlement and prosecution of any Transaction Litigation and (iii) consider in good faith Company’s advice with respect to such Transaction Litigation. Zordich will obtain the prior written consent of Company (such consent not to be unreasonably withheld, conditioned or delayed) prior to settling or satisfying any such claim.</w:t>
      </w:r>
    </w:p>
    <w:p>
      <w:pPr>
        <w:spacing w:after="0" w:line="201"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6.5</w:t>
      </w:r>
      <w:r>
        <w:rPr>
          <w:sz w:val="20"/>
          <w:szCs w:val="20"/>
          <w:color w:val="auto"/>
        </w:rPr>
        <w:tab/>
      </w:r>
      <w:r>
        <w:rPr>
          <w:rFonts w:ascii="Arial" w:cs="Arial" w:eastAsia="Arial" w:hAnsi="Arial"/>
          <w:sz w:val="11"/>
          <w:szCs w:val="11"/>
          <w:u w:val="single" w:color="auto"/>
          <w:color w:val="auto"/>
        </w:rPr>
        <w:t>Holdings Options</w:t>
      </w:r>
      <w:r>
        <w:rPr>
          <w:rFonts w:ascii="Arial" w:cs="Arial" w:eastAsia="Arial" w:hAnsi="Arial"/>
          <w:sz w:val="11"/>
          <w:szCs w:val="11"/>
          <w:color w:val="auto"/>
        </w:rPr>
        <w:t>.</w:t>
      </w:r>
    </w:p>
    <w:p>
      <w:pPr>
        <w:spacing w:after="0" w:line="79" w:lineRule="exact"/>
        <w:rPr>
          <w:sz w:val="20"/>
          <w:szCs w:val="20"/>
          <w:color w:val="auto"/>
        </w:rPr>
      </w:pPr>
    </w:p>
    <w:p>
      <w:pPr>
        <w:ind w:left="840" w:right="819" w:firstLine="654"/>
        <w:spacing w:after="0" w:line="303" w:lineRule="auto"/>
        <w:tabs>
          <w:tab w:leader="none" w:pos="1757" w:val="left"/>
        </w:tabs>
        <w:numPr>
          <w:ilvl w:val="1"/>
          <w:numId w:val="104"/>
        </w:numPr>
        <w:rPr>
          <w:rFonts w:ascii="Arial" w:cs="Arial" w:eastAsia="Arial" w:hAnsi="Arial"/>
          <w:sz w:val="10"/>
          <w:szCs w:val="10"/>
          <w:color w:val="auto"/>
        </w:rPr>
      </w:pPr>
      <w:r>
        <w:rPr>
          <w:rFonts w:ascii="Arial" w:cs="Arial" w:eastAsia="Arial" w:hAnsi="Arial"/>
          <w:sz w:val="10"/>
          <w:szCs w:val="10"/>
          <w:color w:val="auto"/>
        </w:rPr>
        <w:t xml:space="preserve">Subject to </w:t>
      </w:r>
      <w:r>
        <w:rPr>
          <w:rFonts w:ascii="Arial" w:cs="Arial" w:eastAsia="Arial" w:hAnsi="Arial"/>
          <w:sz w:val="10"/>
          <w:szCs w:val="10"/>
          <w:u w:val="single" w:color="auto"/>
          <w:color w:val="auto"/>
        </w:rPr>
        <w:t>Section 6.5(c)</w:t>
      </w:r>
      <w:r>
        <w:rPr>
          <w:rFonts w:ascii="Arial" w:cs="Arial" w:eastAsia="Arial" w:hAnsi="Arial"/>
          <w:sz w:val="10"/>
          <w:szCs w:val="10"/>
          <w:color w:val="auto"/>
        </w:rPr>
        <w:t xml:space="preserve">, at the Effective Time, each Holdings Option that is outstanding and unexercised immediately prior to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and the terms of the option agreement by which such Holdings Option is evidenced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0"/>
          <w:szCs w:val="10"/>
          <w:u w:val="single" w:color="auto"/>
          <w:color w:val="auto"/>
        </w:rPr>
        <w:t>Section 6.5(a)</w:t>
      </w:r>
      <w:r>
        <w:rPr>
          <w:rFonts w:ascii="Arial" w:cs="Arial" w:eastAsia="Arial" w:hAnsi="Arial"/>
          <w:sz w:val="10"/>
          <w:szCs w:val="10"/>
          <w:color w:val="auto"/>
        </w:rPr>
        <w:t>. Accordingly, from and after the Effective Time: (i) each substituted Holdings Option may be exercised solely for shares of Zordich Common Stock, (ii) the number of shares of Zordich Common Stock subject to each Holdings Option assumed by Zordich shall be determined by multiplying (A) the number of Holdings Units that were subject to such Holdings Option, as in effect immediately prior to the Effective Time, by (B) the Exchange Ratio, and rounding the resulting number down to the nearest whole number of shares of Zordich Common Stock,</w:t>
      </w:r>
    </w:p>
    <w:p>
      <w:pPr>
        <w:spacing w:after="0" w:line="1" w:lineRule="exact"/>
        <w:rPr>
          <w:rFonts w:ascii="Arial" w:cs="Arial" w:eastAsia="Arial" w:hAnsi="Arial"/>
          <w:sz w:val="10"/>
          <w:szCs w:val="10"/>
          <w:color w:val="auto"/>
        </w:rPr>
      </w:pPr>
    </w:p>
    <w:p>
      <w:pPr>
        <w:ind w:left="840" w:right="839" w:hanging="9"/>
        <w:spacing w:after="0" w:line="276" w:lineRule="auto"/>
        <w:tabs>
          <w:tab w:leader="none" w:pos="1051" w:val="left"/>
        </w:tabs>
        <w:numPr>
          <w:ilvl w:val="0"/>
          <w:numId w:val="105"/>
        </w:numPr>
        <w:rPr>
          <w:rFonts w:ascii="Arial" w:cs="Arial" w:eastAsia="Arial" w:hAnsi="Arial"/>
          <w:sz w:val="11"/>
          <w:szCs w:val="11"/>
          <w:color w:val="auto"/>
        </w:rPr>
      </w:pPr>
      <w:r>
        <w:rPr>
          <w:rFonts w:ascii="Arial" w:cs="Arial" w:eastAsia="Arial" w:hAnsi="Arial"/>
          <w:sz w:val="11"/>
          <w:szCs w:val="11"/>
          <w:color w:val="auto"/>
        </w:rPr>
        <w:t xml:space="preserve">the per share exercise price for the Zordich Common Stock issuable upon exercise of each Holdings Option assumed by Zordich shall be determined by dividing (A) the per share exercise price of Holdings Units subject to such Holdings Option, as in effect immediately prior to the Effective Time, by (B) the Exchange Ratio and rounding the resulting exercise price up to the nearest whole cent and (iv) 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1"/>
          <w:szCs w:val="11"/>
          <w:u w:val="single" w:color="auto"/>
          <w:color w:val="auto"/>
        </w:rPr>
        <w:t>Section 6.5(a)</w:t>
      </w:r>
      <w:r>
        <w:rPr>
          <w:rFonts w:ascii="Arial" w:cs="Arial" w:eastAsia="Arial" w:hAnsi="Arial"/>
          <w:sz w:val="11"/>
          <w:szCs w:val="11"/>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 Notwithstanding anything to the contrary in this </w:t>
      </w:r>
      <w:r>
        <w:rPr>
          <w:rFonts w:ascii="Arial" w:cs="Arial" w:eastAsia="Arial" w:hAnsi="Arial"/>
          <w:sz w:val="11"/>
          <w:szCs w:val="11"/>
          <w:u w:val="single" w:color="auto"/>
          <w:color w:val="auto"/>
        </w:rPr>
        <w:t>Section 6.5(a)</w:t>
      </w:r>
      <w:r>
        <w:rPr>
          <w:rFonts w:ascii="Arial" w:cs="Arial" w:eastAsia="Arial" w:hAnsi="Arial"/>
          <w:sz w:val="11"/>
          <w:szCs w:val="11"/>
          <w:color w:val="auto"/>
        </w:rPr>
        <w:t>, the conversion of each Holdings Option (regardless of whether such option qualifies as an “incentive stock option” within the meaning of Section 422 of the Code) into an option to purchase shares of Zordich Common Stock shall be made in a manner consistent with Treasury Regulations Section 1.424-1, such that the conversion of a Holdings Option shall not constitute a “modification” of such Holdings Option for purposes of Section 409A or Section 424 of the Code.</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9019"/>
          </w:cols>
          <w:pgMar w:left="1440" w:top="230" w:right="1440" w:bottom="1440" w:gutter="0" w:footer="0" w:header="0"/>
        </w:sectPr>
      </w:pPr>
    </w:p>
    <w:bookmarkStart w:id="77" w:name="page78"/>
    <w:bookmarkEnd w:id="77"/>
    <w:p>
      <w:pPr>
        <w:ind w:left="840" w:right="1159" w:firstLine="654"/>
        <w:spacing w:after="0" w:line="264" w:lineRule="auto"/>
        <w:tabs>
          <w:tab w:leader="none" w:pos="1764" w:val="left"/>
        </w:tabs>
        <w:numPr>
          <w:ilvl w:val="0"/>
          <w:numId w:val="10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2"/>
          <w:szCs w:val="12"/>
          <w:u w:val="single" w:color="auto"/>
          <w:color w:val="auto"/>
        </w:rPr>
        <w:t>Section 6.5(a)</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840" w:right="1079" w:firstLine="654"/>
        <w:spacing w:after="0" w:line="264" w:lineRule="auto"/>
        <w:tabs>
          <w:tab w:leader="none" w:pos="1757" w:val="left"/>
        </w:tabs>
        <w:numPr>
          <w:ilvl w:val="0"/>
          <w:numId w:val="106"/>
        </w:numPr>
        <w:rPr>
          <w:rFonts w:ascii="Arial" w:cs="Arial" w:eastAsia="Arial" w:hAnsi="Arial"/>
          <w:sz w:val="12"/>
          <w:szCs w:val="12"/>
          <w:color w:val="auto"/>
        </w:rPr>
      </w:pPr>
      <w:r>
        <w:rPr>
          <w:rFonts w:ascii="Arial" w:cs="Arial" w:eastAsia="Arial" w:hAnsi="Arial"/>
          <w:sz w:val="12"/>
          <w:szCs w:val="12"/>
          <w:color w:val="auto"/>
        </w:rPr>
        <w:t xml:space="preserve">Prior to the Effective Time, the Company shall take all actions that may be necessary (under the Holdings Plan and otherwise) to effectuate the provisions of this </w:t>
      </w:r>
      <w:r>
        <w:rPr>
          <w:rFonts w:ascii="Arial" w:cs="Arial" w:eastAsia="Arial" w:hAnsi="Arial"/>
          <w:sz w:val="12"/>
          <w:szCs w:val="12"/>
          <w:u w:val="single" w:color="auto"/>
          <w:color w:val="auto"/>
        </w:rPr>
        <w:t>Section 6.5</w:t>
      </w:r>
      <w:r>
        <w:rPr>
          <w:rFonts w:ascii="Arial" w:cs="Arial" w:eastAsia="Arial" w:hAnsi="Arial"/>
          <w:sz w:val="12"/>
          <w:szCs w:val="12"/>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2"/>
          <w:szCs w:val="12"/>
          <w:u w:val="single" w:color="auto"/>
          <w:color w:val="auto"/>
        </w:rPr>
        <w:t>Section 6.5</w:t>
      </w:r>
      <w:r>
        <w:rPr>
          <w:rFonts w:ascii="Arial" w:cs="Arial" w:eastAsia="Arial" w:hAnsi="Arial"/>
          <w:sz w:val="12"/>
          <w:szCs w:val="12"/>
          <w:color w:val="auto"/>
        </w:rPr>
        <w:t>.</w:t>
      </w:r>
    </w:p>
    <w:p>
      <w:pPr>
        <w:spacing w:after="0" w:line="122" w:lineRule="exact"/>
        <w:rPr>
          <w:sz w:val="20"/>
          <w:szCs w:val="20"/>
          <w:color w:val="auto"/>
        </w:rPr>
      </w:pPr>
    </w:p>
    <w:p>
      <w:pPr>
        <w:ind w:left="840" w:right="819" w:firstLine="295"/>
        <w:spacing w:after="0" w:line="260" w:lineRule="auto"/>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u w:val="single" w:color="auto"/>
          <w:color w:val="auto"/>
        </w:rPr>
        <w:t>Zordich Options</w:t>
      </w:r>
      <w:r>
        <w:rPr>
          <w:rFonts w:ascii="Arial" w:cs="Arial" w:eastAsia="Arial" w:hAnsi="Arial"/>
          <w:sz w:val="12"/>
          <w:szCs w:val="12"/>
          <w:color w:val="auto"/>
        </w:rPr>
        <w:t>. Prior to the Closing, the Zordich Board shall have adopted appropriate resolutions and taken all other actions necessary and appropriate to provide that each unexpired, unexercised and unvested Zordich Option held by a non-employee member of the Board, shall be accelerated in full effective as of immediately prior to the Effective Time, that the Zordich Stock Plan shall remain in effect and that each unexpired, unexercised Zordich Option shall continue to remain outstanding after the Effective Time.</w:t>
      </w:r>
    </w:p>
    <w:p>
      <w:pPr>
        <w:spacing w:after="0" w:line="124" w:lineRule="exact"/>
        <w:rPr>
          <w:sz w:val="20"/>
          <w:szCs w:val="20"/>
          <w:color w:val="auto"/>
        </w:rPr>
      </w:pPr>
    </w:p>
    <w:p>
      <w:pPr>
        <w:ind w:left="840" w:right="839" w:firstLine="295"/>
        <w:spacing w:after="0" w:line="281" w:lineRule="auto"/>
        <w:rPr>
          <w:sz w:val="20"/>
          <w:szCs w:val="20"/>
          <w:color w:val="auto"/>
        </w:rPr>
      </w:pPr>
      <w:r>
        <w:rPr>
          <w:rFonts w:ascii="Arial" w:cs="Arial" w:eastAsia="Arial" w:hAnsi="Arial"/>
          <w:sz w:val="11"/>
          <w:szCs w:val="11"/>
          <w:color w:val="auto"/>
        </w:rPr>
        <w:t xml:space="preserve">6.7 </w:t>
      </w:r>
      <w:r>
        <w:rPr>
          <w:rFonts w:ascii="Arial" w:cs="Arial" w:eastAsia="Arial" w:hAnsi="Arial"/>
          <w:sz w:val="11"/>
          <w:szCs w:val="11"/>
          <w:u w:val="single" w:color="auto"/>
          <w:color w:val="auto"/>
        </w:rPr>
        <w:t>Employees; Employee Benefits</w:t>
      </w:r>
      <w:r>
        <w:rPr>
          <w:rFonts w:ascii="Arial" w:cs="Arial" w:eastAsia="Arial" w:hAnsi="Arial"/>
          <w:sz w:val="11"/>
          <w:szCs w:val="11"/>
          <w:color w:val="auto"/>
        </w:rPr>
        <w:t>. Prior to the Closing, unless otherwise determined by the Parties, Zordich shall provide written notice to all of its Employees that their employment will be terminated effective as of the date of the Closing and provide Company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Zordich and the Company shall cause Zordich to comply with the terms of any employment, severance, retention, change of control, or similar agreement specified on Section 4.17(c) of the Zordich Disclosure Schedule (including with respect to the acceleration of any Zordich Options and Zordich RSUs held by such employees), subject to the provisions of such agreements. Prior to the Closing, the Parties will cooperate in good faith to determine whether or not to terminate Zordich’s 401(k) plan and/or the Zordich ESPP.</w:t>
      </w:r>
    </w:p>
    <w:p>
      <w:pPr>
        <w:spacing w:after="0" w:line="115" w:lineRule="exact"/>
        <w:rPr>
          <w:sz w:val="20"/>
          <w:szCs w:val="20"/>
          <w:color w:val="auto"/>
        </w:rPr>
      </w:pPr>
    </w:p>
    <w:p>
      <w:pPr>
        <w:ind w:left="840" w:right="859" w:firstLine="295"/>
        <w:spacing w:after="0" w:line="310" w:lineRule="auto"/>
        <w:rPr>
          <w:sz w:val="20"/>
          <w:szCs w:val="20"/>
          <w:color w:val="auto"/>
        </w:rPr>
      </w:pPr>
      <w:r>
        <w:rPr>
          <w:rFonts w:ascii="Arial" w:cs="Arial" w:eastAsia="Arial" w:hAnsi="Arial"/>
          <w:sz w:val="10"/>
          <w:szCs w:val="10"/>
          <w:color w:val="auto"/>
        </w:rPr>
        <w:t xml:space="preserve">6.8 </w:t>
      </w:r>
      <w:r>
        <w:rPr>
          <w:rFonts w:ascii="Arial" w:cs="Arial" w:eastAsia="Arial" w:hAnsi="Arial"/>
          <w:sz w:val="10"/>
          <w:szCs w:val="10"/>
          <w:u w:val="single" w:color="auto"/>
          <w:color w:val="auto"/>
        </w:rPr>
        <w:t>Zordich RSUs</w:t>
      </w:r>
      <w:r>
        <w:rPr>
          <w:rFonts w:ascii="Arial" w:cs="Arial" w:eastAsia="Arial" w:hAnsi="Arial"/>
          <w:sz w:val="10"/>
          <w:szCs w:val="10"/>
          <w:color w:val="auto"/>
        </w:rPr>
        <w:t xml:space="preserve">. Prior to the Closing, the Zordich Board shall have adopted appropriate resolutions and taken all other actions necessary and appropriate to provide that (i) the vesting of each outstanding unvested Zordich RSU held by any non-employee member of the Zordich Board shall be accelerated in full effective as of immediately prior to the Effective Time, contingent on the occurrence of the Closing and (ii) each outstanding unsettled Zordich RSU (including any Zordich RSUs the vesting of which is accelerated under </w:t>
      </w:r>
      <w:r>
        <w:rPr>
          <w:rFonts w:ascii="Arial" w:cs="Arial" w:eastAsia="Arial" w:hAnsi="Arial"/>
          <w:sz w:val="10"/>
          <w:szCs w:val="10"/>
          <w:u w:val="single" w:color="auto"/>
          <w:color w:val="auto"/>
        </w:rPr>
        <w:t>Section 6.8(i)</w:t>
      </w:r>
      <w:r>
        <w:rPr>
          <w:rFonts w:ascii="Arial" w:cs="Arial" w:eastAsia="Arial" w:hAnsi="Arial"/>
          <w:sz w:val="10"/>
          <w:szCs w:val="10"/>
          <w:color w:val="auto"/>
        </w:rPr>
        <w:t xml:space="preserve"> above or upon termination of employment under </w:t>
      </w:r>
      <w:r>
        <w:rPr>
          <w:rFonts w:ascii="Arial" w:cs="Arial" w:eastAsia="Arial" w:hAnsi="Arial"/>
          <w:sz w:val="10"/>
          <w:szCs w:val="10"/>
          <w:u w:val="single" w:color="auto"/>
          <w:color w:val="auto"/>
        </w:rPr>
        <w:t>Section 6.7</w:t>
      </w:r>
      <w:r>
        <w:rPr>
          <w:rFonts w:ascii="Arial" w:cs="Arial" w:eastAsia="Arial" w:hAnsi="Arial"/>
          <w:sz w:val="10"/>
          <w:szCs w:val="10"/>
          <w:color w:val="auto"/>
        </w:rPr>
        <w:t xml:space="preserve"> above) shall be settled and each holder thereof shall receive, immediately prior to the Effective Time a number of shares of Zordich Common Stock equal to the number of vested and unsettled restricted stock units underlying such Zordich RSU. Notwithstanding anything herein to the contrary, the tax withholding obligations for each holder receiving shares of Zordich Common Stock in accordance with the preceding sentence shall be satisfied by Zordich withholding from issuance that number of shares of Zordich Common Stock calculated by multiplying the maximum statutory withholding rate for such holder in connection with such issuance by the number of shares of Zordich Common Stock to be issued in accordance with the preceding sentence, and rounding up to the nearest whole share and remitting such withholding in cash to the appropriate taxing authorities.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9019"/>
          </w:cols>
          <w:pgMar w:left="1440" w:top="230" w:right="1440" w:bottom="1440" w:gutter="0" w:footer="0" w:header="0"/>
        </w:sectPr>
      </w:pPr>
    </w:p>
    <w:bookmarkStart w:id="78" w:name="page79"/>
    <w:bookmarkEnd w:id="78"/>
    <w:p>
      <w:pPr>
        <w:ind w:left="1120"/>
        <w:spacing w:after="0"/>
        <w:tabs>
          <w:tab w:leader="none" w:pos="13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6.9</w:t>
      </w:r>
      <w:r>
        <w:rPr>
          <w:sz w:val="20"/>
          <w:szCs w:val="20"/>
          <w:color w:val="auto"/>
        </w:rPr>
        <w:tab/>
      </w:r>
      <w:r>
        <w:rPr>
          <w:rFonts w:ascii="Arial" w:cs="Arial" w:eastAsia="Arial" w:hAnsi="Arial"/>
          <w:sz w:val="11"/>
          <w:szCs w:val="11"/>
          <w:u w:val="single" w:color="auto"/>
          <w:color w:val="auto"/>
        </w:rPr>
        <w:t>Indemnification of Officers and Directors</w:t>
      </w:r>
      <w:r>
        <w:rPr>
          <w:rFonts w:ascii="Arial" w:cs="Arial" w:eastAsia="Arial" w:hAnsi="Arial"/>
          <w:sz w:val="11"/>
          <w:szCs w:val="11"/>
          <w:color w:val="auto"/>
        </w:rPr>
        <w:t>.</w:t>
      </w:r>
    </w:p>
    <w:p>
      <w:pPr>
        <w:spacing w:after="0" w:line="79" w:lineRule="exact"/>
        <w:rPr>
          <w:sz w:val="20"/>
          <w:szCs w:val="20"/>
          <w:color w:val="auto"/>
        </w:rPr>
      </w:pPr>
    </w:p>
    <w:p>
      <w:pPr>
        <w:ind w:left="840" w:right="839" w:firstLine="654"/>
        <w:spacing w:after="0" w:line="278" w:lineRule="auto"/>
        <w:tabs>
          <w:tab w:leader="none" w:pos="1757" w:val="left"/>
        </w:tabs>
        <w:numPr>
          <w:ilvl w:val="0"/>
          <w:numId w:val="107"/>
        </w:numPr>
        <w:rPr>
          <w:rFonts w:ascii="Arial" w:cs="Arial" w:eastAsia="Arial" w:hAnsi="Arial"/>
          <w:sz w:val="11"/>
          <w:szCs w:val="11"/>
          <w:color w:val="auto"/>
        </w:rPr>
      </w:pPr>
      <w:r>
        <w:rPr>
          <w:rFonts w:ascii="Arial" w:cs="Arial" w:eastAsia="Arial" w:hAnsi="Arial"/>
          <w:sz w:val="11"/>
          <w:szCs w:val="11"/>
          <w:color w:val="auto"/>
        </w:rPr>
        <w:t>From the Effective Time through the sixth anniversary of the date on which the Effective Time occurs, each of Zordich and the Surviving Corporation shall indemnify and hold harmless each person who is now, or has been at any time prior to the date hereof, or who becomes prior to the Effective Time, a director or officer of Zordich or the Company, respectively (the “</w:t>
      </w:r>
      <w:r>
        <w:rPr>
          <w:rFonts w:ascii="Arial" w:cs="Arial" w:eastAsia="Arial" w:hAnsi="Arial"/>
          <w:sz w:val="11"/>
          <w:szCs w:val="11"/>
          <w:b w:val="1"/>
          <w:bCs w:val="1"/>
          <w:color w:val="auto"/>
        </w:rPr>
        <w:t>D&amp;O Indemnified Parties</w:t>
      </w:r>
      <w:r>
        <w:rPr>
          <w:rFonts w:ascii="Arial" w:cs="Arial" w:eastAsia="Arial" w:hAnsi="Arial"/>
          <w:sz w:val="11"/>
          <w:szCs w:val="11"/>
          <w:color w:val="auto"/>
        </w:rPr>
        <w:t>”), against all claims, losses, liabilities, damages, judgments, fines and reasonable fees, costs and expenses, including attorneys’ fees and disbursements (collectively, “</w:t>
      </w:r>
      <w:r>
        <w:rPr>
          <w:rFonts w:ascii="Arial" w:cs="Arial" w:eastAsia="Arial" w:hAnsi="Arial"/>
          <w:sz w:val="11"/>
          <w:szCs w:val="11"/>
          <w:b w:val="1"/>
          <w:bCs w:val="1"/>
          <w:color w:val="auto"/>
        </w:rPr>
        <w:t>Costs</w:t>
      </w:r>
      <w:r>
        <w:rPr>
          <w:rFonts w:ascii="Arial" w:cs="Arial" w:eastAsia="Arial" w:hAnsi="Arial"/>
          <w:sz w:val="11"/>
          <w:szCs w:val="11"/>
          <w:color w:val="auto"/>
        </w:rPr>
        <w:t>”), incurred in connection with any claim, action, suit, proceeding or investigation, whether civil, criminal, administrative or investigative, arising out of or pertaining to the fact that the D&amp;O Indemnified Party is or was a director or officer of Zordich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Zordich and the Surviving Corporation, jointly and severally, upon receipt by Zordich or the Surviving Corporation from the D&amp;O Indemnified Party of a request therefor; provided that any such person to whom expenses are advanced provides an undertaking to Zordich,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17" w:lineRule="exact"/>
        <w:rPr>
          <w:rFonts w:ascii="Arial" w:cs="Arial" w:eastAsia="Arial" w:hAnsi="Arial"/>
          <w:sz w:val="11"/>
          <w:szCs w:val="11"/>
          <w:color w:val="auto"/>
        </w:rPr>
      </w:pPr>
    </w:p>
    <w:p>
      <w:pPr>
        <w:ind w:left="840" w:right="859" w:firstLine="654"/>
        <w:spacing w:after="0" w:line="282" w:lineRule="auto"/>
        <w:tabs>
          <w:tab w:leader="none" w:pos="1761"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provisions of the certificate of incorporation and bylaws of Zordich with respect to indemnification, advancement of expenses and exculpation of present and former directors and officers of Zordich that are presently set forth in the certificate of incorporation and bylaws of Zordich shall not be amended, modified or repealed for a period of six years from the Effective Time in a manner that would adversely affect the rights thereunder of individuals who, at or prior to the Effective Time, were officers or directors of Zordich, unless such modification is required by applicable Law. The certificate of incorporation and bylaws of the Surviving Corporation shall contain, and Zordich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Zordich.</w:t>
      </w:r>
    </w:p>
    <w:p>
      <w:pPr>
        <w:spacing w:after="0" w:line="115" w:lineRule="exact"/>
        <w:rPr>
          <w:rFonts w:ascii="Arial" w:cs="Arial" w:eastAsia="Arial" w:hAnsi="Arial"/>
          <w:sz w:val="11"/>
          <w:szCs w:val="11"/>
          <w:color w:val="auto"/>
        </w:rPr>
      </w:pPr>
    </w:p>
    <w:p>
      <w:pPr>
        <w:ind w:left="840" w:right="839" w:firstLine="654"/>
        <w:spacing w:after="0" w:line="255" w:lineRule="auto"/>
        <w:tabs>
          <w:tab w:leader="none" w:pos="1757" w:val="left"/>
        </w:tabs>
        <w:numPr>
          <w:ilvl w:val="0"/>
          <w:numId w:val="107"/>
        </w:numPr>
        <w:rPr>
          <w:rFonts w:ascii="Arial" w:cs="Arial" w:eastAsia="Arial" w:hAnsi="Arial"/>
          <w:sz w:val="12"/>
          <w:szCs w:val="12"/>
          <w:color w:val="auto"/>
        </w:rPr>
      </w:pPr>
      <w:r>
        <w:rPr>
          <w:rFonts w:ascii="Arial" w:cs="Arial" w:eastAsia="Arial" w:hAnsi="Arial"/>
          <w:sz w:val="12"/>
          <w:szCs w:val="12"/>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Zordich shall fulfill and honor in all respects the obligations of Zordich to its D&amp;O Indemnified Parties as of immediately prior to the Closing pursuant to any indemnification provisions under Zordich’s Organizational Documents and pursuant to any indemnification agreements between Zordich and such D&amp;O Indemnified Parties, with respect to claims arising out of matters occurring at or prior to the Effective Time.</w:t>
      </w:r>
    </w:p>
    <w:p>
      <w:pPr>
        <w:spacing w:after="0" w:line="129" w:lineRule="exact"/>
        <w:rPr>
          <w:rFonts w:ascii="Arial" w:cs="Arial" w:eastAsia="Arial" w:hAnsi="Arial"/>
          <w:sz w:val="12"/>
          <w:szCs w:val="12"/>
          <w:color w:val="auto"/>
        </w:rPr>
      </w:pPr>
    </w:p>
    <w:p>
      <w:pPr>
        <w:ind w:left="840" w:right="859" w:firstLine="654"/>
        <w:spacing w:after="0" w:line="282" w:lineRule="auto"/>
        <w:tabs>
          <w:tab w:leader="none" w:pos="176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From and after the Effective Time, Zordich shall maintain directors’ and officers’ liability insurance policies, with an effective date as of the Closing Date, on commercially available terms and conditions and with coverage limits customary for U.S. public companies similarly situated to Zordich. In addition, Zordich shall purchase, prior to the Effective Time, a six-year prepaid “D&amp;O tail policy” for the non-cancellable extension of the directors’ and officers’ liability coverage of Zordich’s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Zordich’s existing policies as of the date of this Agreement with respect to any actual or alleged error, misstatement,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9019"/>
          </w:cols>
          <w:pgMar w:left="1440" w:top="230" w:right="1440" w:bottom="1440" w:gutter="0" w:footer="0" w:header="0"/>
        </w:sectPr>
      </w:pPr>
    </w:p>
    <w:bookmarkStart w:id="79" w:name="page80"/>
    <w:bookmarkEnd w:id="79"/>
    <w:p>
      <w:pPr>
        <w:ind w:left="840" w:right="839"/>
        <w:spacing w:after="0" w:line="28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misleading statement, act, omission, neglect, breach of duty or any matter claimed against a director or officer of Zordich by reason of him or her serving in such capacity that existed or occurred at or prior to the Effective Time (including in connection with this Agreement or the Contemplated Transactions or in connection with Zordich’s initial public offering of shares of Zordich Common Stock). Notwithstanding the foregoing, in satisfying its obligation under this Section 6.9(d), neither Zordich nor the Surviving Corporation shall be obligated to pay annual premiums in excess of 300% of the amount per annum Zordich paid in its last full fiscal year prior to the date hereof for such insurance (the “</w:t>
      </w:r>
      <w:r>
        <w:rPr>
          <w:rFonts w:ascii="Arial" w:cs="Arial" w:eastAsia="Arial" w:hAnsi="Arial"/>
          <w:sz w:val="11"/>
          <w:szCs w:val="11"/>
          <w:b w:val="1"/>
          <w:bCs w:val="1"/>
          <w:color w:val="auto"/>
        </w:rPr>
        <w:t>Current Premium</w:t>
      </w:r>
      <w:r>
        <w:rPr>
          <w:rFonts w:ascii="Arial" w:cs="Arial" w:eastAsia="Arial" w:hAnsi="Arial"/>
          <w:sz w:val="11"/>
          <w:szCs w:val="11"/>
          <w:color w:val="auto"/>
        </w:rPr>
        <w:t>”) and if such premiums for such insurance would at any time exceed 300% of the Current Premium, then Zordich shall cause to be maintained policies of insurance that, in Zordich’s good faith judgment, provide the maximum coverage available at an annual premium equal to 300% of the Current Premium.</w:t>
      </w:r>
    </w:p>
    <w:p>
      <w:pPr>
        <w:spacing w:after="0" w:line="115" w:lineRule="exact"/>
        <w:rPr>
          <w:sz w:val="20"/>
          <w:szCs w:val="20"/>
          <w:color w:val="auto"/>
        </w:rPr>
      </w:pPr>
    </w:p>
    <w:p>
      <w:pPr>
        <w:ind w:left="840" w:right="1139" w:firstLine="654"/>
        <w:spacing w:after="0" w:line="324" w:lineRule="auto"/>
        <w:tabs>
          <w:tab w:leader="none" w:pos="1757" w:val="left"/>
        </w:tabs>
        <w:numPr>
          <w:ilvl w:val="0"/>
          <w:numId w:val="108"/>
        </w:numPr>
        <w:rPr>
          <w:rFonts w:ascii="Arial" w:cs="Arial" w:eastAsia="Arial" w:hAnsi="Arial"/>
          <w:sz w:val="11"/>
          <w:szCs w:val="11"/>
          <w:color w:val="auto"/>
        </w:rPr>
      </w:pPr>
      <w:r>
        <w:rPr>
          <w:rFonts w:ascii="Arial" w:cs="Arial" w:eastAsia="Arial" w:hAnsi="Arial"/>
          <w:sz w:val="11"/>
          <w:szCs w:val="11"/>
          <w:color w:val="auto"/>
        </w:rPr>
        <w:t xml:space="preserve">From and after the Effective Time, Zordich shall pay all expenses, including reasonable attorneys’ fees, that are incurred by the persons referred to in this </w:t>
      </w:r>
      <w:r>
        <w:rPr>
          <w:rFonts w:ascii="Arial" w:cs="Arial" w:eastAsia="Arial" w:hAnsi="Arial"/>
          <w:sz w:val="11"/>
          <w:szCs w:val="11"/>
          <w:u w:val="single" w:color="auto"/>
          <w:color w:val="auto"/>
        </w:rPr>
        <w:t>Section 6.9</w:t>
      </w:r>
      <w:r>
        <w:rPr>
          <w:rFonts w:ascii="Arial" w:cs="Arial" w:eastAsia="Arial" w:hAnsi="Arial"/>
          <w:sz w:val="11"/>
          <w:szCs w:val="11"/>
          <w:color w:val="auto"/>
        </w:rPr>
        <w:t xml:space="preserve"> in connection with their enforcement of the rights provided to such persons in this </w:t>
      </w:r>
      <w:r>
        <w:rPr>
          <w:rFonts w:ascii="Arial" w:cs="Arial" w:eastAsia="Arial" w:hAnsi="Arial"/>
          <w:sz w:val="11"/>
          <w:szCs w:val="11"/>
          <w:u w:val="single" w:color="auto"/>
          <w:color w:val="auto"/>
        </w:rPr>
        <w:t>Section 6.9.</w:t>
      </w:r>
    </w:p>
    <w:p>
      <w:pPr>
        <w:spacing w:after="0" w:line="91" w:lineRule="exact"/>
        <w:rPr>
          <w:rFonts w:ascii="Arial" w:cs="Arial" w:eastAsia="Arial" w:hAnsi="Arial"/>
          <w:sz w:val="11"/>
          <w:szCs w:val="11"/>
          <w:color w:val="auto"/>
        </w:rPr>
      </w:pPr>
    </w:p>
    <w:p>
      <w:pPr>
        <w:ind w:left="840" w:right="819" w:firstLine="654"/>
        <w:spacing w:after="0" w:line="264" w:lineRule="auto"/>
        <w:tabs>
          <w:tab w:leader="none" w:pos="174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The provisions of this </w:t>
      </w:r>
      <w:r>
        <w:rPr>
          <w:rFonts w:ascii="Arial" w:cs="Arial" w:eastAsia="Arial" w:hAnsi="Arial"/>
          <w:sz w:val="12"/>
          <w:szCs w:val="12"/>
          <w:u w:val="single" w:color="auto"/>
          <w:color w:val="auto"/>
        </w:rPr>
        <w:t>Section 6.9</w:t>
      </w:r>
      <w:r>
        <w:rPr>
          <w:rFonts w:ascii="Arial" w:cs="Arial" w:eastAsia="Arial" w:hAnsi="Arial"/>
          <w:sz w:val="12"/>
          <w:szCs w:val="12"/>
          <w:color w:val="auto"/>
        </w:rPr>
        <w:t xml:space="preserve"> are intended to be in addition to the rights otherwise available to the current and former officers and directors of Zordich and the Company by Law, charter, statute, bylaw or agreement, and shall operate for the benefit of, and shall be enforceable by, each of the D&amp;O Indemnified Parties, their heirs and their representatives.</w:t>
      </w:r>
    </w:p>
    <w:p>
      <w:pPr>
        <w:spacing w:after="0" w:line="122" w:lineRule="exact"/>
        <w:rPr>
          <w:rFonts w:ascii="Arial" w:cs="Arial" w:eastAsia="Arial" w:hAnsi="Arial"/>
          <w:sz w:val="12"/>
          <w:szCs w:val="12"/>
          <w:color w:val="auto"/>
        </w:rPr>
      </w:pPr>
    </w:p>
    <w:p>
      <w:pPr>
        <w:jc w:val="both"/>
        <w:ind w:left="840" w:right="819" w:firstLine="654"/>
        <w:spacing w:after="0" w:line="286" w:lineRule="auto"/>
        <w:tabs>
          <w:tab w:leader="none" w:pos="1764" w:val="left"/>
        </w:tabs>
        <w:numPr>
          <w:ilvl w:val="0"/>
          <w:numId w:val="108"/>
        </w:numPr>
        <w:rPr>
          <w:rFonts w:ascii="Arial" w:cs="Arial" w:eastAsia="Arial" w:hAnsi="Arial"/>
          <w:sz w:val="11"/>
          <w:szCs w:val="11"/>
          <w:color w:val="auto"/>
        </w:rPr>
      </w:pPr>
      <w:r>
        <w:rPr>
          <w:rFonts w:ascii="Arial" w:cs="Arial" w:eastAsia="Arial" w:hAnsi="Arial"/>
          <w:sz w:val="11"/>
          <w:szCs w:val="11"/>
          <w:color w:val="auto"/>
        </w:rPr>
        <w:t xml:space="preserve">In the event Zordich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Zordich or the Surviving Corporation, as the case may be, shall succeed to the obligations set forth in this </w:t>
      </w:r>
      <w:r>
        <w:rPr>
          <w:rFonts w:ascii="Arial" w:cs="Arial" w:eastAsia="Arial" w:hAnsi="Arial"/>
          <w:sz w:val="11"/>
          <w:szCs w:val="11"/>
          <w:u w:val="single" w:color="auto"/>
          <w:color w:val="auto"/>
        </w:rPr>
        <w:t>Section 6.9.</w:t>
      </w:r>
      <w:r>
        <w:rPr>
          <w:rFonts w:ascii="Arial" w:cs="Arial" w:eastAsia="Arial" w:hAnsi="Arial"/>
          <w:sz w:val="11"/>
          <w:szCs w:val="11"/>
          <w:color w:val="auto"/>
        </w:rPr>
        <w:t xml:space="preserve"> Zordich shall cause the Surviving Corporation to perform all of the obligations of the Surviving Corporation under this </w:t>
      </w:r>
      <w:r>
        <w:rPr>
          <w:rFonts w:ascii="Arial" w:cs="Arial" w:eastAsia="Arial" w:hAnsi="Arial"/>
          <w:sz w:val="11"/>
          <w:szCs w:val="11"/>
          <w:u w:val="single" w:color="auto"/>
          <w:color w:val="auto"/>
        </w:rPr>
        <w:t>Section 6.9</w:t>
      </w:r>
      <w:r>
        <w:rPr>
          <w:rFonts w:ascii="Arial" w:cs="Arial" w:eastAsia="Arial" w:hAnsi="Arial"/>
          <w:sz w:val="11"/>
          <w:szCs w:val="11"/>
          <w:color w:val="auto"/>
        </w:rPr>
        <w:t>.</w:t>
      </w:r>
    </w:p>
    <w:p>
      <w:pPr>
        <w:spacing w:after="0" w:line="113" w:lineRule="exact"/>
        <w:rPr>
          <w:sz w:val="20"/>
          <w:szCs w:val="20"/>
          <w:color w:val="auto"/>
        </w:rPr>
      </w:pPr>
    </w:p>
    <w:p>
      <w:pPr>
        <w:ind w:left="840" w:right="859" w:firstLine="295"/>
        <w:spacing w:after="0" w:line="309" w:lineRule="auto"/>
        <w:rPr>
          <w:sz w:val="20"/>
          <w:szCs w:val="20"/>
          <w:color w:val="auto"/>
        </w:rPr>
      </w:pPr>
      <w:r>
        <w:rPr>
          <w:rFonts w:ascii="Arial" w:cs="Arial" w:eastAsia="Arial" w:hAnsi="Arial"/>
          <w:sz w:val="10"/>
          <w:szCs w:val="10"/>
          <w:color w:val="auto"/>
        </w:rPr>
        <w:t xml:space="preserve">6.10 </w:t>
      </w:r>
      <w:r>
        <w:rPr>
          <w:rFonts w:ascii="Arial" w:cs="Arial" w:eastAsia="Arial" w:hAnsi="Arial"/>
          <w:sz w:val="10"/>
          <w:szCs w:val="10"/>
          <w:u w:val="single" w:color="auto"/>
          <w:color w:val="auto"/>
        </w:rPr>
        <w:t>Disclosure</w:t>
      </w:r>
      <w:r>
        <w:rPr>
          <w:rFonts w:ascii="Arial" w:cs="Arial" w:eastAsia="Arial" w:hAnsi="Arial"/>
          <w:sz w:val="10"/>
          <w:szCs w:val="10"/>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Zordich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Zordich in compliance with this </w:t>
      </w:r>
      <w:r>
        <w:rPr>
          <w:rFonts w:ascii="Arial" w:cs="Arial" w:eastAsia="Arial" w:hAnsi="Arial"/>
          <w:sz w:val="10"/>
          <w:szCs w:val="10"/>
          <w:u w:val="single" w:color="auto"/>
          <w:color w:val="auto"/>
        </w:rPr>
        <w:t>Section 6.10</w:t>
      </w:r>
      <w:r>
        <w:rPr>
          <w:rFonts w:ascii="Arial" w:cs="Arial" w:eastAsia="Arial" w:hAnsi="Arial"/>
          <w:sz w:val="10"/>
          <w:szCs w:val="10"/>
          <w:color w:val="auto"/>
        </w:rPr>
        <w:t xml:space="preserve">. Notwithstanding the foregoing, a Party need not consult with any other Parties in connection with such portion of any press release, public statement or filing to be issued or made pursuant to </w:t>
      </w:r>
      <w:r>
        <w:rPr>
          <w:rFonts w:ascii="Arial" w:cs="Arial" w:eastAsia="Arial" w:hAnsi="Arial"/>
          <w:sz w:val="10"/>
          <w:szCs w:val="10"/>
          <w:u w:val="single" w:color="auto"/>
          <w:color w:val="auto"/>
        </w:rPr>
        <w:t>Section 6.3(d)</w:t>
      </w:r>
      <w:r>
        <w:rPr>
          <w:rFonts w:ascii="Arial" w:cs="Arial" w:eastAsia="Arial" w:hAnsi="Arial"/>
          <w:sz w:val="10"/>
          <w:szCs w:val="10"/>
          <w:color w:val="auto"/>
        </w:rPr>
        <w:t xml:space="preserve"> or with respect to any Acquisition Proposal, Zordich Board Adverse Recommendation Change or with respect to Zordich only, pursuant to </w:t>
      </w:r>
      <w:r>
        <w:rPr>
          <w:rFonts w:ascii="Arial" w:cs="Arial" w:eastAsia="Arial" w:hAnsi="Arial"/>
          <w:sz w:val="10"/>
          <w:szCs w:val="10"/>
          <w:u w:val="single" w:color="auto"/>
          <w:color w:val="auto"/>
        </w:rPr>
        <w:t>Section 6.3(e).</w:t>
      </w:r>
    </w:p>
    <w:p>
      <w:pPr>
        <w:spacing w:after="0" w:line="105" w:lineRule="exact"/>
        <w:rPr>
          <w:sz w:val="20"/>
          <w:szCs w:val="20"/>
          <w:color w:val="auto"/>
        </w:rPr>
      </w:pPr>
    </w:p>
    <w:p>
      <w:pPr>
        <w:jc w:val="both"/>
        <w:ind w:left="840" w:right="919" w:firstLine="295"/>
        <w:spacing w:after="0" w:line="264" w:lineRule="auto"/>
        <w:rPr>
          <w:sz w:val="20"/>
          <w:szCs w:val="20"/>
          <w:color w:val="auto"/>
        </w:rPr>
      </w:pPr>
      <w:r>
        <w:rPr>
          <w:rFonts w:ascii="Arial" w:cs="Arial" w:eastAsia="Arial" w:hAnsi="Arial"/>
          <w:sz w:val="12"/>
          <w:szCs w:val="12"/>
          <w:color w:val="auto"/>
        </w:rPr>
        <w:t xml:space="preserve">6.11 </w:t>
      </w:r>
      <w:r>
        <w:rPr>
          <w:rFonts w:ascii="Arial" w:cs="Arial" w:eastAsia="Arial" w:hAnsi="Arial"/>
          <w:sz w:val="12"/>
          <w:szCs w:val="12"/>
          <w:u w:val="single" w:color="auto"/>
          <w:color w:val="auto"/>
        </w:rPr>
        <w:t>Listing</w:t>
      </w:r>
      <w:r>
        <w:rPr>
          <w:rFonts w:ascii="Arial" w:cs="Arial" w:eastAsia="Arial" w:hAnsi="Arial"/>
          <w:sz w:val="12"/>
          <w:szCs w:val="12"/>
          <w:color w:val="auto"/>
        </w:rPr>
        <w:t>. At or prior to the Effective Time, Zordich shall use its reasonable best efforts to cause the shares of Zordich Common Stock being issued in the Merger to be approved for listing (subject to notice of issuance) on Nasdaq at or prior to the Effective Time. The Company will cooperate with Zordich as reasonably requested by Zordich with respect to the listing application for</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9019"/>
          </w:cols>
          <w:pgMar w:left="1440" w:top="230" w:right="1440" w:bottom="1440" w:gutter="0" w:footer="0" w:header="0"/>
        </w:sectPr>
      </w:pPr>
    </w:p>
    <w:bookmarkStart w:id="80" w:name="page81"/>
    <w:bookmarkEnd w:id="80"/>
    <w:p>
      <w:pPr>
        <w:ind w:left="840" w:right="91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the Zordich Common Stock and promptly furnish to Zordich all information concerning the Company and its stockholders that may be required or reasonably requested in connection with any action contemplated by this </w:t>
      </w:r>
      <w:r>
        <w:rPr>
          <w:rFonts w:ascii="Arial" w:cs="Arial" w:eastAsia="Arial" w:hAnsi="Arial"/>
          <w:sz w:val="12"/>
          <w:szCs w:val="12"/>
          <w:u w:val="single" w:color="auto"/>
          <w:color w:val="auto"/>
        </w:rPr>
        <w:t>Section 6.11</w:t>
      </w:r>
      <w:r>
        <w:rPr>
          <w:rFonts w:ascii="Arial" w:cs="Arial" w:eastAsia="Arial" w:hAnsi="Arial"/>
          <w:sz w:val="12"/>
          <w:szCs w:val="12"/>
          <w:color w:val="auto"/>
        </w:rPr>
        <w:t xml:space="preserve">. The Company agrees to pay all Nasdaq fees associated with any action contemplated by this </w:t>
      </w:r>
      <w:r>
        <w:rPr>
          <w:rFonts w:ascii="Arial" w:cs="Arial" w:eastAsia="Arial" w:hAnsi="Arial"/>
          <w:sz w:val="12"/>
          <w:szCs w:val="12"/>
          <w:u w:val="single" w:color="auto"/>
          <w:color w:val="auto"/>
        </w:rPr>
        <w:t>Section 6.11.</w:t>
      </w:r>
    </w:p>
    <w:p>
      <w:pPr>
        <w:spacing w:after="0" w:line="122" w:lineRule="exact"/>
        <w:rPr>
          <w:sz w:val="20"/>
          <w:szCs w:val="20"/>
          <w:color w:val="auto"/>
        </w:rPr>
      </w:pPr>
    </w:p>
    <w:p>
      <w:pPr>
        <w:ind w:left="840" w:right="939" w:firstLine="295"/>
        <w:spacing w:after="0" w:line="264" w:lineRule="auto"/>
        <w:rPr>
          <w:sz w:val="20"/>
          <w:szCs w:val="20"/>
          <w:color w:val="auto"/>
        </w:rPr>
      </w:pPr>
      <w:r>
        <w:rPr>
          <w:rFonts w:ascii="Arial" w:cs="Arial" w:eastAsia="Arial" w:hAnsi="Arial"/>
          <w:sz w:val="12"/>
          <w:szCs w:val="12"/>
          <w:color w:val="auto"/>
        </w:rPr>
        <w:t xml:space="preserve">6.12 </w:t>
      </w:r>
      <w:r>
        <w:rPr>
          <w:rFonts w:ascii="Arial" w:cs="Arial" w:eastAsia="Arial" w:hAnsi="Arial"/>
          <w:sz w:val="12"/>
          <w:szCs w:val="12"/>
          <w:u w:val="single" w:color="auto"/>
          <w:color w:val="auto"/>
        </w:rPr>
        <w:t>Tax Matters</w:t>
      </w:r>
      <w:r>
        <w:rPr>
          <w:rFonts w:ascii="Arial" w:cs="Arial" w:eastAsia="Arial" w:hAnsi="Arial"/>
          <w:sz w:val="12"/>
          <w:szCs w:val="12"/>
          <w:color w:val="auto"/>
        </w:rPr>
        <w:t>. The Parties shall not file any U.S. federal, state or local Tax Return in a manner that is inconsistent with the treatment of the Merger as a “reorganization” within the meaning of Section 368(a) of the Code for U.S. federal, state income and other relevant Tax purposes, unless otherwise required by applicable Law.</w:t>
      </w:r>
    </w:p>
    <w:p>
      <w:pPr>
        <w:spacing w:after="0" w:line="122" w:lineRule="exact"/>
        <w:rPr>
          <w:sz w:val="20"/>
          <w:szCs w:val="20"/>
          <w:color w:val="auto"/>
        </w:rPr>
      </w:pPr>
    </w:p>
    <w:p>
      <w:pPr>
        <w:ind w:left="840" w:right="859" w:firstLine="295"/>
        <w:spacing w:after="0" w:line="260" w:lineRule="auto"/>
        <w:rPr>
          <w:sz w:val="20"/>
          <w:szCs w:val="20"/>
          <w:color w:val="auto"/>
        </w:rPr>
      </w:pPr>
      <w:r>
        <w:rPr>
          <w:rFonts w:ascii="Arial" w:cs="Arial" w:eastAsia="Arial" w:hAnsi="Arial"/>
          <w:sz w:val="12"/>
          <w:szCs w:val="12"/>
          <w:color w:val="auto"/>
        </w:rPr>
        <w:t xml:space="preserve">6.13 </w:t>
      </w:r>
      <w:r>
        <w:rPr>
          <w:rFonts w:ascii="Arial" w:cs="Arial" w:eastAsia="Arial" w:hAnsi="Arial"/>
          <w:sz w:val="12"/>
          <w:szCs w:val="12"/>
          <w:u w:val="single" w:color="auto"/>
          <w:color w:val="auto"/>
        </w:rPr>
        <w:t>Legends</w:t>
      </w:r>
      <w:r>
        <w:rPr>
          <w:rFonts w:ascii="Arial" w:cs="Arial" w:eastAsia="Arial" w:hAnsi="Arial"/>
          <w:sz w:val="12"/>
          <w:szCs w:val="12"/>
          <w:color w:val="auto"/>
        </w:rPr>
        <w:t>. Zordich shall be entitled to place appropriate legends on the book entries and/or certificates evidencing any shares of Zordich Common Stock to be received in the Merger by equityholders of the Company who may be considered “affiliates” of Zordich for purposes of Rules 144 and 145 under the Securities Act reflecting the restrictions set forth in Rules 144 and 145 and to issue appropriate stop transfer instructions to the transfer agent for Zordich Common Stock.</w:t>
      </w:r>
    </w:p>
    <w:p>
      <w:pPr>
        <w:spacing w:after="0" w:line="124" w:lineRule="exact"/>
        <w:rPr>
          <w:sz w:val="20"/>
          <w:szCs w:val="20"/>
          <w:color w:val="auto"/>
        </w:rPr>
      </w:pPr>
    </w:p>
    <w:p>
      <w:pPr>
        <w:ind w:left="840" w:right="879" w:firstLine="295"/>
        <w:spacing w:after="0" w:line="256" w:lineRule="auto"/>
        <w:rPr>
          <w:sz w:val="20"/>
          <w:szCs w:val="20"/>
          <w:color w:val="auto"/>
        </w:rPr>
      </w:pPr>
      <w:r>
        <w:rPr>
          <w:rFonts w:ascii="Arial" w:cs="Arial" w:eastAsia="Arial" w:hAnsi="Arial"/>
          <w:sz w:val="12"/>
          <w:szCs w:val="12"/>
          <w:color w:val="auto"/>
        </w:rPr>
        <w:t xml:space="preserve">6.14 </w:t>
      </w:r>
      <w:r>
        <w:rPr>
          <w:rFonts w:ascii="Arial" w:cs="Arial" w:eastAsia="Arial" w:hAnsi="Arial"/>
          <w:sz w:val="12"/>
          <w:szCs w:val="12"/>
          <w:u w:val="single" w:color="auto"/>
          <w:color w:val="auto"/>
        </w:rPr>
        <w:t>Directors</w:t>
      </w:r>
      <w:r>
        <w:rPr>
          <w:rFonts w:ascii="Arial" w:cs="Arial" w:eastAsia="Arial" w:hAnsi="Arial"/>
          <w:sz w:val="12"/>
          <w:szCs w:val="12"/>
          <w:color w:val="auto"/>
        </w:rPr>
        <w:t>. Until successors are duly elected or appointed and qualified in accordance with applicable Law, the Parties shall use reasonable best efforts and take all necessary action so that the Persons listed in Section 6.14 of the Zordich Disclosure Schedule are elected or appointed, as applicable, to the positions of officers and directors of Zordich and the Surviving Corporation, as set forth therein, to serve in such positions effective as of the Effective Time. If any Person listed in Section 6.14 of the Zordich Disclosure Schedule is unable or unwilling to serve as officer or director of Zordich or the Surviving Corporation, as set forth therein, the Party appointing such Person (as set forth on Section 6.14 of the Zordich Disclosure Schedule) shall designate a successor.</w:t>
      </w:r>
    </w:p>
    <w:p>
      <w:pPr>
        <w:spacing w:after="0" w:line="128" w:lineRule="exact"/>
        <w:rPr>
          <w:sz w:val="20"/>
          <w:szCs w:val="20"/>
          <w:color w:val="auto"/>
        </w:rPr>
      </w:pPr>
    </w:p>
    <w:p>
      <w:pPr>
        <w:ind w:left="840" w:right="899" w:firstLine="295"/>
        <w:spacing w:after="0" w:line="256" w:lineRule="auto"/>
        <w:rPr>
          <w:sz w:val="20"/>
          <w:szCs w:val="20"/>
          <w:color w:val="auto"/>
        </w:rPr>
      </w:pPr>
      <w:r>
        <w:rPr>
          <w:rFonts w:ascii="Arial" w:cs="Arial" w:eastAsia="Arial" w:hAnsi="Arial"/>
          <w:sz w:val="12"/>
          <w:szCs w:val="12"/>
          <w:color w:val="auto"/>
        </w:rPr>
        <w:t xml:space="preserve">6.15 </w:t>
      </w:r>
      <w:r>
        <w:rPr>
          <w:rFonts w:ascii="Arial" w:cs="Arial" w:eastAsia="Arial" w:hAnsi="Arial"/>
          <w:sz w:val="12"/>
          <w:szCs w:val="12"/>
          <w:u w:val="single" w:color="auto"/>
          <w:color w:val="auto"/>
        </w:rPr>
        <w:t>Termination of Certain Agreements and Rights</w:t>
      </w:r>
      <w:r>
        <w:rPr>
          <w:rFonts w:ascii="Arial" w:cs="Arial" w:eastAsia="Arial" w:hAnsi="Arial"/>
          <w:sz w:val="12"/>
          <w:szCs w:val="12"/>
          <w:color w:val="auto"/>
        </w:rPr>
        <w:t>. Except as set forth on Section 6.15 of the Zordich Disclosure Schedule, each of Zordich and the Company shall cause any stockholders agreements, voting agreements, registration rights agreements, co-sale agreements and any other similar Contracts between either Zordich or the Company and any holders of Zordich Common Stock or Company Common Stock, respectively, including any such Contract granting any Person investor rights, rights of first refusal, registration rights or director registration rights (collectively, the “</w:t>
      </w:r>
      <w:r>
        <w:rPr>
          <w:rFonts w:ascii="Arial" w:cs="Arial" w:eastAsia="Arial" w:hAnsi="Arial"/>
          <w:sz w:val="12"/>
          <w:szCs w:val="12"/>
          <w:b w:val="1"/>
          <w:bCs w:val="1"/>
          <w:color w:val="auto"/>
        </w:rPr>
        <w:t>Investor</w:t>
      </w:r>
      <w:r>
        <w:rPr>
          <w:rFonts w:ascii="Arial" w:cs="Arial" w:eastAsia="Arial" w:hAnsi="Arial"/>
          <w:sz w:val="12"/>
          <w:szCs w:val="12"/>
          <w:color w:val="auto"/>
        </w:rPr>
        <w:t xml:space="preserve"> </w:t>
      </w:r>
      <w:r>
        <w:rPr>
          <w:rFonts w:ascii="Arial" w:cs="Arial" w:eastAsia="Arial" w:hAnsi="Arial"/>
          <w:sz w:val="12"/>
          <w:szCs w:val="12"/>
          <w:b w:val="1"/>
          <w:bCs w:val="1"/>
          <w:color w:val="auto"/>
        </w:rPr>
        <w:t>Agreements</w:t>
      </w:r>
      <w:r>
        <w:rPr>
          <w:rFonts w:ascii="Arial" w:cs="Arial" w:eastAsia="Arial" w:hAnsi="Arial"/>
          <w:sz w:val="12"/>
          <w:szCs w:val="12"/>
          <w:color w:val="auto"/>
        </w:rPr>
        <w:t>”), to be terminated immediately prior to the Effective Time, without any liability being imposed on the part of Zordich or the Surviving</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w:t>
      </w:r>
    </w:p>
    <w:p>
      <w:pPr>
        <w:spacing w:after="0" w:line="128" w:lineRule="exact"/>
        <w:rPr>
          <w:sz w:val="20"/>
          <w:szCs w:val="20"/>
          <w:color w:val="auto"/>
        </w:rPr>
      </w:pPr>
    </w:p>
    <w:p>
      <w:pPr>
        <w:ind w:left="840" w:right="859" w:firstLine="295"/>
        <w:spacing w:after="0" w:line="324" w:lineRule="auto"/>
        <w:rPr>
          <w:sz w:val="20"/>
          <w:szCs w:val="20"/>
          <w:color w:val="auto"/>
        </w:rPr>
      </w:pPr>
      <w:r>
        <w:rPr>
          <w:rFonts w:ascii="Arial" w:cs="Arial" w:eastAsia="Arial" w:hAnsi="Arial"/>
          <w:sz w:val="11"/>
          <w:szCs w:val="11"/>
          <w:color w:val="auto"/>
        </w:rPr>
        <w:t xml:space="preserve">6.16 </w:t>
      </w:r>
      <w:r>
        <w:rPr>
          <w:rFonts w:ascii="Arial" w:cs="Arial" w:eastAsia="Arial" w:hAnsi="Arial"/>
          <w:sz w:val="11"/>
          <w:szCs w:val="11"/>
          <w:u w:val="single" w:color="auto"/>
          <w:color w:val="auto"/>
        </w:rPr>
        <w:t>Corporate Identity</w:t>
      </w:r>
      <w:r>
        <w:rPr>
          <w:rFonts w:ascii="Arial" w:cs="Arial" w:eastAsia="Arial" w:hAnsi="Arial"/>
          <w:sz w:val="11"/>
          <w:szCs w:val="11"/>
          <w:color w:val="auto"/>
        </w:rPr>
        <w:t>. Zordich shall submit to its stockholders at the Zordich Stockholder Meeting a proposal to approve and adopt an amendment to Zordich’s certificate of incorporation to change the name of Zordich to “Larimar Therapeutics, Inc.”, contingent upon the Effective Time.</w:t>
      </w:r>
    </w:p>
    <w:p>
      <w:pPr>
        <w:spacing w:after="0" w:line="92" w:lineRule="exact"/>
        <w:rPr>
          <w:sz w:val="20"/>
          <w:szCs w:val="20"/>
          <w:color w:val="auto"/>
        </w:rPr>
      </w:pPr>
    </w:p>
    <w:p>
      <w:pPr>
        <w:ind w:left="840" w:right="919" w:firstLine="295"/>
        <w:spacing w:after="0" w:line="260" w:lineRule="auto"/>
        <w:rPr>
          <w:sz w:val="20"/>
          <w:szCs w:val="20"/>
          <w:color w:val="auto"/>
        </w:rPr>
      </w:pPr>
      <w:r>
        <w:rPr>
          <w:rFonts w:ascii="Arial" w:cs="Arial" w:eastAsia="Arial" w:hAnsi="Arial"/>
          <w:sz w:val="12"/>
          <w:szCs w:val="12"/>
          <w:color w:val="auto"/>
        </w:rPr>
        <w:t xml:space="preserve">6.17 </w:t>
      </w:r>
      <w:r>
        <w:rPr>
          <w:rFonts w:ascii="Arial" w:cs="Arial" w:eastAsia="Arial" w:hAnsi="Arial"/>
          <w:sz w:val="12"/>
          <w:szCs w:val="12"/>
          <w:u w:val="single" w:color="auto"/>
          <w:color w:val="auto"/>
        </w:rPr>
        <w:t>Section 16 Matters</w:t>
      </w:r>
      <w:r>
        <w:rPr>
          <w:rFonts w:ascii="Arial" w:cs="Arial" w:eastAsia="Arial" w:hAnsi="Arial"/>
          <w:sz w:val="12"/>
          <w:szCs w:val="12"/>
          <w:color w:val="auto"/>
        </w:rPr>
        <w:t>. Prior to the Effective Time, Zordich shall take all such steps as may be required to cause any acquisitions of Zordich Common Stock and any options to purchase Zordich Common Stock in connection with the Contemplated Transactions, by each individual who is reasonably expected to become subject to the reporting requirements of Section 16(a) of the Exchange Act with respect to Zordich, to be exempt under Rule 16b-3 promulgated under the Exchange Act.</w:t>
      </w:r>
    </w:p>
    <w:p>
      <w:pPr>
        <w:spacing w:after="0" w:line="124" w:lineRule="exact"/>
        <w:rPr>
          <w:sz w:val="20"/>
          <w:szCs w:val="20"/>
          <w:color w:val="auto"/>
        </w:rPr>
      </w:pPr>
    </w:p>
    <w:p>
      <w:pPr>
        <w:ind w:left="840" w:right="879" w:firstLine="295"/>
        <w:spacing w:after="0" w:line="290" w:lineRule="auto"/>
        <w:rPr>
          <w:sz w:val="20"/>
          <w:szCs w:val="20"/>
          <w:color w:val="auto"/>
        </w:rPr>
      </w:pPr>
      <w:r>
        <w:rPr>
          <w:rFonts w:ascii="Arial" w:cs="Arial" w:eastAsia="Arial" w:hAnsi="Arial"/>
          <w:sz w:val="11"/>
          <w:szCs w:val="11"/>
          <w:color w:val="auto"/>
        </w:rPr>
        <w:t xml:space="preserve">6.18 </w:t>
      </w:r>
      <w:r>
        <w:rPr>
          <w:rFonts w:ascii="Arial" w:cs="Arial" w:eastAsia="Arial" w:hAnsi="Arial"/>
          <w:sz w:val="11"/>
          <w:szCs w:val="11"/>
          <w:u w:val="single" w:color="auto"/>
          <w:color w:val="auto"/>
        </w:rPr>
        <w:t>Allocation Certificate</w:t>
      </w:r>
      <w:r>
        <w:rPr>
          <w:rFonts w:ascii="Arial" w:cs="Arial" w:eastAsia="Arial" w:hAnsi="Arial"/>
          <w:sz w:val="11"/>
          <w:szCs w:val="11"/>
          <w:color w:val="auto"/>
        </w:rPr>
        <w:t>. The Company will prepare and deliver to Zordich at least two (2) Business Days prior to the Closing Date a certificate signed by the Chief Financial Officer of the Company in a form reasonably acceptable to Zordich setting forth (as of immediately prior to the Effective Time) (a) each holder of Company Common Stock or Holdings Options, (b) such holder’s name and address, (c) the number and type of Company Common Stock held and/or underlying the Holdings Options as of the Closing Date for each such holder, and (d) the number of shares of</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9019"/>
          </w:cols>
          <w:pgMar w:left="1440" w:top="230" w:right="1440" w:bottom="1440" w:gutter="0" w:footer="0" w:header="0"/>
        </w:sectPr>
      </w:pPr>
    </w:p>
    <w:bookmarkStart w:id="81" w:name="page82"/>
    <w:bookmarkEnd w:id="81"/>
    <w:p>
      <w:pPr>
        <w:ind w:left="840" w:right="859"/>
        <w:spacing w:after="0" w:line="381"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Zordich Common Stock to be issued to such holder, or to underlie any Zordich Option to be issued to such holder, pursuant to this Agreement in respect of the Company Common Stock or Holdings Options held by such holder as of immediately prior to the Effective Time (the “</w:t>
      </w:r>
      <w:r>
        <w:rPr>
          <w:rFonts w:ascii="Arial" w:cs="Arial" w:eastAsia="Arial" w:hAnsi="Arial"/>
          <w:sz w:val="10"/>
          <w:szCs w:val="10"/>
          <w:b w:val="1"/>
          <w:bCs w:val="1"/>
          <w:color w:val="auto"/>
        </w:rPr>
        <w:t>Allocation Certificate</w:t>
      </w:r>
      <w:r>
        <w:rPr>
          <w:rFonts w:ascii="Arial" w:cs="Arial" w:eastAsia="Arial" w:hAnsi="Arial"/>
          <w:sz w:val="10"/>
          <w:szCs w:val="10"/>
          <w:color w:val="auto"/>
        </w:rPr>
        <w:t>”).</w:t>
      </w:r>
    </w:p>
    <w:p>
      <w:pPr>
        <w:spacing w:after="0" w:line="68" w:lineRule="exact"/>
        <w:rPr>
          <w:sz w:val="20"/>
          <w:szCs w:val="20"/>
          <w:color w:val="auto"/>
        </w:rPr>
      </w:pPr>
    </w:p>
    <w:p>
      <w:pPr>
        <w:ind w:left="840" w:right="899" w:firstLine="295"/>
        <w:spacing w:after="0" w:line="257" w:lineRule="auto"/>
        <w:rPr>
          <w:sz w:val="20"/>
          <w:szCs w:val="20"/>
          <w:color w:val="auto"/>
        </w:rPr>
      </w:pPr>
      <w:r>
        <w:rPr>
          <w:rFonts w:ascii="Arial" w:cs="Arial" w:eastAsia="Arial" w:hAnsi="Arial"/>
          <w:sz w:val="12"/>
          <w:szCs w:val="12"/>
          <w:color w:val="auto"/>
        </w:rPr>
        <w:t xml:space="preserve">6.19 </w:t>
      </w:r>
      <w:r>
        <w:rPr>
          <w:rFonts w:ascii="Arial" w:cs="Arial" w:eastAsia="Arial" w:hAnsi="Arial"/>
          <w:sz w:val="12"/>
          <w:szCs w:val="12"/>
          <w:u w:val="single" w:color="auto"/>
          <w:color w:val="auto"/>
        </w:rPr>
        <w:t>Zordich Reverse Stock Split</w:t>
      </w:r>
      <w:r>
        <w:rPr>
          <w:rFonts w:ascii="Arial" w:cs="Arial" w:eastAsia="Arial" w:hAnsi="Arial"/>
          <w:sz w:val="12"/>
          <w:szCs w:val="12"/>
          <w:color w:val="auto"/>
        </w:rPr>
        <w:t>. If requested by the Company prior to filing the preliminary Proxy Statement, Zordich shall submit to Zordich’s stockholders at the Zordich Stockholder Meeting a proposal to approve and adopt an amendment to Zordich’s certificate of incorporation to authorize the Zordich Board to effect a reverse stock split of all outstanding shares of Zordich Common Stock at a reverse stock split ratio indicated by the Company in its request notice and reasonably acceptable to Zordich (the “</w:t>
      </w:r>
      <w:r>
        <w:rPr>
          <w:rFonts w:ascii="Arial" w:cs="Arial" w:eastAsia="Arial" w:hAnsi="Arial"/>
          <w:sz w:val="12"/>
          <w:szCs w:val="12"/>
          <w:b w:val="1"/>
          <w:bCs w:val="1"/>
          <w:color w:val="auto"/>
        </w:rPr>
        <w:t>Zordich Reverse Stock Split</w:t>
      </w:r>
      <w:r>
        <w:rPr>
          <w:rFonts w:ascii="Arial" w:cs="Arial" w:eastAsia="Arial" w:hAnsi="Arial"/>
          <w:sz w:val="12"/>
          <w:szCs w:val="12"/>
          <w:color w:val="auto"/>
        </w:rPr>
        <w:t>”), and shall take such other actions as shall be reasonably necessary to effectuate the Zordich Reverse Stock Split.</w:t>
      </w:r>
    </w:p>
    <w:p>
      <w:pPr>
        <w:spacing w:after="0" w:line="128" w:lineRule="exact"/>
        <w:rPr>
          <w:sz w:val="20"/>
          <w:szCs w:val="20"/>
          <w:color w:val="auto"/>
        </w:rPr>
      </w:pPr>
    </w:p>
    <w:p>
      <w:pPr>
        <w:ind w:left="840" w:right="859" w:firstLine="295"/>
        <w:spacing w:after="0" w:line="277" w:lineRule="auto"/>
        <w:rPr>
          <w:sz w:val="20"/>
          <w:szCs w:val="20"/>
          <w:color w:val="auto"/>
        </w:rPr>
      </w:pPr>
      <w:r>
        <w:rPr>
          <w:rFonts w:ascii="Arial" w:cs="Arial" w:eastAsia="Arial" w:hAnsi="Arial"/>
          <w:sz w:val="12"/>
          <w:szCs w:val="12"/>
          <w:color w:val="auto"/>
        </w:rPr>
        <w:t xml:space="preserve">6.20 </w:t>
      </w:r>
      <w:r>
        <w:rPr>
          <w:rFonts w:ascii="Arial" w:cs="Arial" w:eastAsia="Arial" w:hAnsi="Arial"/>
          <w:sz w:val="12"/>
          <w:szCs w:val="12"/>
          <w:u w:val="single" w:color="auto"/>
          <w:color w:val="auto"/>
        </w:rPr>
        <w:t>Obligations of Merger Sub</w:t>
      </w:r>
      <w:r>
        <w:rPr>
          <w:rFonts w:ascii="Arial" w:cs="Arial" w:eastAsia="Arial" w:hAnsi="Arial"/>
          <w:sz w:val="12"/>
          <w:szCs w:val="12"/>
          <w:color w:val="auto"/>
        </w:rPr>
        <w:t>. Zordich will take all action necessary to cause Merger Sub to perform its obligations under this Agreement and to consummate the Merger on the terms and conditions set forth in this Agreement.</w:t>
      </w:r>
    </w:p>
    <w:p>
      <w:pPr>
        <w:spacing w:after="0" w:line="115" w:lineRule="exact"/>
        <w:rPr>
          <w:sz w:val="20"/>
          <w:szCs w:val="20"/>
          <w:color w:val="auto"/>
        </w:rPr>
      </w:pPr>
    </w:p>
    <w:p>
      <w:pPr>
        <w:ind w:left="840" w:right="839" w:firstLine="295"/>
        <w:spacing w:after="0" w:line="279" w:lineRule="auto"/>
        <w:rPr>
          <w:sz w:val="20"/>
          <w:szCs w:val="20"/>
          <w:color w:val="auto"/>
        </w:rPr>
      </w:pPr>
      <w:r>
        <w:rPr>
          <w:rFonts w:ascii="Arial" w:cs="Arial" w:eastAsia="Arial" w:hAnsi="Arial"/>
          <w:sz w:val="11"/>
          <w:szCs w:val="11"/>
          <w:color w:val="auto"/>
        </w:rPr>
        <w:t xml:space="preserve">6.21 </w:t>
      </w:r>
      <w:r>
        <w:rPr>
          <w:rFonts w:ascii="Arial" w:cs="Arial" w:eastAsia="Arial" w:hAnsi="Arial"/>
          <w:sz w:val="11"/>
          <w:szCs w:val="11"/>
          <w:u w:val="single" w:color="auto"/>
          <w:color w:val="auto"/>
        </w:rPr>
        <w:t>Private Placement</w:t>
      </w:r>
      <w:r>
        <w:rPr>
          <w:rFonts w:ascii="Arial" w:cs="Arial" w:eastAsia="Arial" w:hAnsi="Arial"/>
          <w:sz w:val="11"/>
          <w:szCs w:val="11"/>
          <w:color w:val="auto"/>
        </w:rPr>
        <w:t>. The Company shall use commercially reasonable efforts to take such actions and cause the holders of Company Common Stock and equity interests in Holdings to provide all documentation, including investor questionnaires, reasonably requested by Zordich to allow Zordich to issue the Zordich Common Stock to such holders in a manner that satisfies the requirements of Rule 506 of Regulation D under the Securities Act or Rule 902 of Regulation S, including certifications to Zordich: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Zordich Common Stock; and (iii) that the Zordich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19" w:lineRule="exact"/>
        <w:rPr>
          <w:sz w:val="20"/>
          <w:szCs w:val="20"/>
          <w:color w:val="auto"/>
        </w:rPr>
      </w:pPr>
    </w:p>
    <w:p>
      <w:pPr>
        <w:ind w:left="840" w:right="839" w:firstLine="295"/>
        <w:spacing w:after="0" w:line="280" w:lineRule="auto"/>
        <w:rPr>
          <w:sz w:val="20"/>
          <w:szCs w:val="20"/>
          <w:color w:val="auto"/>
        </w:rPr>
      </w:pPr>
      <w:r>
        <w:rPr>
          <w:rFonts w:ascii="Arial" w:cs="Arial" w:eastAsia="Arial" w:hAnsi="Arial"/>
          <w:sz w:val="11"/>
          <w:szCs w:val="11"/>
          <w:color w:val="auto"/>
        </w:rPr>
        <w:t xml:space="preserve">6.22 </w:t>
      </w:r>
      <w:r>
        <w:rPr>
          <w:rFonts w:ascii="Arial" w:cs="Arial" w:eastAsia="Arial" w:hAnsi="Arial"/>
          <w:sz w:val="11"/>
          <w:szCs w:val="11"/>
          <w:u w:val="single" w:color="auto"/>
          <w:color w:val="auto"/>
        </w:rPr>
        <w:t>Registration Rights</w:t>
      </w:r>
      <w:r>
        <w:rPr>
          <w:rFonts w:ascii="Arial" w:cs="Arial" w:eastAsia="Arial" w:hAnsi="Arial"/>
          <w:sz w:val="11"/>
          <w:szCs w:val="11"/>
          <w:color w:val="auto"/>
        </w:rPr>
        <w:t xml:space="preserve">. Within thirty (30) days following the Closing Date, Zordich will prepare and file with the SEC a registration statement on Form S-3 (or if Form S-3 is not available, such other form as may provide for a resale of the shares of Zordich Common Stock issued pursuant to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but with such registration obligations otherwise consistent with the requirements of this Section 6.22), covering the resale of all of the shares of Zordich Common Stock issued pursuant to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(together with all amendments and supplements thereto, including post-effective amendments, all exhibits thereto and all material incorporated by reference therein,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xml:space="preserve">”). Zordich will use commercially reasonable efforts to cause the Registration Statement to be declared effective by the SEC as soon as possible following the filing of the Registration Statement and to be maintained effective until the date that all of the shares of Zordich Common Stock issued pursuant to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have actually been sold. Zordich shall also provide stockholders that have received shares of Zordich Common Stock issued pursuant to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with customary demand and piggyback registration rights related to such shares.</w:t>
      </w:r>
    </w:p>
    <w:p>
      <w:pPr>
        <w:spacing w:after="0" w:line="112" w:lineRule="exact"/>
        <w:rPr>
          <w:sz w:val="20"/>
          <w:szCs w:val="20"/>
          <w:color w:val="auto"/>
        </w:rPr>
      </w:pPr>
    </w:p>
    <w:p>
      <w:pPr>
        <w:ind w:left="840" w:right="899" w:firstLine="295"/>
        <w:spacing w:after="0" w:line="303" w:lineRule="auto"/>
        <w:rPr>
          <w:sz w:val="20"/>
          <w:szCs w:val="20"/>
          <w:color w:val="auto"/>
        </w:rPr>
      </w:pPr>
      <w:r>
        <w:rPr>
          <w:rFonts w:ascii="Arial" w:cs="Arial" w:eastAsia="Arial" w:hAnsi="Arial"/>
          <w:sz w:val="11"/>
          <w:szCs w:val="11"/>
          <w:color w:val="auto"/>
        </w:rPr>
        <w:t xml:space="preserve">6.23 </w:t>
      </w:r>
      <w:r>
        <w:rPr>
          <w:rFonts w:ascii="Arial" w:cs="Arial" w:eastAsia="Arial" w:hAnsi="Arial"/>
          <w:sz w:val="11"/>
          <w:szCs w:val="11"/>
          <w:u w:val="single" w:color="auto"/>
          <w:color w:val="auto"/>
        </w:rPr>
        <w:t>Payoff Letter</w:t>
      </w:r>
      <w:r>
        <w:rPr>
          <w:rFonts w:ascii="Arial" w:cs="Arial" w:eastAsia="Arial" w:hAnsi="Arial"/>
          <w:sz w:val="11"/>
          <w:szCs w:val="11"/>
          <w:color w:val="auto"/>
        </w:rPr>
        <w:t>. Zordich shall obtain prior to the Effective Time a payoff letter (the “</w:t>
      </w:r>
      <w:r>
        <w:rPr>
          <w:rFonts w:ascii="Arial" w:cs="Arial" w:eastAsia="Arial" w:hAnsi="Arial"/>
          <w:sz w:val="11"/>
          <w:szCs w:val="11"/>
          <w:b w:val="1"/>
          <w:bCs w:val="1"/>
          <w:color w:val="auto"/>
        </w:rPr>
        <w:t>Payoff Letter</w:t>
      </w:r>
      <w:r>
        <w:rPr>
          <w:rFonts w:ascii="Arial" w:cs="Arial" w:eastAsia="Arial" w:hAnsi="Arial"/>
          <w:sz w:val="11"/>
          <w:szCs w:val="11"/>
          <w:color w:val="auto"/>
        </w:rPr>
        <w:t>”) in respect of the SVB Debt, which will provide the dollar amount of all indebtedness required to be paid in order to fully pay off the SVB Debt as of the Effective Time and to release all Encumbrances thereunder upon such payment. Zordich shall pay in full at the Effective Time such amount set forth in the Payoff Letter.</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9019"/>
          </w:cols>
          <w:pgMar w:left="1440" w:top="230" w:right="1440" w:bottom="1440" w:gutter="0" w:footer="0" w:header="0"/>
        </w:sectPr>
      </w:pPr>
    </w:p>
    <w:bookmarkStart w:id="82" w:name="page83"/>
    <w:bookmarkEnd w:id="82"/>
    <w:p>
      <w:pPr>
        <w:ind w:left="840" w:right="819" w:firstLine="295"/>
        <w:spacing w:after="0" w:line="25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6.24 </w:t>
      </w:r>
      <w:r>
        <w:rPr>
          <w:rFonts w:ascii="Arial" w:cs="Arial" w:eastAsia="Arial" w:hAnsi="Arial"/>
          <w:sz w:val="12"/>
          <w:szCs w:val="12"/>
          <w:u w:val="single" w:color="auto"/>
          <w:color w:val="auto"/>
        </w:rPr>
        <w:t>State Takeover Laws</w:t>
      </w:r>
      <w:r>
        <w:rPr>
          <w:rFonts w:ascii="Arial" w:cs="Arial" w:eastAsia="Arial" w:hAnsi="Arial"/>
          <w:sz w:val="12"/>
          <w:szCs w:val="12"/>
          <w:color w:val="auto"/>
        </w:rPr>
        <w:t>. If any “fair price,” “business combination” or “control share acquisition” statute or other similar anti-takeover statute or regulation is or may become applicable to the Contemplated Transactions, each of the Company, the Company Board, Zordich and the Zordich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28" w:lineRule="exact"/>
        <w:rPr>
          <w:sz w:val="20"/>
          <w:szCs w:val="20"/>
          <w:color w:val="auto"/>
        </w:rPr>
      </w:pPr>
    </w:p>
    <w:p>
      <w:pPr>
        <w:ind w:left="840" w:right="899" w:firstLine="295"/>
        <w:spacing w:after="0" w:line="257" w:lineRule="auto"/>
        <w:rPr>
          <w:sz w:val="20"/>
          <w:szCs w:val="20"/>
          <w:color w:val="auto"/>
        </w:rPr>
      </w:pPr>
      <w:r>
        <w:rPr>
          <w:rFonts w:ascii="Arial" w:cs="Arial" w:eastAsia="Arial" w:hAnsi="Arial"/>
          <w:sz w:val="12"/>
          <w:szCs w:val="12"/>
          <w:color w:val="auto"/>
        </w:rPr>
        <w:t xml:space="preserve">6.25 </w:t>
      </w:r>
      <w:r>
        <w:rPr>
          <w:rFonts w:ascii="Arial" w:cs="Arial" w:eastAsia="Arial" w:hAnsi="Arial"/>
          <w:sz w:val="12"/>
          <w:szCs w:val="12"/>
          <w:u w:val="single" w:color="auto"/>
          <w:color w:val="auto"/>
        </w:rPr>
        <w:t>Further Assurances</w:t>
      </w:r>
      <w:r>
        <w:rPr>
          <w:rFonts w:ascii="Arial" w:cs="Arial" w:eastAsia="Arial" w:hAnsi="Arial"/>
          <w:sz w:val="12"/>
          <w:szCs w:val="12"/>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28" w:lineRule="exact"/>
        <w:rPr>
          <w:sz w:val="20"/>
          <w:szCs w:val="20"/>
          <w:color w:val="auto"/>
        </w:rPr>
      </w:pPr>
    </w:p>
    <w:p>
      <w:pPr>
        <w:ind w:left="840" w:right="879" w:firstLine="295"/>
        <w:spacing w:after="0" w:line="277" w:lineRule="auto"/>
        <w:rPr>
          <w:sz w:val="20"/>
          <w:szCs w:val="20"/>
          <w:color w:val="auto"/>
        </w:rPr>
      </w:pPr>
      <w:r>
        <w:rPr>
          <w:rFonts w:ascii="Arial" w:cs="Arial" w:eastAsia="Arial" w:hAnsi="Arial"/>
          <w:sz w:val="11"/>
          <w:szCs w:val="11"/>
          <w:color w:val="auto"/>
        </w:rPr>
        <w:t xml:space="preserve">6.26 </w:t>
      </w:r>
      <w:r>
        <w:rPr>
          <w:rFonts w:ascii="Arial" w:cs="Arial" w:eastAsia="Arial" w:hAnsi="Arial"/>
          <w:sz w:val="11"/>
          <w:szCs w:val="11"/>
          <w:u w:val="single" w:color="auto"/>
          <w:color w:val="auto"/>
        </w:rPr>
        <w:t>Ordinary Course Capital Contributions</w:t>
      </w:r>
      <w:r>
        <w:rPr>
          <w:rFonts w:ascii="Arial" w:cs="Arial" w:eastAsia="Arial" w:hAnsi="Arial"/>
          <w:sz w:val="11"/>
          <w:szCs w:val="11"/>
          <w:color w:val="auto"/>
        </w:rPr>
        <w:t>. As soon as practicable but no later than thirty (30) days after the date hereof, the Company shall provide to Zordich a duly executed and effective copy of an agreement (in form and substance reasonably acceptable to Zordich, it being acknowledged by Zordich that an agreement in the form substantially similar to that certain Bridge Unit Purchase Agreement shall be acceptable to Zordich) providing for the commitment of one or more Persons (which may include Affiliates of the Company) to loan or otherwise invest capital in Holdings from time to time for the purpose of permitting Holdings to make Ordinary Course Capital Contributions (each such agreement, a “</w:t>
      </w:r>
      <w:r>
        <w:rPr>
          <w:rFonts w:ascii="Arial" w:cs="Arial" w:eastAsia="Arial" w:hAnsi="Arial"/>
          <w:sz w:val="11"/>
          <w:szCs w:val="11"/>
          <w:b w:val="1"/>
          <w:bCs w:val="1"/>
          <w:color w:val="auto"/>
        </w:rPr>
        <w:t>Funding Commitment</w:t>
      </w:r>
      <w:r>
        <w:rPr>
          <w:rFonts w:ascii="Arial" w:cs="Arial" w:eastAsia="Arial" w:hAnsi="Arial"/>
          <w:sz w:val="11"/>
          <w:szCs w:val="11"/>
          <w:color w:val="auto"/>
        </w:rPr>
        <w:t>” and the counterparty to such Funding Commitment, a “</w:t>
      </w:r>
      <w:r>
        <w:rPr>
          <w:rFonts w:ascii="Arial" w:cs="Arial" w:eastAsia="Arial" w:hAnsi="Arial"/>
          <w:sz w:val="11"/>
          <w:szCs w:val="11"/>
          <w:b w:val="1"/>
          <w:bCs w:val="1"/>
          <w:color w:val="auto"/>
        </w:rPr>
        <w:t>Funding Counterparty</w:t>
      </w:r>
      <w:r>
        <w:rPr>
          <w:rFonts w:ascii="Arial" w:cs="Arial" w:eastAsia="Arial" w:hAnsi="Arial"/>
          <w:sz w:val="11"/>
          <w:szCs w:val="11"/>
          <w:color w:val="auto"/>
        </w:rPr>
        <w:t>” ). The Company and Holdings shall give Zordich prompt notice of (i) any breach or default by any party to any Funding Commitment or definitive agreements related thereto and (ii) any waivers under or modifications or amendments to, a Funding Commitment. As soon as reasonably practicable, but in any event within two Business Days of the date that Zordich delivers to the Company a written request, the Company shall provide any information reasonably requested by Zordich relating to the status of the Ordinary Course Capital Contributions and/or any Funding Commitment. Holdings shall avail itself of its rights under each Funding Commitment to the extent necessary to make Ordinary Course Capital Contributions and, upon receipt of proceeds under any such Funding Commitment, shall use such proceeds to make Ordinary Course Capital Contributions. It shall constitute a Company Material Adverse Effect hereunder in the event there occurs (i) a failure of a Funding Counterparty under a Funding Commitment to loan or otherwise invest capital in Holdings pursuant to such Funding Commitment in an amount requested by Holdings (provided such request is made in compliance with the terms of such Funding Commitment) for any reason (including as a result of the non-satisfaction of any conditions to such funding contained in the Funding Commitment) and (ii) any breach, termination, waiver, modification or amendment under or of a Funding Commitment that results in Holdings no longer having a source of capital sufficient for it to make Ordinary Course Capital Contributions through the Closing Date.</w:t>
      </w:r>
    </w:p>
    <w:p>
      <w:pPr>
        <w:spacing w:after="0" w:line="118" w:lineRule="exact"/>
        <w:rPr>
          <w:sz w:val="20"/>
          <w:szCs w:val="20"/>
          <w:color w:val="auto"/>
        </w:rPr>
      </w:pPr>
    </w:p>
    <w:p>
      <w:pPr>
        <w:ind w:left="840" w:right="879" w:firstLine="295"/>
        <w:spacing w:after="0" w:line="264"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Conditions Precedent to Obligations of Each Party</w:t>
      </w:r>
      <w:r>
        <w:rPr>
          <w:rFonts w:ascii="Arial" w:cs="Arial" w:eastAsia="Arial" w:hAnsi="Arial"/>
          <w:sz w:val="12"/>
          <w:szCs w:val="12"/>
          <w:color w:val="auto"/>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22" w:lineRule="exact"/>
        <w:rPr>
          <w:sz w:val="20"/>
          <w:szCs w:val="20"/>
          <w:color w:val="auto"/>
        </w:rPr>
      </w:pPr>
    </w:p>
    <w:p>
      <w:pPr>
        <w:ind w:left="840" w:right="839" w:firstLine="295"/>
        <w:spacing w:after="0" w:line="299" w:lineRule="auto"/>
        <w:rPr>
          <w:sz w:val="20"/>
          <w:szCs w:val="20"/>
          <w:color w:val="auto"/>
        </w:rPr>
      </w:pPr>
      <w:r>
        <w:rPr>
          <w:rFonts w:ascii="Arial" w:cs="Arial" w:eastAsia="Arial" w:hAnsi="Arial"/>
          <w:sz w:val="11"/>
          <w:szCs w:val="11"/>
          <w:color w:val="auto"/>
        </w:rPr>
        <w:t xml:space="preserve">7.1 </w:t>
      </w:r>
      <w:r>
        <w:rPr>
          <w:rFonts w:ascii="Arial" w:cs="Arial" w:eastAsia="Arial" w:hAnsi="Arial"/>
          <w:sz w:val="11"/>
          <w:szCs w:val="11"/>
          <w:u w:val="single" w:color="auto"/>
          <w:color w:val="auto"/>
        </w:rPr>
        <w:t>No Restraints</w:t>
      </w:r>
      <w:r>
        <w:rPr>
          <w:rFonts w:ascii="Arial" w:cs="Arial" w:eastAsia="Arial" w:hAnsi="Arial"/>
          <w:sz w:val="11"/>
          <w:szCs w:val="11"/>
          <w:color w:val="auto"/>
        </w:rPr>
        <w:t>.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9019"/>
          </w:cols>
          <w:pgMar w:left="1440" w:top="230" w:right="1440" w:bottom="1440" w:gutter="0" w:footer="0" w:header="0"/>
        </w:sectPr>
      </w:pPr>
    </w:p>
    <w:bookmarkStart w:id="83" w:name="page84"/>
    <w:bookmarkEnd w:id="83"/>
    <w:p>
      <w:pPr>
        <w:ind w:left="840" w:right="879" w:firstLine="295"/>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7.2 </w:t>
      </w:r>
      <w:r>
        <w:rPr>
          <w:rFonts w:ascii="Arial" w:cs="Arial" w:eastAsia="Arial" w:hAnsi="Arial"/>
          <w:sz w:val="12"/>
          <w:szCs w:val="12"/>
          <w:u w:val="single" w:color="auto"/>
          <w:color w:val="auto"/>
        </w:rPr>
        <w:t>Stockholder Approval</w:t>
      </w:r>
      <w:r>
        <w:rPr>
          <w:rFonts w:ascii="Arial" w:cs="Arial" w:eastAsia="Arial" w:hAnsi="Arial"/>
          <w:sz w:val="12"/>
          <w:szCs w:val="12"/>
          <w:color w:val="auto"/>
        </w:rPr>
        <w:t>. (a) Zordich shall have obtained the Required Zordich Stockholder Vote and (b) the Company shall have obtained the Required Company Stockholder Vote.</w:t>
      </w:r>
    </w:p>
    <w:p>
      <w:pPr>
        <w:spacing w:after="0" w:line="187"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2"/>
          <w:szCs w:val="12"/>
          <w:color w:val="auto"/>
        </w:rPr>
        <w:t>Section 8.</w:t>
      </w:r>
      <w:r>
        <w:rPr>
          <w:sz w:val="20"/>
          <w:szCs w:val="20"/>
          <w:color w:val="auto"/>
        </w:rPr>
        <w:tab/>
      </w:r>
      <w:r>
        <w:rPr>
          <w:rFonts w:ascii="Arial" w:cs="Arial" w:eastAsia="Arial" w:hAnsi="Arial"/>
          <w:sz w:val="11"/>
          <w:szCs w:val="11"/>
          <w:u w:val="single" w:color="auto"/>
          <w:color w:val="auto"/>
        </w:rPr>
        <w:t>Additional Conditions Precedent to Obligations of Zordich and Merger Sub.</w:t>
      </w:r>
    </w:p>
    <w:p>
      <w:pPr>
        <w:spacing w:after="0" w:line="79" w:lineRule="exact"/>
        <w:rPr>
          <w:sz w:val="20"/>
          <w:szCs w:val="20"/>
          <w:color w:val="auto"/>
        </w:rPr>
      </w:pPr>
    </w:p>
    <w:p>
      <w:pPr>
        <w:ind w:left="840" w:right="859" w:firstLine="295"/>
        <w:spacing w:after="0" w:line="277" w:lineRule="auto"/>
        <w:rPr>
          <w:sz w:val="20"/>
          <w:szCs w:val="20"/>
          <w:color w:val="auto"/>
        </w:rPr>
      </w:pPr>
      <w:r>
        <w:rPr>
          <w:rFonts w:ascii="Arial" w:cs="Arial" w:eastAsia="Arial" w:hAnsi="Arial"/>
          <w:sz w:val="12"/>
          <w:szCs w:val="12"/>
          <w:color w:val="auto"/>
        </w:rPr>
        <w:t>The obligations of Zordich and Merger Sub to effect the Merger and otherwise consummate the transactions to be consummated at the Closing are subject to the satisfaction or the written waiver by Zordich, at or prior to the Closing, of each of the following conditions:</w:t>
      </w:r>
    </w:p>
    <w:p>
      <w:pPr>
        <w:spacing w:after="0" w:line="115" w:lineRule="exact"/>
        <w:rPr>
          <w:sz w:val="20"/>
          <w:szCs w:val="20"/>
          <w:color w:val="auto"/>
        </w:rPr>
      </w:pPr>
    </w:p>
    <w:p>
      <w:pPr>
        <w:ind w:left="840" w:right="859" w:firstLine="295"/>
        <w:spacing w:after="0" w:line="277" w:lineRule="auto"/>
        <w:rPr>
          <w:sz w:val="20"/>
          <w:szCs w:val="20"/>
          <w:color w:val="auto"/>
        </w:rPr>
      </w:pPr>
      <w:r>
        <w:rPr>
          <w:rFonts w:ascii="Arial" w:cs="Arial" w:eastAsia="Arial" w:hAnsi="Arial"/>
          <w:sz w:val="11"/>
          <w:szCs w:val="11"/>
          <w:color w:val="auto"/>
        </w:rPr>
        <w:t xml:space="preserve">8.1 </w:t>
      </w:r>
      <w:r>
        <w:rPr>
          <w:rFonts w:ascii="Arial" w:cs="Arial" w:eastAsia="Arial" w:hAnsi="Arial"/>
          <w:sz w:val="11"/>
          <w:szCs w:val="11"/>
          <w:u w:val="single" w:color="auto"/>
          <w:color w:val="auto"/>
        </w:rPr>
        <w:t>Accuracy of Representations</w:t>
      </w:r>
      <w:r>
        <w:rPr>
          <w:rFonts w:ascii="Arial" w:cs="Arial" w:eastAsia="Arial" w:hAnsi="Arial"/>
          <w:sz w:val="11"/>
          <w:szCs w:val="11"/>
          <w:color w:val="auto"/>
        </w:rPr>
        <w:t>. The Company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20" w:lineRule="exact"/>
        <w:rPr>
          <w:sz w:val="20"/>
          <w:szCs w:val="20"/>
          <w:color w:val="auto"/>
        </w:rPr>
      </w:pPr>
    </w:p>
    <w:p>
      <w:pPr>
        <w:ind w:left="840" w:right="1139" w:firstLine="295"/>
        <w:spacing w:after="0" w:line="277" w:lineRule="auto"/>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Performance of Covenants</w:t>
      </w:r>
      <w:r>
        <w:rPr>
          <w:rFonts w:ascii="Arial" w:cs="Arial" w:eastAsia="Arial" w:hAnsi="Arial"/>
          <w:sz w:val="12"/>
          <w:szCs w:val="12"/>
          <w:color w:val="auto"/>
        </w:rPr>
        <w:t>. The Company shall have performed or complied with in all material respects all agreements and covenants required to be performed or complied with by it under this Agreement at or prior to the Effective Time.</w:t>
      </w:r>
    </w:p>
    <w:p>
      <w:pPr>
        <w:spacing w:after="0" w:line="115" w:lineRule="exact"/>
        <w:rPr>
          <w:sz w:val="20"/>
          <w:szCs w:val="20"/>
          <w:color w:val="auto"/>
        </w:rPr>
      </w:pPr>
    </w:p>
    <w:p>
      <w:pPr>
        <w:ind w:left="840" w:right="919" w:firstLine="295"/>
        <w:spacing w:after="0" w:line="341" w:lineRule="auto"/>
        <w:rPr>
          <w:sz w:val="20"/>
          <w:szCs w:val="20"/>
          <w:color w:val="auto"/>
        </w:rPr>
      </w:pPr>
      <w:r>
        <w:rPr>
          <w:rFonts w:ascii="Arial" w:cs="Arial" w:eastAsia="Arial" w:hAnsi="Arial"/>
          <w:sz w:val="10"/>
          <w:szCs w:val="10"/>
          <w:color w:val="auto"/>
        </w:rPr>
        <w:t xml:space="preserve">8.3 </w:t>
      </w:r>
      <w:r>
        <w:rPr>
          <w:rFonts w:ascii="Arial" w:cs="Arial" w:eastAsia="Arial" w:hAnsi="Arial"/>
          <w:sz w:val="10"/>
          <w:szCs w:val="10"/>
          <w:u w:val="single" w:color="auto"/>
          <w:color w:val="auto"/>
        </w:rPr>
        <w:t>Closing Certificate</w:t>
      </w:r>
      <w:r>
        <w:rPr>
          <w:rFonts w:ascii="Arial" w:cs="Arial" w:eastAsia="Arial" w:hAnsi="Arial"/>
          <w:sz w:val="10"/>
          <w:szCs w:val="10"/>
          <w:color w:val="auto"/>
        </w:rPr>
        <w:t xml:space="preserve">. Zordich shall have received a certificate executed by the Chief Executive Officer or Chief Financial Officer of the Company certifying (a) that the conditions set forth in </w:t>
      </w:r>
      <w:r>
        <w:rPr>
          <w:rFonts w:ascii="Arial" w:cs="Arial" w:eastAsia="Arial" w:hAnsi="Arial"/>
          <w:sz w:val="10"/>
          <w:szCs w:val="10"/>
          <w:u w:val="single" w:color="auto"/>
          <w:color w:val="auto"/>
        </w:rPr>
        <w:t>Sections 8.1</w:t>
      </w:r>
      <w:r>
        <w:rPr>
          <w:rFonts w:ascii="Arial" w:cs="Arial" w:eastAsia="Arial" w:hAnsi="Arial"/>
          <w:sz w:val="10"/>
          <w:szCs w:val="10"/>
          <w:color w:val="auto"/>
        </w:rPr>
        <w:t xml:space="preserve">, </w:t>
      </w:r>
      <w:r>
        <w:rPr>
          <w:rFonts w:ascii="Arial" w:cs="Arial" w:eastAsia="Arial" w:hAnsi="Arial"/>
          <w:sz w:val="10"/>
          <w:szCs w:val="10"/>
          <w:u w:val="single" w:color="auto"/>
          <w:color w:val="auto"/>
        </w:rPr>
        <w:t>8.2</w:t>
      </w:r>
      <w:r>
        <w:rPr>
          <w:rFonts w:ascii="Arial" w:cs="Arial" w:eastAsia="Arial" w:hAnsi="Arial"/>
          <w:sz w:val="10"/>
          <w:szCs w:val="10"/>
          <w:color w:val="auto"/>
        </w:rPr>
        <w:t xml:space="preserve">, </w:t>
      </w:r>
      <w:r>
        <w:rPr>
          <w:rFonts w:ascii="Arial" w:cs="Arial" w:eastAsia="Arial" w:hAnsi="Arial"/>
          <w:sz w:val="10"/>
          <w:szCs w:val="10"/>
          <w:u w:val="single" w:color="auto"/>
          <w:color w:val="auto"/>
        </w:rPr>
        <w:t>8.4</w:t>
      </w:r>
      <w:r>
        <w:rPr>
          <w:rFonts w:ascii="Arial" w:cs="Arial" w:eastAsia="Arial" w:hAnsi="Arial"/>
          <w:sz w:val="10"/>
          <w:szCs w:val="10"/>
          <w:color w:val="auto"/>
        </w:rPr>
        <w:t xml:space="preserve">, </w:t>
      </w:r>
      <w:r>
        <w:rPr>
          <w:rFonts w:ascii="Arial" w:cs="Arial" w:eastAsia="Arial" w:hAnsi="Arial"/>
          <w:sz w:val="10"/>
          <w:szCs w:val="10"/>
          <w:u w:val="single" w:color="auto"/>
          <w:color w:val="auto"/>
        </w:rPr>
        <w:t>8.6</w:t>
      </w:r>
      <w:r>
        <w:rPr>
          <w:rFonts w:ascii="Arial" w:cs="Arial" w:eastAsia="Arial" w:hAnsi="Arial"/>
          <w:sz w:val="10"/>
          <w:szCs w:val="10"/>
          <w:color w:val="auto"/>
        </w:rPr>
        <w:t xml:space="preserve">, </w:t>
      </w:r>
      <w:r>
        <w:rPr>
          <w:rFonts w:ascii="Arial" w:cs="Arial" w:eastAsia="Arial" w:hAnsi="Arial"/>
          <w:sz w:val="10"/>
          <w:szCs w:val="10"/>
          <w:u w:val="single" w:color="auto"/>
          <w:color w:val="auto"/>
        </w:rPr>
        <w:t>8.8</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8.9</w:t>
      </w:r>
      <w:r>
        <w:rPr>
          <w:rFonts w:ascii="Arial" w:cs="Arial" w:eastAsia="Arial" w:hAnsi="Arial"/>
          <w:sz w:val="10"/>
          <w:szCs w:val="10"/>
          <w:color w:val="auto"/>
        </w:rPr>
        <w:t xml:space="preserve"> have been duly satisfied and (b) that the information set forth in the Allocation Certificate delivered by the Company in accordance with </w:t>
      </w:r>
      <w:r>
        <w:rPr>
          <w:rFonts w:ascii="Arial" w:cs="Arial" w:eastAsia="Arial" w:hAnsi="Arial"/>
          <w:sz w:val="10"/>
          <w:szCs w:val="10"/>
          <w:u w:val="single" w:color="auto"/>
          <w:color w:val="auto"/>
        </w:rPr>
        <w:t>Section 6.18</w:t>
      </w:r>
      <w:r>
        <w:rPr>
          <w:rFonts w:ascii="Arial" w:cs="Arial" w:eastAsia="Arial" w:hAnsi="Arial"/>
          <w:sz w:val="10"/>
          <w:szCs w:val="10"/>
          <w:color w:val="auto"/>
        </w:rPr>
        <w:t xml:space="preserve"> is true and accurate in all respects as of the Closing Date.</w:t>
      </w:r>
    </w:p>
    <w:p>
      <w:pPr>
        <w:spacing w:after="0" w:line="88"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8.4</w:t>
      </w:r>
      <w:r>
        <w:rPr>
          <w:sz w:val="20"/>
          <w:szCs w:val="20"/>
          <w:color w:val="auto"/>
        </w:rPr>
        <w:tab/>
      </w:r>
      <w:r>
        <w:rPr>
          <w:rFonts w:ascii="Arial" w:cs="Arial" w:eastAsia="Arial" w:hAnsi="Arial"/>
          <w:sz w:val="10"/>
          <w:szCs w:val="10"/>
          <w:u w:val="single" w:color="auto"/>
          <w:color w:val="auto"/>
        </w:rPr>
        <w:t>Company Financings</w:t>
      </w:r>
      <w:r>
        <w:rPr>
          <w:rFonts w:ascii="Arial" w:cs="Arial" w:eastAsia="Arial" w:hAnsi="Arial"/>
          <w:sz w:val="10"/>
          <w:szCs w:val="10"/>
          <w:color w:val="auto"/>
        </w:rPr>
        <w:t>. The Company and Holdings shall have performed and complied with its obligations under</w:t>
      </w:r>
      <w:r>
        <w:rPr>
          <w:rFonts w:ascii="Arial" w:cs="Arial" w:eastAsia="Arial" w:hAnsi="Arial"/>
          <w:sz w:val="10"/>
          <w:szCs w:val="10"/>
          <w:u w:val="single" w:color="auto"/>
          <w:color w:val="auto"/>
        </w:rPr>
        <w:t xml:space="preserve"> Section 6.26.</w:t>
      </w:r>
    </w:p>
    <w:p>
      <w:pPr>
        <w:spacing w:after="0" w:line="106"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9019"/>
          </w:cols>
          <w:pgMar w:left="1440" w:top="230" w:right="1440" w:bottom="1440" w:gutter="0" w:footer="0" w:header="0"/>
        </w:sectPr>
      </w:pPr>
    </w:p>
    <w:bookmarkStart w:id="84" w:name="page85"/>
    <w:bookmarkEnd w:id="84"/>
    <w:p>
      <w:pPr>
        <w:ind w:left="840" w:right="1119" w:firstLine="295"/>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8.5 </w:t>
      </w:r>
      <w:r>
        <w:rPr>
          <w:rFonts w:ascii="Arial" w:cs="Arial" w:eastAsia="Arial" w:hAnsi="Arial"/>
          <w:sz w:val="12"/>
          <w:szCs w:val="12"/>
          <w:u w:val="single" w:color="auto"/>
          <w:color w:val="auto"/>
        </w:rPr>
        <w:t>FIRPTA Certificate</w:t>
      </w:r>
      <w:r>
        <w:rPr>
          <w:rFonts w:ascii="Arial" w:cs="Arial" w:eastAsia="Arial" w:hAnsi="Arial"/>
          <w:sz w:val="12"/>
          <w:szCs w:val="12"/>
          <w:color w:val="auto"/>
        </w:rPr>
        <w:t>. Zordich shall have received from the Company a form of notice to the IRS in accordance with the requirements of Treasury Regulations Section 1.897-2(h) and in form and substance reasonably acceptable to Zordich.</w:t>
      </w:r>
    </w:p>
    <w:p>
      <w:pPr>
        <w:spacing w:after="0" w:line="115" w:lineRule="exact"/>
        <w:rPr>
          <w:sz w:val="20"/>
          <w:szCs w:val="20"/>
          <w:color w:val="auto"/>
        </w:rPr>
      </w:pPr>
    </w:p>
    <w:p>
      <w:pPr>
        <w:ind w:left="840" w:right="1139" w:firstLine="295"/>
        <w:spacing w:after="0" w:line="277" w:lineRule="auto"/>
        <w:rPr>
          <w:sz w:val="20"/>
          <w:szCs w:val="20"/>
          <w:color w:val="auto"/>
        </w:rPr>
      </w:pPr>
      <w:r>
        <w:rPr>
          <w:rFonts w:ascii="Arial" w:cs="Arial" w:eastAsia="Arial" w:hAnsi="Arial"/>
          <w:sz w:val="12"/>
          <w:szCs w:val="12"/>
          <w:color w:val="auto"/>
        </w:rPr>
        <w:t xml:space="preserve">8.6 </w:t>
      </w:r>
      <w:r>
        <w:rPr>
          <w:rFonts w:ascii="Arial" w:cs="Arial" w:eastAsia="Arial" w:hAnsi="Arial"/>
          <w:sz w:val="12"/>
          <w:szCs w:val="12"/>
          <w:u w:val="single" w:color="auto"/>
          <w:color w:val="auto"/>
        </w:rPr>
        <w:t>No Company Material Adverse Effect</w:t>
      </w:r>
      <w:r>
        <w:rPr>
          <w:rFonts w:ascii="Arial" w:cs="Arial" w:eastAsia="Arial" w:hAnsi="Arial"/>
          <w:sz w:val="12"/>
          <w:szCs w:val="12"/>
          <w:color w:val="auto"/>
        </w:rPr>
        <w:t>. Since the date of this Agreement, there shall not have occurred any Company Material Adverse Effect.</w:t>
      </w:r>
    </w:p>
    <w:p>
      <w:pPr>
        <w:spacing w:after="0" w:line="115" w:lineRule="exact"/>
        <w:rPr>
          <w:sz w:val="20"/>
          <w:szCs w:val="20"/>
          <w:color w:val="auto"/>
        </w:rPr>
      </w:pPr>
    </w:p>
    <w:p>
      <w:pPr>
        <w:ind w:left="840" w:right="1059" w:firstLine="295"/>
        <w:spacing w:after="0" w:line="277" w:lineRule="auto"/>
        <w:rPr>
          <w:sz w:val="20"/>
          <w:szCs w:val="20"/>
          <w:color w:val="auto"/>
        </w:rPr>
      </w:pPr>
      <w:r>
        <w:rPr>
          <w:rFonts w:ascii="Arial" w:cs="Arial" w:eastAsia="Arial" w:hAnsi="Arial"/>
          <w:sz w:val="12"/>
          <w:szCs w:val="12"/>
          <w:color w:val="auto"/>
        </w:rPr>
        <w:t xml:space="preserve">8.7 </w:t>
      </w:r>
      <w:r>
        <w:rPr>
          <w:rFonts w:ascii="Arial" w:cs="Arial" w:eastAsia="Arial" w:hAnsi="Arial"/>
          <w:sz w:val="12"/>
          <w:szCs w:val="12"/>
          <w:u w:val="single" w:color="auto"/>
          <w:color w:val="auto"/>
        </w:rPr>
        <w:t>Company Lock-Up Agreements</w:t>
      </w:r>
      <w:r>
        <w:rPr>
          <w:rFonts w:ascii="Arial" w:cs="Arial" w:eastAsia="Arial" w:hAnsi="Arial"/>
          <w:sz w:val="12"/>
          <w:szCs w:val="12"/>
          <w:color w:val="auto"/>
        </w:rPr>
        <w:t>. The Company Lock-Up Agreements shall be executed and be in full force and effect as of immediately following the Effective Time.</w:t>
      </w:r>
    </w:p>
    <w:p>
      <w:pPr>
        <w:spacing w:after="0" w:line="11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8.8</w:t>
      </w:r>
      <w:r>
        <w:rPr>
          <w:sz w:val="20"/>
          <w:szCs w:val="20"/>
          <w:color w:val="auto"/>
        </w:rPr>
        <w:tab/>
      </w:r>
      <w:r>
        <w:rPr>
          <w:rFonts w:ascii="Arial" w:cs="Arial" w:eastAsia="Arial" w:hAnsi="Arial"/>
          <w:sz w:val="10"/>
          <w:szCs w:val="10"/>
          <w:u w:val="single" w:color="auto"/>
          <w:color w:val="auto"/>
        </w:rPr>
        <w:t>Termination of Investor Agreements</w:t>
      </w:r>
      <w:r>
        <w:rPr>
          <w:rFonts w:ascii="Arial" w:cs="Arial" w:eastAsia="Arial" w:hAnsi="Arial"/>
          <w:sz w:val="10"/>
          <w:szCs w:val="10"/>
          <w:color w:val="auto"/>
        </w:rPr>
        <w:t>. The Investor Agreements to which the Company is a party shall have been terminated.</w:t>
      </w:r>
    </w:p>
    <w:p>
      <w:pPr>
        <w:spacing w:after="0" w:line="151" w:lineRule="exact"/>
        <w:rPr>
          <w:sz w:val="20"/>
          <w:szCs w:val="20"/>
          <w:color w:val="auto"/>
        </w:rPr>
      </w:pPr>
    </w:p>
    <w:p>
      <w:pPr>
        <w:ind w:left="840" w:right="859" w:firstLine="295"/>
        <w:spacing w:after="0" w:line="277" w:lineRule="auto"/>
        <w:rPr>
          <w:sz w:val="20"/>
          <w:szCs w:val="20"/>
          <w:color w:val="auto"/>
        </w:rPr>
      </w:pPr>
      <w:r>
        <w:rPr>
          <w:rFonts w:ascii="Arial" w:cs="Arial" w:eastAsia="Arial" w:hAnsi="Arial"/>
          <w:sz w:val="12"/>
          <w:szCs w:val="12"/>
          <w:color w:val="auto"/>
        </w:rPr>
        <w:t xml:space="preserve">8.9 </w:t>
      </w:r>
      <w:r>
        <w:rPr>
          <w:rFonts w:ascii="Arial" w:cs="Arial" w:eastAsia="Arial" w:hAnsi="Arial"/>
          <w:sz w:val="12"/>
          <w:szCs w:val="12"/>
          <w:u w:val="single" w:color="auto"/>
          <w:color w:val="auto"/>
        </w:rPr>
        <w:t>Company Net Cash Requirement</w:t>
      </w:r>
      <w:r>
        <w:rPr>
          <w:rFonts w:ascii="Arial" w:cs="Arial" w:eastAsia="Arial" w:hAnsi="Arial"/>
          <w:sz w:val="12"/>
          <w:szCs w:val="12"/>
          <w:color w:val="auto"/>
        </w:rPr>
        <w:t>. The Company shall have satisfied its Transaction Costs and Company Net Cash shall not be less than zero as of the Closing.</w:t>
      </w:r>
    </w:p>
    <w:p>
      <w:pPr>
        <w:spacing w:after="0" w:line="187"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2"/>
          <w:szCs w:val="12"/>
          <w:color w:val="auto"/>
        </w:rPr>
        <w:t>Section 9.</w:t>
      </w:r>
      <w:r>
        <w:rPr>
          <w:sz w:val="20"/>
          <w:szCs w:val="20"/>
          <w:color w:val="auto"/>
        </w:rPr>
        <w:tab/>
      </w:r>
      <w:r>
        <w:rPr>
          <w:rFonts w:ascii="Arial" w:cs="Arial" w:eastAsia="Arial" w:hAnsi="Arial"/>
          <w:sz w:val="11"/>
          <w:szCs w:val="11"/>
          <w:u w:val="single" w:color="auto"/>
          <w:color w:val="auto"/>
        </w:rPr>
        <w:t>Additional Conditions Precedent to Obligation of the Company.</w:t>
      </w:r>
    </w:p>
    <w:p>
      <w:pPr>
        <w:spacing w:after="0" w:line="79" w:lineRule="exact"/>
        <w:rPr>
          <w:sz w:val="20"/>
          <w:szCs w:val="20"/>
          <w:color w:val="auto"/>
        </w:rPr>
      </w:pPr>
    </w:p>
    <w:p>
      <w:pPr>
        <w:ind w:left="840" w:right="899" w:firstLine="295"/>
        <w:spacing w:after="0" w:line="277" w:lineRule="auto"/>
        <w:rPr>
          <w:sz w:val="20"/>
          <w:szCs w:val="20"/>
          <w:color w:val="auto"/>
        </w:rPr>
      </w:pPr>
      <w:r>
        <w:rPr>
          <w:rFonts w:ascii="Arial" w:cs="Arial" w:eastAsia="Arial" w:hAnsi="Arial"/>
          <w:sz w:val="12"/>
          <w:szCs w:val="12"/>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115" w:lineRule="exact"/>
        <w:rPr>
          <w:sz w:val="20"/>
          <w:szCs w:val="20"/>
          <w:color w:val="auto"/>
        </w:rPr>
      </w:pPr>
    </w:p>
    <w:p>
      <w:pPr>
        <w:ind w:left="840" w:right="839" w:firstLine="295"/>
        <w:spacing w:after="0" w:line="277" w:lineRule="auto"/>
        <w:rPr>
          <w:sz w:val="20"/>
          <w:szCs w:val="20"/>
          <w:color w:val="auto"/>
        </w:rPr>
      </w:pPr>
      <w:r>
        <w:rPr>
          <w:rFonts w:ascii="Arial" w:cs="Arial" w:eastAsia="Arial" w:hAnsi="Arial"/>
          <w:sz w:val="11"/>
          <w:szCs w:val="11"/>
          <w:color w:val="auto"/>
        </w:rPr>
        <w:t xml:space="preserve">9.1 </w:t>
      </w:r>
      <w:r>
        <w:rPr>
          <w:rFonts w:ascii="Arial" w:cs="Arial" w:eastAsia="Arial" w:hAnsi="Arial"/>
          <w:sz w:val="11"/>
          <w:szCs w:val="11"/>
          <w:u w:val="single" w:color="auto"/>
          <w:color w:val="auto"/>
        </w:rPr>
        <w:t>Accuracy of Representations</w:t>
      </w:r>
      <w:r>
        <w:rPr>
          <w:rFonts w:ascii="Arial" w:cs="Arial" w:eastAsia="Arial" w:hAnsi="Arial"/>
          <w:sz w:val="11"/>
          <w:szCs w:val="11"/>
          <w:color w:val="auto"/>
        </w:rPr>
        <w:t>. Each of the Zordich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Zordich Capitalization Representations shall have been true and correct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Zordich and Merger Sub contained in this Agreement (other than the Zordich Fundamental Representations and the Zordich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Zordich Material Adverse Effect (without giving effect to any references therein to any Zordich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Zordich Disclosure Schedule made or purported to have been made after the date of this Agreement shall be disregarded).</w:t>
      </w:r>
    </w:p>
    <w:p>
      <w:pPr>
        <w:spacing w:after="0" w:line="120" w:lineRule="exact"/>
        <w:rPr>
          <w:sz w:val="20"/>
          <w:szCs w:val="20"/>
          <w:color w:val="auto"/>
        </w:rPr>
      </w:pPr>
    </w:p>
    <w:p>
      <w:pPr>
        <w:ind w:left="840" w:right="979" w:firstLine="295"/>
        <w:spacing w:after="0" w:line="324" w:lineRule="auto"/>
        <w:rPr>
          <w:sz w:val="20"/>
          <w:szCs w:val="20"/>
          <w:color w:val="auto"/>
        </w:rPr>
      </w:pPr>
      <w:r>
        <w:rPr>
          <w:rFonts w:ascii="Arial" w:cs="Arial" w:eastAsia="Arial" w:hAnsi="Arial"/>
          <w:sz w:val="11"/>
          <w:szCs w:val="11"/>
          <w:color w:val="auto"/>
        </w:rPr>
        <w:t xml:space="preserve">9.2 </w:t>
      </w:r>
      <w:r>
        <w:rPr>
          <w:rFonts w:ascii="Arial" w:cs="Arial" w:eastAsia="Arial" w:hAnsi="Arial"/>
          <w:sz w:val="11"/>
          <w:szCs w:val="11"/>
          <w:u w:val="single" w:color="auto"/>
          <w:color w:val="auto"/>
        </w:rPr>
        <w:t>Performance of Covenants</w:t>
      </w:r>
      <w:r>
        <w:rPr>
          <w:rFonts w:ascii="Arial" w:cs="Arial" w:eastAsia="Arial" w:hAnsi="Arial"/>
          <w:sz w:val="11"/>
          <w:szCs w:val="11"/>
          <w:color w:val="auto"/>
        </w:rPr>
        <w:t>. Zordich and Merger Sub shall have performed or complied with in all material respects all of their agreements and covenants required to be performed or complied with by each of them under this Agreement at or prior to the Effective Time.</w:t>
      </w:r>
    </w:p>
    <w:p>
      <w:pPr>
        <w:spacing w:after="0" w:line="92"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9.3</w:t>
      </w:r>
      <w:r>
        <w:rPr>
          <w:sz w:val="20"/>
          <w:szCs w:val="20"/>
          <w:color w:val="auto"/>
        </w:rPr>
        <w:tab/>
      </w:r>
      <w:r>
        <w:rPr>
          <w:rFonts w:ascii="Arial" w:cs="Arial" w:eastAsia="Arial" w:hAnsi="Arial"/>
          <w:sz w:val="10"/>
          <w:szCs w:val="10"/>
          <w:u w:val="single" w:color="auto"/>
          <w:color w:val="auto"/>
        </w:rPr>
        <w:t>Documents</w:t>
      </w:r>
      <w:r>
        <w:rPr>
          <w:rFonts w:ascii="Arial" w:cs="Arial" w:eastAsia="Arial" w:hAnsi="Arial"/>
          <w:sz w:val="10"/>
          <w:szCs w:val="10"/>
          <w:color w:val="auto"/>
        </w:rPr>
        <w:t>. The Company shall have received the following documents, each of which shall be in full force and effect:</w:t>
      </w:r>
    </w:p>
    <w:p>
      <w:pPr>
        <w:spacing w:after="0" w:line="151" w:lineRule="exact"/>
        <w:rPr>
          <w:sz w:val="20"/>
          <w:szCs w:val="20"/>
          <w:color w:val="auto"/>
        </w:rPr>
      </w:pPr>
    </w:p>
    <w:p>
      <w:pPr>
        <w:ind w:left="840" w:right="879" w:firstLine="654"/>
        <w:spacing w:after="0" w:line="277" w:lineRule="auto"/>
        <w:tabs>
          <w:tab w:leader="none" w:pos="1757" w:val="left"/>
        </w:tabs>
        <w:numPr>
          <w:ilvl w:val="0"/>
          <w:numId w:val="109"/>
        </w:numPr>
        <w:rPr>
          <w:rFonts w:ascii="Arial" w:cs="Arial" w:eastAsia="Arial" w:hAnsi="Arial"/>
          <w:sz w:val="12"/>
          <w:szCs w:val="12"/>
          <w:color w:val="auto"/>
        </w:rPr>
      </w:pPr>
      <w:r>
        <w:rPr>
          <w:rFonts w:ascii="Arial" w:cs="Arial" w:eastAsia="Arial" w:hAnsi="Arial"/>
          <w:sz w:val="12"/>
          <w:szCs w:val="12"/>
          <w:color w:val="auto"/>
        </w:rPr>
        <w:t xml:space="preserve">a certificate executed by the Chief Executive Officer or Chief Financial Officer of Zordich confirming that the conditions set forth in </w:t>
      </w:r>
      <w:r>
        <w:rPr>
          <w:rFonts w:ascii="Arial" w:cs="Arial" w:eastAsia="Arial" w:hAnsi="Arial"/>
          <w:sz w:val="12"/>
          <w:szCs w:val="12"/>
          <w:u w:val="single" w:color="auto"/>
          <w:color w:val="auto"/>
        </w:rPr>
        <w:t>Sections 9.1</w:t>
      </w:r>
      <w:r>
        <w:rPr>
          <w:rFonts w:ascii="Arial" w:cs="Arial" w:eastAsia="Arial" w:hAnsi="Arial"/>
          <w:sz w:val="12"/>
          <w:szCs w:val="12"/>
          <w:color w:val="auto"/>
        </w:rPr>
        <w:t xml:space="preserve">, </w:t>
      </w:r>
      <w:r>
        <w:rPr>
          <w:rFonts w:ascii="Arial" w:cs="Arial" w:eastAsia="Arial" w:hAnsi="Arial"/>
          <w:sz w:val="12"/>
          <w:szCs w:val="12"/>
          <w:u w:val="single" w:color="auto"/>
          <w:color w:val="auto"/>
        </w:rPr>
        <w:t>9.2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9.4</w:t>
      </w:r>
      <w:r>
        <w:rPr>
          <w:rFonts w:ascii="Arial" w:cs="Arial" w:eastAsia="Arial" w:hAnsi="Arial"/>
          <w:sz w:val="12"/>
          <w:szCs w:val="12"/>
          <w:color w:val="auto"/>
        </w:rPr>
        <w:t xml:space="preserve"> have been duly satisfied; and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9019"/>
          </w:cols>
          <w:pgMar w:left="1440" w:top="230" w:right="1440" w:bottom="1440" w:gutter="0" w:footer="0" w:header="0"/>
        </w:sectPr>
      </w:pPr>
    </w:p>
    <w:bookmarkStart w:id="85" w:name="page86"/>
    <w:bookmarkEnd w:id="85"/>
    <w:p>
      <w:pPr>
        <w:ind w:left="840" w:right="979" w:firstLine="654"/>
        <w:spacing w:after="0" w:line="324" w:lineRule="auto"/>
        <w:tabs>
          <w:tab w:leader="none" w:pos="1764" w:val="left"/>
        </w:tabs>
        <w:numPr>
          <w:ilvl w:val="0"/>
          <w:numId w:val="11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written resignations in forms satisfactory to the Company, dated as of the Closing Date and effective as of the Closing executed by the officers and directors of Zordich who are not to continue as officers or directors of Zordich pursuant to </w:t>
      </w:r>
      <w:r>
        <w:rPr>
          <w:rFonts w:ascii="Arial" w:cs="Arial" w:eastAsia="Arial" w:hAnsi="Arial"/>
          <w:sz w:val="11"/>
          <w:szCs w:val="11"/>
          <w:u w:val="single" w:color="auto"/>
          <w:color w:val="auto"/>
        </w:rPr>
        <w:t>Section 6.14</w:t>
      </w:r>
      <w:r>
        <w:rPr>
          <w:rFonts w:ascii="Arial" w:cs="Arial" w:eastAsia="Arial" w:hAnsi="Arial"/>
          <w:sz w:val="11"/>
          <w:szCs w:val="11"/>
          <w:color w:val="auto"/>
        </w:rPr>
        <w:t xml:space="preserve"> hereof.</w:t>
      </w:r>
    </w:p>
    <w:p>
      <w:pPr>
        <w:spacing w:after="0" w:line="92"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9.4</w:t>
      </w:r>
      <w:r>
        <w:rPr>
          <w:sz w:val="20"/>
          <w:szCs w:val="20"/>
          <w:color w:val="auto"/>
        </w:rPr>
        <w:tab/>
      </w:r>
      <w:r>
        <w:rPr>
          <w:rFonts w:ascii="Arial" w:cs="Arial" w:eastAsia="Arial" w:hAnsi="Arial"/>
          <w:sz w:val="11"/>
          <w:szCs w:val="11"/>
          <w:u w:val="single" w:color="auto"/>
          <w:color w:val="auto"/>
        </w:rPr>
        <w:t xml:space="preserve">No Zordich Material Adverse Effect. </w:t>
      </w:r>
      <w:r>
        <w:rPr>
          <w:rFonts w:ascii="Arial" w:cs="Arial" w:eastAsia="Arial" w:hAnsi="Arial"/>
          <w:sz w:val="11"/>
          <w:szCs w:val="11"/>
          <w:color w:val="auto"/>
        </w:rPr>
        <w:t>Since the date of this Agreement, there shall not have occurred any Zordich Material Adverse Effect.</w:t>
      </w:r>
    </w:p>
    <w:p>
      <w:pPr>
        <w:spacing w:after="0" w:line="151" w:lineRule="exact"/>
        <w:rPr>
          <w:sz w:val="20"/>
          <w:szCs w:val="20"/>
          <w:color w:val="auto"/>
        </w:rPr>
      </w:pPr>
    </w:p>
    <w:p>
      <w:pPr>
        <w:ind w:left="840" w:right="839" w:firstLine="295"/>
        <w:spacing w:after="0" w:line="277" w:lineRule="auto"/>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u w:val="single" w:color="auto"/>
          <w:color w:val="auto"/>
        </w:rPr>
        <w:t>Zordich Lock-Up Agreements.</w:t>
      </w:r>
      <w:r>
        <w:rPr>
          <w:rFonts w:ascii="Arial" w:cs="Arial" w:eastAsia="Arial" w:hAnsi="Arial"/>
          <w:sz w:val="12"/>
          <w:szCs w:val="12"/>
          <w:color w:val="auto"/>
        </w:rPr>
        <w:t xml:space="preserve"> The Zordich Lock-Up Agreements will continue to be in full force and effect as of immediately following the Effective Time.</w:t>
      </w:r>
    </w:p>
    <w:p>
      <w:pPr>
        <w:spacing w:after="0" w:line="115" w:lineRule="exact"/>
        <w:rPr>
          <w:sz w:val="20"/>
          <w:szCs w:val="20"/>
          <w:color w:val="auto"/>
        </w:rPr>
      </w:pPr>
    </w:p>
    <w:p>
      <w:pPr>
        <w:ind w:left="840" w:right="819" w:firstLine="295"/>
        <w:spacing w:after="0" w:line="277" w:lineRule="auto"/>
        <w:rPr>
          <w:sz w:val="20"/>
          <w:szCs w:val="20"/>
          <w:color w:val="auto"/>
        </w:rPr>
      </w:pPr>
      <w:r>
        <w:rPr>
          <w:rFonts w:ascii="Arial" w:cs="Arial" w:eastAsia="Arial" w:hAnsi="Arial"/>
          <w:sz w:val="12"/>
          <w:szCs w:val="12"/>
          <w:color w:val="auto"/>
        </w:rPr>
        <w:t xml:space="preserve">9.6 </w:t>
      </w:r>
      <w:r>
        <w:rPr>
          <w:rFonts w:ascii="Arial" w:cs="Arial" w:eastAsia="Arial" w:hAnsi="Arial"/>
          <w:sz w:val="12"/>
          <w:szCs w:val="12"/>
          <w:u w:val="single" w:color="auto"/>
          <w:color w:val="auto"/>
        </w:rPr>
        <w:t>Minimum Net Cash Requirement</w:t>
      </w:r>
      <w:r>
        <w:rPr>
          <w:rFonts w:ascii="Arial" w:cs="Arial" w:eastAsia="Arial" w:hAnsi="Arial"/>
          <w:sz w:val="12"/>
          <w:szCs w:val="12"/>
          <w:color w:val="auto"/>
        </w:rPr>
        <w:t xml:space="preserve">. Net Cash shall have been finally determined in accordance with </w:t>
      </w:r>
      <w:r>
        <w:rPr>
          <w:rFonts w:ascii="Arial" w:cs="Arial" w:eastAsia="Arial" w:hAnsi="Arial"/>
          <w:sz w:val="12"/>
          <w:szCs w:val="12"/>
          <w:u w:val="single" w:color="auto"/>
          <w:color w:val="auto"/>
        </w:rPr>
        <w:t>Section 2.8</w:t>
      </w:r>
      <w:r>
        <w:rPr>
          <w:rFonts w:ascii="Arial" w:cs="Arial" w:eastAsia="Arial" w:hAnsi="Arial"/>
          <w:sz w:val="12"/>
          <w:szCs w:val="12"/>
          <w:color w:val="auto"/>
        </w:rPr>
        <w:t xml:space="preserve"> and such Net Cash calculation shall be at least equal to $30,000,000.</w:t>
      </w:r>
    </w:p>
    <w:p>
      <w:pPr>
        <w:spacing w:after="0" w:line="115" w:lineRule="exact"/>
        <w:rPr>
          <w:sz w:val="20"/>
          <w:szCs w:val="20"/>
          <w:color w:val="auto"/>
        </w:rPr>
      </w:pPr>
    </w:p>
    <w:p>
      <w:pPr>
        <w:ind w:left="840" w:right="879" w:firstLine="295"/>
        <w:spacing w:after="0" w:line="264" w:lineRule="auto"/>
        <w:rPr>
          <w:sz w:val="20"/>
          <w:szCs w:val="20"/>
          <w:color w:val="auto"/>
        </w:rPr>
      </w:pPr>
      <w:r>
        <w:rPr>
          <w:rFonts w:ascii="Arial" w:cs="Arial" w:eastAsia="Arial" w:hAnsi="Arial"/>
          <w:sz w:val="12"/>
          <w:szCs w:val="12"/>
          <w:color w:val="auto"/>
        </w:rPr>
        <w:t xml:space="preserve">9.7 </w:t>
      </w:r>
      <w:r>
        <w:rPr>
          <w:rFonts w:ascii="Arial" w:cs="Arial" w:eastAsia="Arial" w:hAnsi="Arial"/>
          <w:sz w:val="12"/>
          <w:szCs w:val="12"/>
          <w:u w:val="single" w:color="auto"/>
          <w:color w:val="auto"/>
        </w:rPr>
        <w:t>Listing</w:t>
      </w:r>
      <w:r>
        <w:rPr>
          <w:rFonts w:ascii="Arial" w:cs="Arial" w:eastAsia="Arial" w:hAnsi="Arial"/>
          <w:sz w:val="12"/>
          <w:szCs w:val="12"/>
          <w:color w:val="auto"/>
        </w:rPr>
        <w:t>. The approval of the listing of the additional shares of Zordich Common Stock on Nasdaq shall have been obtained and the shares of Zordich Common Stock to be issued in the Merger pursuant to this Agreement shall have been approved for listing (subject to official notice of issuance) on Nasdaq.</w:t>
      </w:r>
    </w:p>
    <w:p>
      <w:pPr>
        <w:spacing w:after="0" w:line="122" w:lineRule="exact"/>
        <w:rPr>
          <w:sz w:val="20"/>
          <w:szCs w:val="20"/>
          <w:color w:val="auto"/>
        </w:rPr>
      </w:pPr>
    </w:p>
    <w:p>
      <w:pPr>
        <w:ind w:left="840" w:right="1059" w:firstLine="295"/>
        <w:spacing w:after="0" w:line="277" w:lineRule="auto"/>
        <w:rPr>
          <w:sz w:val="20"/>
          <w:szCs w:val="20"/>
          <w:color w:val="auto"/>
        </w:rPr>
      </w:pPr>
      <w:r>
        <w:rPr>
          <w:rFonts w:ascii="Arial" w:cs="Arial" w:eastAsia="Arial" w:hAnsi="Arial"/>
          <w:sz w:val="12"/>
          <w:szCs w:val="12"/>
          <w:color w:val="auto"/>
        </w:rPr>
        <w:t xml:space="preserve">9.8 </w:t>
      </w:r>
      <w:r>
        <w:rPr>
          <w:rFonts w:ascii="Arial" w:cs="Arial" w:eastAsia="Arial" w:hAnsi="Arial"/>
          <w:sz w:val="12"/>
          <w:szCs w:val="12"/>
          <w:u w:val="single" w:color="auto"/>
          <w:color w:val="auto"/>
        </w:rPr>
        <w:t>D&amp;O Policy</w:t>
      </w:r>
      <w:r>
        <w:rPr>
          <w:rFonts w:ascii="Arial" w:cs="Arial" w:eastAsia="Arial" w:hAnsi="Arial"/>
          <w:sz w:val="12"/>
          <w:szCs w:val="12"/>
          <w:color w:val="auto"/>
        </w:rPr>
        <w:t xml:space="preserve">. The directors’ and officers’ liability insurance policies contemplated by </w:t>
      </w:r>
      <w:r>
        <w:rPr>
          <w:rFonts w:ascii="Arial" w:cs="Arial" w:eastAsia="Arial" w:hAnsi="Arial"/>
          <w:sz w:val="12"/>
          <w:szCs w:val="12"/>
          <w:u w:val="single" w:color="auto"/>
          <w:color w:val="auto"/>
        </w:rPr>
        <w:t>Section 6.9(d)</w:t>
      </w:r>
      <w:r>
        <w:rPr>
          <w:rFonts w:ascii="Arial" w:cs="Arial" w:eastAsia="Arial" w:hAnsi="Arial"/>
          <w:sz w:val="12"/>
          <w:szCs w:val="12"/>
          <w:color w:val="auto"/>
        </w:rPr>
        <w:t xml:space="preserve"> shall have been obtained and in full force and effect concurrent with the Closing.</w:t>
      </w:r>
    </w:p>
    <w:p>
      <w:pPr>
        <w:spacing w:after="0" w:line="115" w:lineRule="exact"/>
        <w:rPr>
          <w:sz w:val="20"/>
          <w:szCs w:val="20"/>
          <w:color w:val="auto"/>
        </w:rPr>
      </w:pPr>
    </w:p>
    <w:p>
      <w:pPr>
        <w:ind w:left="840" w:right="879" w:firstLine="295"/>
        <w:spacing w:after="0" w:line="256" w:lineRule="auto"/>
        <w:rPr>
          <w:sz w:val="20"/>
          <w:szCs w:val="20"/>
          <w:color w:val="auto"/>
        </w:rPr>
      </w:pPr>
      <w:r>
        <w:rPr>
          <w:rFonts w:ascii="Arial" w:cs="Arial" w:eastAsia="Arial" w:hAnsi="Arial"/>
          <w:sz w:val="12"/>
          <w:szCs w:val="12"/>
          <w:color w:val="auto"/>
        </w:rPr>
        <w:t xml:space="preserve">9.9 </w:t>
      </w:r>
      <w:r>
        <w:rPr>
          <w:rFonts w:ascii="Arial" w:cs="Arial" w:eastAsia="Arial" w:hAnsi="Arial"/>
          <w:sz w:val="12"/>
          <w:szCs w:val="12"/>
          <w:u w:val="single" w:color="auto"/>
          <w:color w:val="auto"/>
        </w:rPr>
        <w:t>Frustration of Closing Conditions</w:t>
      </w:r>
      <w:r>
        <w:rPr>
          <w:rFonts w:ascii="Arial" w:cs="Arial" w:eastAsia="Arial" w:hAnsi="Arial"/>
          <w:sz w:val="12"/>
          <w:szCs w:val="12"/>
          <w:color w:val="auto"/>
        </w:rPr>
        <w:t xml:space="preserve">. Notwithstanding anything to the contrary set forth in this Agreement, none of the Company, Zordich or Merger Sub may rely, either as a basis for not consummating the Contemplated Transactions or for terminating this Agreement and abandoning the Merger, on the failure of any condition set forth in </w:t>
      </w: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9</w:t>
      </w:r>
      <w:r>
        <w:rPr>
          <w:rFonts w:ascii="Arial" w:cs="Arial" w:eastAsia="Arial" w:hAnsi="Arial"/>
          <w:sz w:val="12"/>
          <w:szCs w:val="12"/>
          <w:color w:val="auto"/>
        </w:rPr>
        <w:t>, as the case may be, to be satisfied, if in any such case such party’s breach of any of its representations, warranties, covenants or agreements set forth in this Agreement or failure to perform fully its obligations under this Agreement in any manner has primarily caused or resulted in a failure of any such condition to be satisfied or otherwise have given rise to a right of termination of this Agreement.</w:t>
      </w:r>
    </w:p>
    <w:p>
      <w:pPr>
        <w:spacing w:after="0" w:line="200" w:lineRule="exact"/>
        <w:rPr>
          <w:sz w:val="20"/>
          <w:szCs w:val="20"/>
          <w:color w:val="auto"/>
        </w:rPr>
      </w:pPr>
    </w:p>
    <w:p>
      <w:pPr>
        <w:ind w:left="1120"/>
        <w:spacing w:after="0"/>
        <w:tabs>
          <w:tab w:leader="none" w:pos="1760" w:val="left"/>
        </w:tabs>
        <w:rPr>
          <w:sz w:val="20"/>
          <w:szCs w:val="20"/>
          <w:color w:val="auto"/>
        </w:rPr>
      </w:pPr>
      <w:r>
        <w:rPr>
          <w:rFonts w:ascii="Arial" w:cs="Arial" w:eastAsia="Arial" w:hAnsi="Arial"/>
          <w:sz w:val="12"/>
          <w:szCs w:val="12"/>
          <w:color w:val="auto"/>
        </w:rPr>
        <w:t>Section 10.</w:t>
      </w:r>
      <w:r>
        <w:rPr>
          <w:sz w:val="20"/>
          <w:szCs w:val="20"/>
          <w:color w:val="auto"/>
        </w:rPr>
        <w:tab/>
      </w:r>
      <w:r>
        <w:rPr>
          <w:rFonts w:ascii="Arial" w:cs="Arial" w:eastAsia="Arial" w:hAnsi="Arial"/>
          <w:sz w:val="11"/>
          <w:szCs w:val="11"/>
          <w:u w:val="single" w:color="auto"/>
          <w:color w:val="auto"/>
        </w:rPr>
        <w:t>Termination</w:t>
      </w:r>
    </w:p>
    <w:p>
      <w:pPr>
        <w:spacing w:after="0" w:line="79" w:lineRule="exact"/>
        <w:rPr>
          <w:sz w:val="20"/>
          <w:szCs w:val="20"/>
          <w:color w:val="auto"/>
        </w:rPr>
      </w:pPr>
    </w:p>
    <w:p>
      <w:pPr>
        <w:ind w:left="840" w:right="879" w:firstLine="295"/>
        <w:spacing w:after="0" w:line="264"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Termination</w:t>
      </w:r>
      <w:r>
        <w:rPr>
          <w:rFonts w:ascii="Arial" w:cs="Arial" w:eastAsia="Arial" w:hAnsi="Arial"/>
          <w:sz w:val="12"/>
          <w:szCs w:val="12"/>
          <w:color w:val="auto"/>
        </w:rPr>
        <w:t>. This Agreement may be terminated prior to the Effective Time (whether before or after adoption of this Agreement by the Company’s stockholders and whether before or after approval of the Zordich Stockholder Matters by Zordich’s stockholders, unless otherwise specified below):</w:t>
      </w:r>
    </w:p>
    <w:p>
      <w:pPr>
        <w:spacing w:after="0" w:line="122" w:lineRule="exact"/>
        <w:rPr>
          <w:sz w:val="20"/>
          <w:szCs w:val="20"/>
          <w:color w:val="auto"/>
        </w:rPr>
      </w:pPr>
    </w:p>
    <w:p>
      <w:pPr>
        <w:ind w:left="1740" w:hanging="246"/>
        <w:spacing w:after="0"/>
        <w:tabs>
          <w:tab w:leader="none" w:pos="17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by mutual written consent of Zordich and the Company;</w:t>
      </w:r>
    </w:p>
    <w:p>
      <w:pPr>
        <w:spacing w:after="0" w:line="150" w:lineRule="exact"/>
        <w:rPr>
          <w:rFonts w:ascii="Arial" w:cs="Arial" w:eastAsia="Arial" w:hAnsi="Arial"/>
          <w:sz w:val="12"/>
          <w:szCs w:val="12"/>
          <w:color w:val="auto"/>
        </w:rPr>
      </w:pPr>
    </w:p>
    <w:p>
      <w:pPr>
        <w:ind w:left="840" w:right="879" w:firstLine="654"/>
        <w:spacing w:after="0" w:line="284" w:lineRule="auto"/>
        <w:tabs>
          <w:tab w:leader="none" w:pos="1764"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by either Zordich or the Company if the Merger shall not have been consummated by September 17, 2020 (subject to possible extension as provided in this </w:t>
      </w:r>
      <w:r>
        <w:rPr>
          <w:rFonts w:ascii="Arial" w:cs="Arial" w:eastAsia="Arial" w:hAnsi="Arial"/>
          <w:sz w:val="11"/>
          <w:szCs w:val="11"/>
          <w:u w:val="single" w:color="auto"/>
          <w:color w:val="auto"/>
        </w:rPr>
        <w:t>Section 10.1(b)</w:t>
      </w:r>
      <w:r>
        <w:rPr>
          <w:rFonts w:ascii="Arial" w:cs="Arial" w:eastAsia="Arial" w:hAnsi="Arial"/>
          <w:sz w:val="11"/>
          <w:szCs w:val="11"/>
          <w:color w:val="auto"/>
        </w:rPr>
        <w:t>, the “</w:t>
      </w:r>
      <w:r>
        <w:rPr>
          <w:rFonts w:ascii="Arial" w:cs="Arial" w:eastAsia="Arial" w:hAnsi="Arial"/>
          <w:sz w:val="11"/>
          <w:szCs w:val="11"/>
          <w:b w:val="1"/>
          <w:bCs w:val="1"/>
          <w:color w:val="auto"/>
        </w:rPr>
        <w:t>End Date</w:t>
      </w:r>
      <w:r>
        <w:rPr>
          <w:rFonts w:ascii="Arial" w:cs="Arial" w:eastAsia="Arial" w:hAnsi="Arial"/>
          <w:sz w:val="11"/>
          <w:szCs w:val="11"/>
          <w:color w:val="auto"/>
        </w:rPr>
        <w:t xml:space="preserve">”); provided, however, that the right to terminate this Agreement under this </w:t>
      </w:r>
      <w:r>
        <w:rPr>
          <w:rFonts w:ascii="Arial" w:cs="Arial" w:eastAsia="Arial" w:hAnsi="Arial"/>
          <w:sz w:val="11"/>
          <w:szCs w:val="11"/>
          <w:u w:val="single" w:color="auto"/>
          <w:color w:val="auto"/>
        </w:rPr>
        <w:t>Section 10.1(b)</w:t>
      </w:r>
      <w:r>
        <w:rPr>
          <w:rFonts w:ascii="Arial" w:cs="Arial" w:eastAsia="Arial" w:hAnsi="Arial"/>
          <w:sz w:val="11"/>
          <w:szCs w:val="11"/>
          <w:color w:val="auto"/>
        </w:rPr>
        <w:t xml:space="preserve"> shall not be available to the Company or Zordich if such Party’s action or failure to act has been a principal cause of the failure of the Merger to occur on or before the End Date and such action or failure to act constitutes a breach of this Agreement, provided, further, however, that, in the event that the SEC has not completed its review of the Proxy Statement by the date which is 60 days prior to the End Date, then either the Company or Zordich shall be entitled to extend the End Date for an additional 60 days;</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9019"/>
          </w:cols>
          <w:pgMar w:left="1440" w:top="230" w:right="1440" w:bottom="1440" w:gutter="0" w:footer="0" w:header="0"/>
        </w:sectPr>
      </w:pPr>
    </w:p>
    <w:bookmarkStart w:id="86" w:name="page87"/>
    <w:bookmarkEnd w:id="86"/>
    <w:p>
      <w:pPr>
        <w:ind w:left="840" w:right="919" w:firstLine="654"/>
        <w:spacing w:after="0" w:line="264" w:lineRule="auto"/>
        <w:tabs>
          <w:tab w:leader="none" w:pos="1757" w:val="left"/>
        </w:tabs>
        <w:numPr>
          <w:ilvl w:val="0"/>
          <w:numId w:val="11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by either Zordich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22" w:lineRule="exact"/>
        <w:rPr>
          <w:rFonts w:ascii="Arial" w:cs="Arial" w:eastAsia="Arial" w:hAnsi="Arial"/>
          <w:sz w:val="12"/>
          <w:szCs w:val="12"/>
          <w:color w:val="auto"/>
        </w:rPr>
      </w:pPr>
    </w:p>
    <w:p>
      <w:pPr>
        <w:ind w:left="840" w:right="899" w:firstLine="654"/>
        <w:spacing w:after="0" w:line="264" w:lineRule="auto"/>
        <w:tabs>
          <w:tab w:leader="none" w:pos="1764" w:val="left"/>
        </w:tabs>
        <w:numPr>
          <w:ilvl w:val="0"/>
          <w:numId w:val="112"/>
        </w:numPr>
        <w:rPr>
          <w:rFonts w:ascii="Arial" w:cs="Arial" w:eastAsia="Arial" w:hAnsi="Arial"/>
          <w:sz w:val="12"/>
          <w:szCs w:val="12"/>
          <w:color w:val="auto"/>
        </w:rPr>
      </w:pPr>
      <w:r>
        <w:rPr>
          <w:rFonts w:ascii="Arial" w:cs="Arial" w:eastAsia="Arial" w:hAnsi="Arial"/>
          <w:sz w:val="12"/>
          <w:szCs w:val="12"/>
          <w:color w:val="auto"/>
        </w:rPr>
        <w:t xml:space="preserve">by Zordich if the Required Company Stockholder Vote shall not have been obtained within two (2) Business Days of the date of this Agreement; provided, however, that once the Required Company Stockholder Vote has been obtained, Zordich may not terminate this Agreement pursuant to this </w:t>
      </w:r>
      <w:r>
        <w:rPr>
          <w:rFonts w:ascii="Arial" w:cs="Arial" w:eastAsia="Arial" w:hAnsi="Arial"/>
          <w:sz w:val="12"/>
          <w:szCs w:val="12"/>
          <w:u w:val="single" w:color="auto"/>
          <w:color w:val="auto"/>
        </w:rPr>
        <w:t>Section 10.1(d);</w:t>
      </w:r>
    </w:p>
    <w:p>
      <w:pPr>
        <w:spacing w:after="0" w:line="122" w:lineRule="exact"/>
        <w:rPr>
          <w:rFonts w:ascii="Arial" w:cs="Arial" w:eastAsia="Arial" w:hAnsi="Arial"/>
          <w:sz w:val="12"/>
          <w:szCs w:val="12"/>
          <w:color w:val="auto"/>
        </w:rPr>
      </w:pPr>
    </w:p>
    <w:p>
      <w:pPr>
        <w:ind w:left="840" w:right="859" w:firstLine="654"/>
        <w:spacing w:after="0" w:line="284" w:lineRule="auto"/>
        <w:tabs>
          <w:tab w:leader="none" w:pos="1757" w:val="left"/>
        </w:tabs>
        <w:numPr>
          <w:ilvl w:val="0"/>
          <w:numId w:val="112"/>
        </w:numPr>
        <w:rPr>
          <w:rFonts w:ascii="Arial" w:cs="Arial" w:eastAsia="Arial" w:hAnsi="Arial"/>
          <w:sz w:val="11"/>
          <w:szCs w:val="11"/>
          <w:color w:val="auto"/>
        </w:rPr>
      </w:pPr>
      <w:r>
        <w:rPr>
          <w:rFonts w:ascii="Arial" w:cs="Arial" w:eastAsia="Arial" w:hAnsi="Arial"/>
          <w:sz w:val="11"/>
          <w:szCs w:val="11"/>
          <w:color w:val="auto"/>
        </w:rPr>
        <w:t xml:space="preserve">by either Zordich or the Company if (i) the Zordich Stockholder Meeting (including any adjournments and postponements thereof) shall have been held and completed and Zordich’s stockholders shall have taken a final vote on the Zordich Stockholder Matters and (ii) the Zordich Stockholder Matters shall not have been approved at the Zordich Stockholder Meeting (or at any adjournment or postponement thereof) by the Required Zordich Stockholder Vote; provided, however, that the right to terminate this Agreement under this </w:t>
      </w:r>
      <w:r>
        <w:rPr>
          <w:rFonts w:ascii="Arial" w:cs="Arial" w:eastAsia="Arial" w:hAnsi="Arial"/>
          <w:sz w:val="11"/>
          <w:szCs w:val="11"/>
          <w:u w:val="single" w:color="auto"/>
          <w:color w:val="auto"/>
        </w:rPr>
        <w:t>Section 10.1(e)</w:t>
      </w:r>
      <w:r>
        <w:rPr>
          <w:rFonts w:ascii="Arial" w:cs="Arial" w:eastAsia="Arial" w:hAnsi="Arial"/>
          <w:sz w:val="11"/>
          <w:szCs w:val="11"/>
          <w:color w:val="auto"/>
        </w:rPr>
        <w:t xml:space="preserve"> shall not be available to Zordich where the failure to obtain the Required Zordich Stockholder Vote shall have been caused by the action or failure to act of Zordich and such action or failure to act constitutes a material breach by Zordich of this Agreement;</w:t>
      </w:r>
    </w:p>
    <w:p>
      <w:pPr>
        <w:spacing w:after="0" w:line="113" w:lineRule="exact"/>
        <w:rPr>
          <w:rFonts w:ascii="Arial" w:cs="Arial" w:eastAsia="Arial" w:hAnsi="Arial"/>
          <w:sz w:val="11"/>
          <w:szCs w:val="11"/>
          <w:color w:val="auto"/>
        </w:rPr>
      </w:pPr>
    </w:p>
    <w:p>
      <w:pPr>
        <w:ind w:left="840" w:right="839" w:firstLine="654"/>
        <w:spacing w:after="0" w:line="277" w:lineRule="auto"/>
        <w:tabs>
          <w:tab w:leader="none" w:pos="1744" w:val="left"/>
        </w:tabs>
        <w:numPr>
          <w:ilvl w:val="0"/>
          <w:numId w:val="112"/>
        </w:numPr>
        <w:rPr>
          <w:rFonts w:ascii="Arial" w:cs="Arial" w:eastAsia="Arial" w:hAnsi="Arial"/>
          <w:sz w:val="12"/>
          <w:szCs w:val="12"/>
          <w:color w:val="auto"/>
        </w:rPr>
      </w:pPr>
      <w:r>
        <w:rPr>
          <w:rFonts w:ascii="Arial" w:cs="Arial" w:eastAsia="Arial" w:hAnsi="Arial"/>
          <w:sz w:val="12"/>
          <w:szCs w:val="12"/>
          <w:color w:val="auto"/>
        </w:rPr>
        <w:t>by the Company (at any time prior to the approval of the Zordich Stockholder Matters by the Required Zordich Stockholder Vote) if a Zordich Triggering Event shall have occurred;</w:t>
      </w:r>
    </w:p>
    <w:p>
      <w:pPr>
        <w:spacing w:after="0" w:line="114" w:lineRule="exact"/>
        <w:rPr>
          <w:rFonts w:ascii="Arial" w:cs="Arial" w:eastAsia="Arial" w:hAnsi="Arial"/>
          <w:sz w:val="12"/>
          <w:szCs w:val="12"/>
          <w:color w:val="auto"/>
        </w:rPr>
      </w:pPr>
    </w:p>
    <w:p>
      <w:pPr>
        <w:ind w:left="840" w:right="939" w:firstLine="654"/>
        <w:spacing w:after="0" w:line="277" w:lineRule="auto"/>
        <w:tabs>
          <w:tab w:leader="none" w:pos="1764" w:val="left"/>
        </w:tabs>
        <w:numPr>
          <w:ilvl w:val="0"/>
          <w:numId w:val="112"/>
        </w:numPr>
        <w:rPr>
          <w:rFonts w:ascii="Arial" w:cs="Arial" w:eastAsia="Arial" w:hAnsi="Arial"/>
          <w:sz w:val="12"/>
          <w:szCs w:val="12"/>
          <w:color w:val="auto"/>
        </w:rPr>
      </w:pPr>
      <w:r>
        <w:rPr>
          <w:rFonts w:ascii="Arial" w:cs="Arial" w:eastAsia="Arial" w:hAnsi="Arial"/>
          <w:sz w:val="12"/>
          <w:szCs w:val="12"/>
          <w:color w:val="auto"/>
        </w:rPr>
        <w:t>by Zordich (at any time prior to the adoption of this Agreement and the approval of the Contemplated Transactions by the Required Company Stockholder Vote) if a Company Triggering Event shall have occurred;</w:t>
      </w:r>
    </w:p>
    <w:p>
      <w:pPr>
        <w:spacing w:after="0" w:line="114" w:lineRule="exact"/>
        <w:rPr>
          <w:rFonts w:ascii="Arial" w:cs="Arial" w:eastAsia="Arial" w:hAnsi="Arial"/>
          <w:sz w:val="12"/>
          <w:szCs w:val="12"/>
          <w:color w:val="auto"/>
        </w:rPr>
      </w:pPr>
    </w:p>
    <w:p>
      <w:pPr>
        <w:ind w:left="840" w:right="839" w:firstLine="654"/>
        <w:spacing w:after="0" w:line="278" w:lineRule="auto"/>
        <w:tabs>
          <w:tab w:leader="none" w:pos="1764" w:val="left"/>
        </w:tabs>
        <w:numPr>
          <w:ilvl w:val="0"/>
          <w:numId w:val="112"/>
        </w:numPr>
        <w:rPr>
          <w:rFonts w:ascii="Arial" w:cs="Arial" w:eastAsia="Arial" w:hAnsi="Arial"/>
          <w:sz w:val="11"/>
          <w:szCs w:val="11"/>
          <w:color w:val="auto"/>
        </w:rPr>
      </w:pPr>
      <w:r>
        <w:rPr>
          <w:rFonts w:ascii="Arial" w:cs="Arial" w:eastAsia="Arial" w:hAnsi="Arial"/>
          <w:sz w:val="11"/>
          <w:szCs w:val="11"/>
          <w:color w:val="auto"/>
        </w:rPr>
        <w:t xml:space="preserve">by the Company, upon a breach of any representation, warranty, covenant or agreement set forth in this Agreement by Zordich or Merger Sub or if any representation or warranty of Zordich or Merger Sub shall have become inaccurate, in either case, such that the conditions set forth in </w:t>
      </w:r>
      <w:r>
        <w:rPr>
          <w:rFonts w:ascii="Arial" w:cs="Arial" w:eastAsia="Arial" w:hAnsi="Arial"/>
          <w:sz w:val="11"/>
          <w:szCs w:val="11"/>
          <w:u w:val="single" w:color="auto"/>
          <w:color w:val="auto"/>
        </w:rPr>
        <w:t>Section 9.1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9.2</w:t>
      </w:r>
      <w:r>
        <w:rPr>
          <w:rFonts w:ascii="Arial" w:cs="Arial" w:eastAsia="Arial" w:hAnsi="Arial"/>
          <w:sz w:val="11"/>
          <w:szCs w:val="11"/>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Zordich’s or Merger Sub’s representations and warranties or breach by Zordich or Merger Sub is curable by Zordich or Merger Sub, then this Agreement shall not terminate pursuant to this </w:t>
      </w:r>
      <w:r>
        <w:rPr>
          <w:rFonts w:ascii="Arial" w:cs="Arial" w:eastAsia="Arial" w:hAnsi="Arial"/>
          <w:sz w:val="11"/>
          <w:szCs w:val="11"/>
          <w:u w:val="single" w:color="auto"/>
          <w:color w:val="auto"/>
        </w:rPr>
        <w:t>Section 10.1(h)</w:t>
      </w:r>
      <w:r>
        <w:rPr>
          <w:rFonts w:ascii="Arial" w:cs="Arial" w:eastAsia="Arial" w:hAnsi="Arial"/>
          <w:sz w:val="11"/>
          <w:szCs w:val="11"/>
          <w:color w:val="auto"/>
        </w:rPr>
        <w:t xml:space="preserve"> as a result of such particular breach or inaccuracy until the earlier of (i) the expiration of a 30-day period commencing upon delivery of written notice from the Company to Zordich or Merger Sub of such breach or inaccuracy and its intention to terminate pursuant to this </w:t>
      </w:r>
      <w:r>
        <w:rPr>
          <w:rFonts w:ascii="Arial" w:cs="Arial" w:eastAsia="Arial" w:hAnsi="Arial"/>
          <w:sz w:val="11"/>
          <w:szCs w:val="11"/>
          <w:u w:val="single" w:color="auto"/>
          <w:color w:val="auto"/>
        </w:rPr>
        <w:t>Section 10.1(h)</w:t>
      </w:r>
      <w:r>
        <w:rPr>
          <w:rFonts w:ascii="Arial" w:cs="Arial" w:eastAsia="Arial" w:hAnsi="Arial"/>
          <w:sz w:val="11"/>
          <w:szCs w:val="11"/>
          <w:color w:val="auto"/>
        </w:rPr>
        <w:t xml:space="preserve"> and (ii) Zordich or Merger Sub (as applicable) ceasing to exercise commercially reasonable efforts to cure such breach following delivery of written notice from the Company to Zordich or Merger Sub of such breach or inaccuracy and its intention to terminate pursuant to this </w:t>
      </w:r>
      <w:r>
        <w:rPr>
          <w:rFonts w:ascii="Arial" w:cs="Arial" w:eastAsia="Arial" w:hAnsi="Arial"/>
          <w:sz w:val="11"/>
          <w:szCs w:val="11"/>
          <w:u w:val="single" w:color="auto"/>
          <w:color w:val="auto"/>
        </w:rPr>
        <w:t>Section 10.1(h)</w:t>
      </w:r>
      <w:r>
        <w:rPr>
          <w:rFonts w:ascii="Arial" w:cs="Arial" w:eastAsia="Arial" w:hAnsi="Arial"/>
          <w:sz w:val="11"/>
          <w:szCs w:val="11"/>
          <w:color w:val="auto"/>
        </w:rPr>
        <w:t xml:space="preserve"> (it being understood that this Agreement shall not terminate pursuant to this </w:t>
      </w:r>
      <w:r>
        <w:rPr>
          <w:rFonts w:ascii="Arial" w:cs="Arial" w:eastAsia="Arial" w:hAnsi="Arial"/>
          <w:sz w:val="11"/>
          <w:szCs w:val="11"/>
          <w:u w:val="single" w:color="auto"/>
          <w:color w:val="auto"/>
        </w:rPr>
        <w:t>Section 10.1(h)</w:t>
      </w:r>
      <w:r>
        <w:rPr>
          <w:rFonts w:ascii="Arial" w:cs="Arial" w:eastAsia="Arial" w:hAnsi="Arial"/>
          <w:sz w:val="11"/>
          <w:szCs w:val="11"/>
          <w:color w:val="auto"/>
        </w:rPr>
        <w:t xml:space="preserve"> as a result of such particular breach or inaccuracy if such breach by Zordich or Merger Sub is cured prior to such termination becoming effective);</w:t>
      </w:r>
    </w:p>
    <w:p>
      <w:pPr>
        <w:spacing w:after="0" w:line="119" w:lineRule="exact"/>
        <w:rPr>
          <w:rFonts w:ascii="Arial" w:cs="Arial" w:eastAsia="Arial" w:hAnsi="Arial"/>
          <w:sz w:val="11"/>
          <w:szCs w:val="11"/>
          <w:color w:val="auto"/>
        </w:rPr>
      </w:pPr>
    </w:p>
    <w:p>
      <w:pPr>
        <w:ind w:left="840" w:right="839" w:firstLine="654"/>
        <w:spacing w:after="0" w:line="257" w:lineRule="auto"/>
        <w:tabs>
          <w:tab w:leader="none" w:pos="1737" w:val="left"/>
        </w:tabs>
        <w:numPr>
          <w:ilvl w:val="0"/>
          <w:numId w:val="112"/>
        </w:numPr>
        <w:rPr>
          <w:rFonts w:ascii="Arial" w:cs="Arial" w:eastAsia="Arial" w:hAnsi="Arial"/>
          <w:sz w:val="12"/>
          <w:szCs w:val="12"/>
          <w:color w:val="auto"/>
        </w:rPr>
      </w:pPr>
      <w:r>
        <w:rPr>
          <w:rFonts w:ascii="Arial" w:cs="Arial" w:eastAsia="Arial" w:hAnsi="Arial"/>
          <w:sz w:val="12"/>
          <w:szCs w:val="12"/>
          <w:color w:val="auto"/>
        </w:rPr>
        <w:t xml:space="preserve">by Zordich,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2"/>
          <w:szCs w:val="12"/>
          <w:u w:val="single" w:color="auto"/>
          <w:color w:val="auto"/>
        </w:rPr>
        <w:t>Section 8.1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8.2</w:t>
      </w:r>
      <w:r>
        <w:rPr>
          <w:rFonts w:ascii="Arial" w:cs="Arial" w:eastAsia="Arial" w:hAnsi="Arial"/>
          <w:sz w:val="12"/>
          <w:szCs w:val="12"/>
          <w:color w:val="auto"/>
        </w:rPr>
        <w:t xml:space="preserve"> would not be satisfied as of the time of such breach or as of the time such representation or warranty shall have become inaccurate; provided that Zordich is not then in material breach of any representation, warranty, covenant or agreement under this Agreement; provided, further, that if such inaccuracy in the Company’s representations and warranties or breach</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9019"/>
          </w:cols>
          <w:pgMar w:left="1440" w:top="230" w:right="1440" w:bottom="1440" w:gutter="0" w:footer="0" w:header="0"/>
        </w:sectPr>
      </w:pPr>
    </w:p>
    <w:bookmarkStart w:id="87" w:name="page88"/>
    <w:bookmarkEnd w:id="87"/>
    <w:p>
      <w:pPr>
        <w:ind w:left="840" w:right="859"/>
        <w:spacing w:after="0" w:line="28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by the Company is curable by the Company then this Agreement shall not terminate pursuant to this </w:t>
      </w:r>
      <w:r>
        <w:rPr>
          <w:rFonts w:ascii="Arial" w:cs="Arial" w:eastAsia="Arial" w:hAnsi="Arial"/>
          <w:sz w:val="11"/>
          <w:szCs w:val="11"/>
          <w:u w:val="single" w:color="auto"/>
          <w:color w:val="auto"/>
        </w:rPr>
        <w:t>Section 10.1(i)</w:t>
      </w:r>
      <w:r>
        <w:rPr>
          <w:rFonts w:ascii="Arial" w:cs="Arial" w:eastAsia="Arial" w:hAnsi="Arial"/>
          <w:sz w:val="11"/>
          <w:szCs w:val="11"/>
          <w:color w:val="auto"/>
        </w:rPr>
        <w:t xml:space="preserve"> as a result of such particular breach or inaccuracy until the earlier of (i) the expiration of a 30-day period commencing upon delivery of written notice from Zordich to the Company of such breach or inaccuracy and its intention to terminate pursuant to this </w:t>
      </w:r>
      <w:r>
        <w:rPr>
          <w:rFonts w:ascii="Arial" w:cs="Arial" w:eastAsia="Arial" w:hAnsi="Arial"/>
          <w:sz w:val="11"/>
          <w:szCs w:val="11"/>
          <w:u w:val="single" w:color="auto"/>
          <w:color w:val="auto"/>
        </w:rPr>
        <w:t>Section 10.1(i)</w:t>
      </w:r>
      <w:r>
        <w:rPr>
          <w:rFonts w:ascii="Arial" w:cs="Arial" w:eastAsia="Arial" w:hAnsi="Arial"/>
          <w:sz w:val="11"/>
          <w:szCs w:val="11"/>
          <w:color w:val="auto"/>
        </w:rPr>
        <w:t xml:space="preserve"> and (ii) the Company ceasing to exercise commercially reasonable efforts to cure such breach following delivery of written notice from Zordich to the Company of such breach or inaccuracy and its intention to terminate pursuant to this </w:t>
      </w:r>
      <w:r>
        <w:rPr>
          <w:rFonts w:ascii="Arial" w:cs="Arial" w:eastAsia="Arial" w:hAnsi="Arial"/>
          <w:sz w:val="11"/>
          <w:szCs w:val="11"/>
          <w:u w:val="single" w:color="auto"/>
          <w:color w:val="auto"/>
        </w:rPr>
        <w:t>Section 10.1(i)</w:t>
      </w:r>
      <w:r>
        <w:rPr>
          <w:rFonts w:ascii="Arial" w:cs="Arial" w:eastAsia="Arial" w:hAnsi="Arial"/>
          <w:sz w:val="11"/>
          <w:szCs w:val="11"/>
          <w:color w:val="auto"/>
        </w:rPr>
        <w:t xml:space="preserve"> (it being understood that this Agreement shall not terminate pursuant to this </w:t>
      </w:r>
      <w:r>
        <w:rPr>
          <w:rFonts w:ascii="Arial" w:cs="Arial" w:eastAsia="Arial" w:hAnsi="Arial"/>
          <w:sz w:val="11"/>
          <w:szCs w:val="11"/>
          <w:u w:val="single" w:color="auto"/>
          <w:color w:val="auto"/>
        </w:rPr>
        <w:t>Section 10.1(i)</w:t>
      </w:r>
      <w:r>
        <w:rPr>
          <w:rFonts w:ascii="Arial" w:cs="Arial" w:eastAsia="Arial" w:hAnsi="Arial"/>
          <w:sz w:val="11"/>
          <w:szCs w:val="11"/>
          <w:color w:val="auto"/>
        </w:rPr>
        <w:t xml:space="preserve"> as a result of such particular breach or inaccuracy if such breach by the Company is cured prior to such termination becoming effective); or</w:t>
      </w:r>
    </w:p>
    <w:p>
      <w:pPr>
        <w:spacing w:after="0" w:line="113" w:lineRule="exact"/>
        <w:rPr>
          <w:sz w:val="20"/>
          <w:szCs w:val="20"/>
          <w:color w:val="auto"/>
        </w:rPr>
      </w:pPr>
    </w:p>
    <w:p>
      <w:pPr>
        <w:ind w:left="840" w:right="979" w:firstLine="654"/>
        <w:spacing w:after="0" w:line="278" w:lineRule="auto"/>
        <w:tabs>
          <w:tab w:leader="none" w:pos="1737" w:val="left"/>
        </w:tabs>
        <w:numPr>
          <w:ilvl w:val="1"/>
          <w:numId w:val="113"/>
        </w:numPr>
        <w:rPr>
          <w:rFonts w:ascii="Arial" w:cs="Arial" w:eastAsia="Arial" w:hAnsi="Arial"/>
          <w:sz w:val="11"/>
          <w:szCs w:val="11"/>
          <w:color w:val="auto"/>
        </w:rPr>
      </w:pPr>
      <w:r>
        <w:rPr>
          <w:rFonts w:ascii="Arial" w:cs="Arial" w:eastAsia="Arial" w:hAnsi="Arial"/>
          <w:sz w:val="11"/>
          <w:szCs w:val="11"/>
          <w:color w:val="auto"/>
        </w:rPr>
        <w:t xml:space="preserve">by Zordich (at any time prior to the approval of the Zordich Stockholder Matters by the Required Zordich Stockholder Vote) and following compliance with all of the requirements set forth in the proviso to this </w:t>
      </w:r>
      <w:r>
        <w:rPr>
          <w:rFonts w:ascii="Arial" w:cs="Arial" w:eastAsia="Arial" w:hAnsi="Arial"/>
          <w:sz w:val="11"/>
          <w:szCs w:val="11"/>
          <w:u w:val="single" w:color="auto"/>
          <w:color w:val="auto"/>
        </w:rPr>
        <w:t>Section 10.1(j)</w:t>
      </w:r>
      <w:r>
        <w:rPr>
          <w:rFonts w:ascii="Arial" w:cs="Arial" w:eastAsia="Arial" w:hAnsi="Arial"/>
          <w:sz w:val="11"/>
          <w:szCs w:val="11"/>
          <w:color w:val="auto"/>
        </w:rPr>
        <w:t>, upon the Zordich Board authorizing Zordich to enter into a Permitted Alternative Agreement; provided, however, that Zordich shall not enter into any Permitted Alternative Agreement unless: (i) the Company shall have received written notice from Zordich of Zordich’s intention to enter into such Permitted Alternative Agreement at least four</w:t>
      </w:r>
    </w:p>
    <w:p>
      <w:pPr>
        <w:ind w:left="840" w:right="839" w:hanging="9"/>
        <w:spacing w:after="0" w:line="274" w:lineRule="auto"/>
        <w:tabs>
          <w:tab w:leader="none" w:pos="101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 xml:space="preserve">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Zordich shall have complied in all material respects with its obligations under </w:t>
      </w:r>
      <w:r>
        <w:rPr>
          <w:rFonts w:ascii="Arial" w:cs="Arial" w:eastAsia="Arial" w:hAnsi="Arial"/>
          <w:sz w:val="11"/>
          <w:szCs w:val="11"/>
          <w:u w:val="single" w:color="auto"/>
          <w:color w:val="auto"/>
        </w:rPr>
        <w:t>Section 5.4</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6.3</w:t>
      </w:r>
      <w:r>
        <w:rPr>
          <w:rFonts w:ascii="Arial" w:cs="Arial" w:eastAsia="Arial" w:hAnsi="Arial"/>
          <w:sz w:val="11"/>
          <w:szCs w:val="11"/>
          <w:color w:val="auto"/>
        </w:rPr>
        <w:t>, (iii) the Zordich Board shall have determined in good faith, after consultation with its outside legal counsel, that the failure to enter into such Permitted Alternative Agreement would reasonably be expected to be inconsistent with its fiduciary obligations under applicable Law and (iv) Zordich shall concurrently pay to the Company the Company Termination Fee in accordance with</w:t>
      </w:r>
    </w:p>
    <w:p>
      <w:pPr>
        <w:ind w:left="840"/>
        <w:spacing w:after="0"/>
        <w:rPr>
          <w:rFonts w:ascii="Arial" w:cs="Arial" w:eastAsia="Arial" w:hAnsi="Arial"/>
          <w:sz w:val="11"/>
          <w:szCs w:val="11"/>
          <w:color w:val="auto"/>
        </w:rPr>
      </w:pPr>
      <w:r>
        <w:rPr>
          <w:rFonts w:ascii="Arial" w:cs="Arial" w:eastAsia="Arial" w:hAnsi="Arial"/>
          <w:sz w:val="12"/>
          <w:szCs w:val="12"/>
          <w:u w:val="single" w:color="auto"/>
          <w:color w:val="auto"/>
        </w:rPr>
        <w:t>Section 10.3(c)</w:t>
      </w:r>
      <w:r>
        <w:rPr>
          <w:rFonts w:ascii="Arial" w:cs="Arial" w:eastAsia="Arial" w:hAnsi="Arial"/>
          <w:sz w:val="12"/>
          <w:szCs w:val="12"/>
          <w:color w:val="auto"/>
        </w:rPr>
        <w:t>.</w:t>
      </w:r>
    </w:p>
    <w:p>
      <w:pPr>
        <w:spacing w:after="0" w:line="142" w:lineRule="exact"/>
        <w:rPr>
          <w:sz w:val="20"/>
          <w:szCs w:val="20"/>
          <w:color w:val="auto"/>
        </w:rPr>
      </w:pPr>
    </w:p>
    <w:p>
      <w:pPr>
        <w:ind w:left="840" w:right="839"/>
        <w:spacing w:after="0" w:line="264" w:lineRule="auto"/>
        <w:rPr>
          <w:sz w:val="20"/>
          <w:szCs w:val="20"/>
          <w:color w:val="auto"/>
        </w:rPr>
      </w:pPr>
      <w:r>
        <w:rPr>
          <w:rFonts w:ascii="Arial" w:cs="Arial" w:eastAsia="Arial" w:hAnsi="Arial"/>
          <w:sz w:val="12"/>
          <w:szCs w:val="12"/>
          <w:color w:val="auto"/>
        </w:rPr>
        <w:t xml:space="preserve">The Party desiring to terminate this Agreement pursuant to this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(other than pursuant to </w:t>
      </w:r>
      <w:r>
        <w:rPr>
          <w:rFonts w:ascii="Arial" w:cs="Arial" w:eastAsia="Arial" w:hAnsi="Arial"/>
          <w:sz w:val="12"/>
          <w:szCs w:val="12"/>
          <w:u w:val="single" w:color="auto"/>
          <w:color w:val="auto"/>
        </w:rPr>
        <w:t>Section 10.1(a)</w:t>
      </w:r>
      <w:r>
        <w:rPr>
          <w:rFonts w:ascii="Arial" w:cs="Arial" w:eastAsia="Arial" w:hAnsi="Arial"/>
          <w:sz w:val="12"/>
          <w:szCs w:val="12"/>
          <w:color w:val="auto"/>
        </w:rPr>
        <w:t>) shall give a notice of such termination to the other Party specifying the provisions hereof pursuant to which such termination is made and the basis therefor described in reasonable detail.</w:t>
      </w:r>
    </w:p>
    <w:p>
      <w:pPr>
        <w:spacing w:after="0" w:line="122" w:lineRule="exact"/>
        <w:rPr>
          <w:sz w:val="20"/>
          <w:szCs w:val="20"/>
          <w:color w:val="auto"/>
        </w:rPr>
      </w:pPr>
    </w:p>
    <w:p>
      <w:pPr>
        <w:ind w:left="840" w:right="839" w:firstLine="295"/>
        <w:spacing w:after="0" w:line="290" w:lineRule="auto"/>
        <w:rPr>
          <w:sz w:val="20"/>
          <w:szCs w:val="20"/>
          <w:color w:val="auto"/>
        </w:rPr>
      </w:pPr>
      <w:r>
        <w:rPr>
          <w:rFonts w:ascii="Arial" w:cs="Arial" w:eastAsia="Arial" w:hAnsi="Arial"/>
          <w:sz w:val="11"/>
          <w:szCs w:val="11"/>
          <w:color w:val="auto"/>
        </w:rPr>
        <w:t xml:space="preserve">10.2 </w:t>
      </w:r>
      <w:r>
        <w:rPr>
          <w:rFonts w:ascii="Arial" w:cs="Arial" w:eastAsia="Arial" w:hAnsi="Arial"/>
          <w:sz w:val="11"/>
          <w:szCs w:val="11"/>
          <w:u w:val="single" w:color="auto"/>
          <w:color w:val="auto"/>
        </w:rPr>
        <w:t>Effect of Termination</w:t>
      </w:r>
      <w:r>
        <w:rPr>
          <w:rFonts w:ascii="Arial" w:cs="Arial" w:eastAsia="Arial" w:hAnsi="Arial"/>
          <w:sz w:val="11"/>
          <w:szCs w:val="11"/>
          <w:color w:val="auto"/>
        </w:rPr>
        <w:t xml:space="preserve">. In the event of the termination of this Agreement as provided in </w:t>
      </w:r>
      <w:r>
        <w:rPr>
          <w:rFonts w:ascii="Arial" w:cs="Arial" w:eastAsia="Arial" w:hAnsi="Arial"/>
          <w:sz w:val="11"/>
          <w:szCs w:val="11"/>
          <w:u w:val="single" w:color="auto"/>
          <w:color w:val="auto"/>
        </w:rPr>
        <w:t>Section 10.1</w:t>
      </w:r>
      <w:r>
        <w:rPr>
          <w:rFonts w:ascii="Arial" w:cs="Arial" w:eastAsia="Arial" w:hAnsi="Arial"/>
          <w:sz w:val="11"/>
          <w:szCs w:val="11"/>
          <w:color w:val="auto"/>
        </w:rPr>
        <w:t xml:space="preserve">, this Agreement shall be of no further force or effect; provided, however, that (a) this </w:t>
      </w:r>
      <w:r>
        <w:rPr>
          <w:rFonts w:ascii="Arial" w:cs="Arial" w:eastAsia="Arial" w:hAnsi="Arial"/>
          <w:sz w:val="11"/>
          <w:szCs w:val="11"/>
          <w:u w:val="single" w:color="auto"/>
          <w:color w:val="auto"/>
        </w:rPr>
        <w:t>Section 10.2</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shall survive the termination of this Agreement and shall remain in full force and effect and (b) the termination of this Agreement and the provisions of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shall not relieve any Party of any liability for fraud or for any willful and material breach of any representation, warranty, covenant, obligation or other provision contained in this Agreement.</w:t>
      </w:r>
    </w:p>
    <w:p>
      <w:pPr>
        <w:spacing w:after="0" w:line="183"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10"/>
          <w:szCs w:val="10"/>
          <w:u w:val="single" w:color="auto"/>
          <w:color w:val="auto"/>
        </w:rPr>
        <w:t>Expenses; Termination Fees</w:t>
      </w:r>
      <w:r>
        <w:rPr>
          <w:rFonts w:ascii="Arial" w:cs="Arial" w:eastAsia="Arial" w:hAnsi="Arial"/>
          <w:sz w:val="10"/>
          <w:szCs w:val="10"/>
          <w:color w:val="auto"/>
        </w:rPr>
        <w:t>.</w:t>
      </w:r>
    </w:p>
    <w:p>
      <w:pPr>
        <w:spacing w:after="0" w:line="79" w:lineRule="exact"/>
        <w:rPr>
          <w:sz w:val="20"/>
          <w:szCs w:val="20"/>
          <w:color w:val="auto"/>
        </w:rPr>
      </w:pPr>
    </w:p>
    <w:p>
      <w:pPr>
        <w:ind w:left="840" w:right="999" w:firstLine="654"/>
        <w:spacing w:after="0" w:line="290" w:lineRule="auto"/>
        <w:tabs>
          <w:tab w:leader="none" w:pos="1757" w:val="left"/>
        </w:tabs>
        <w:numPr>
          <w:ilvl w:val="0"/>
          <w:numId w:val="115"/>
        </w:numPr>
        <w:rPr>
          <w:rFonts w:ascii="Arial" w:cs="Arial" w:eastAsia="Arial" w:hAnsi="Arial"/>
          <w:sz w:val="11"/>
          <w:szCs w:val="11"/>
          <w:color w:val="auto"/>
        </w:rPr>
      </w:pPr>
      <w:r>
        <w:rPr>
          <w:rFonts w:ascii="Arial" w:cs="Arial" w:eastAsia="Arial" w:hAnsi="Arial"/>
          <w:sz w:val="11"/>
          <w:szCs w:val="11"/>
          <w:color w:val="auto"/>
        </w:rPr>
        <w:t xml:space="preserve">Except as set forth in this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6.11</w:t>
      </w:r>
      <w:r>
        <w:rPr>
          <w:rFonts w:ascii="Arial" w:cs="Arial" w:eastAsia="Arial" w:hAnsi="Arial"/>
          <w:sz w:val="11"/>
          <w:szCs w:val="11"/>
          <w:color w:val="auto"/>
        </w:rPr>
        <w:t xml:space="preserve"> all fees and expenses incurred in connection with this Agreement and the Contemplated Transactions shall be paid by the Party incurring such expenses, whether or not the Merger is consummated; provided, however, that Zordich and the Company shall share equally all fees and expenses incurred in relation to the printing and filing with the SEC of the Proxy Statement (including any financial statements and exhibits) and any amendments or supplements thereto and paid to a financial printer or the SEC.</w:t>
      </w:r>
    </w:p>
    <w:p>
      <w:pPr>
        <w:spacing w:after="0" w:line="110" w:lineRule="exact"/>
        <w:rPr>
          <w:rFonts w:ascii="Arial" w:cs="Arial" w:eastAsia="Arial" w:hAnsi="Arial"/>
          <w:sz w:val="11"/>
          <w:szCs w:val="11"/>
          <w:color w:val="auto"/>
        </w:rPr>
      </w:pPr>
    </w:p>
    <w:p>
      <w:pPr>
        <w:jc w:val="both"/>
        <w:ind w:left="840" w:right="979" w:firstLine="654"/>
        <w:spacing w:after="0" w:line="260" w:lineRule="auto"/>
        <w:tabs>
          <w:tab w:leader="none" w:pos="1764" w:val="left"/>
        </w:tabs>
        <w:numPr>
          <w:ilvl w:val="0"/>
          <w:numId w:val="115"/>
        </w:numPr>
        <w:rPr>
          <w:rFonts w:ascii="Arial" w:cs="Arial" w:eastAsia="Arial" w:hAnsi="Arial"/>
          <w:sz w:val="12"/>
          <w:szCs w:val="12"/>
          <w:color w:val="auto"/>
        </w:rPr>
      </w:pPr>
      <w:r>
        <w:rPr>
          <w:rFonts w:ascii="Arial" w:cs="Arial" w:eastAsia="Arial" w:hAnsi="Arial"/>
          <w:sz w:val="12"/>
          <w:szCs w:val="12"/>
          <w:color w:val="auto"/>
        </w:rPr>
        <w:t xml:space="preserve">If (i) this Agreement is terminated by Zordich or the Company pursuant to </w:t>
      </w:r>
      <w:r>
        <w:rPr>
          <w:rFonts w:ascii="Arial" w:cs="Arial" w:eastAsia="Arial" w:hAnsi="Arial"/>
          <w:sz w:val="12"/>
          <w:szCs w:val="12"/>
          <w:u w:val="single" w:color="auto"/>
          <w:color w:val="auto"/>
        </w:rPr>
        <w:t>Section 10.1(e)</w:t>
      </w:r>
      <w:r>
        <w:rPr>
          <w:rFonts w:ascii="Arial" w:cs="Arial" w:eastAsia="Arial" w:hAnsi="Arial"/>
          <w:sz w:val="12"/>
          <w:szCs w:val="12"/>
          <w:color w:val="auto"/>
        </w:rPr>
        <w:t xml:space="preserve"> or by the Company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10.1(f)</w:t>
      </w:r>
      <w:r>
        <w:rPr>
          <w:rFonts w:ascii="Arial" w:cs="Arial" w:eastAsia="Arial" w:hAnsi="Arial"/>
          <w:sz w:val="12"/>
          <w:szCs w:val="12"/>
          <w:color w:val="auto"/>
        </w:rPr>
        <w:t>, (ii) at any time after the date of this Agreement and prior to the Zordich Stockholder Meeting an Acquisition Proposal with respect to Zordich shall have been publicly announced, disclosed or otherwise communicated to the Zordich Board (and shall not have been withdrawn) and (iii) in the event this Agreement is terminated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9019"/>
          </w:cols>
          <w:pgMar w:left="1440" w:top="230" w:right="1440" w:bottom="1440" w:gutter="0" w:footer="0" w:header="0"/>
        </w:sectPr>
      </w:pPr>
    </w:p>
    <w:bookmarkStart w:id="88" w:name="page89"/>
    <w:bookmarkEnd w:id="88"/>
    <w:p>
      <w:pPr>
        <w:ind w:left="840" w:right="859"/>
        <w:spacing w:after="0" w:line="26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pursuant to </w:t>
      </w:r>
      <w:r>
        <w:rPr>
          <w:rFonts w:ascii="Arial" w:cs="Arial" w:eastAsia="Arial" w:hAnsi="Arial"/>
          <w:sz w:val="12"/>
          <w:szCs w:val="12"/>
          <w:u w:val="single" w:color="auto"/>
          <w:color w:val="auto"/>
        </w:rPr>
        <w:t>Section 10.1(e)</w:t>
      </w:r>
      <w:r>
        <w:rPr>
          <w:rFonts w:ascii="Arial" w:cs="Arial" w:eastAsia="Arial" w:hAnsi="Arial"/>
          <w:sz w:val="12"/>
          <w:szCs w:val="12"/>
          <w:color w:val="auto"/>
        </w:rPr>
        <w:t>, within twelve (12) months after the date of such termination, Zordich enters into a definitive agreement with respect to a Subsequent Transaction or consummates a Subsequent Transaction, then Zordich shall pay to the Company,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2"/>
          <w:szCs w:val="12"/>
          <w:b w:val="1"/>
          <w:bCs w:val="1"/>
          <w:color w:val="auto"/>
        </w:rPr>
        <w:t>Company Termination Fee</w:t>
      </w:r>
      <w:r>
        <w:rPr>
          <w:rFonts w:ascii="Arial" w:cs="Arial" w:eastAsia="Arial" w:hAnsi="Arial"/>
          <w:sz w:val="12"/>
          <w:szCs w:val="12"/>
          <w:color w:val="auto"/>
        </w:rPr>
        <w:t>”).</w:t>
      </w:r>
    </w:p>
    <w:p>
      <w:pPr>
        <w:spacing w:after="0" w:line="124" w:lineRule="exact"/>
        <w:rPr>
          <w:sz w:val="20"/>
          <w:szCs w:val="20"/>
          <w:color w:val="auto"/>
        </w:rPr>
      </w:pPr>
    </w:p>
    <w:p>
      <w:pPr>
        <w:ind w:left="840" w:right="899" w:firstLine="654"/>
        <w:spacing w:after="0" w:line="277" w:lineRule="auto"/>
        <w:tabs>
          <w:tab w:leader="none" w:pos="1757" w:val="left"/>
        </w:tabs>
        <w:numPr>
          <w:ilvl w:val="0"/>
          <w:numId w:val="116"/>
        </w:numPr>
        <w:rPr>
          <w:rFonts w:ascii="Arial" w:cs="Arial" w:eastAsia="Arial" w:hAnsi="Arial"/>
          <w:sz w:val="12"/>
          <w:szCs w:val="12"/>
          <w:color w:val="auto"/>
        </w:rPr>
      </w:pPr>
      <w:r>
        <w:rPr>
          <w:rFonts w:ascii="Arial" w:cs="Arial" w:eastAsia="Arial" w:hAnsi="Arial"/>
          <w:sz w:val="12"/>
          <w:szCs w:val="12"/>
          <w:color w:val="auto"/>
        </w:rPr>
        <w:t xml:space="preserve">If this Agreement is terminated by Zordich pursuant to </w:t>
      </w:r>
      <w:r>
        <w:rPr>
          <w:rFonts w:ascii="Arial" w:cs="Arial" w:eastAsia="Arial" w:hAnsi="Arial"/>
          <w:sz w:val="12"/>
          <w:szCs w:val="12"/>
          <w:u w:val="single" w:color="auto"/>
          <w:color w:val="auto"/>
        </w:rPr>
        <w:t>Section 10.1(j)</w:t>
      </w:r>
      <w:r>
        <w:rPr>
          <w:rFonts w:ascii="Arial" w:cs="Arial" w:eastAsia="Arial" w:hAnsi="Arial"/>
          <w:sz w:val="12"/>
          <w:szCs w:val="12"/>
          <w:color w:val="auto"/>
        </w:rPr>
        <w:t>, then Zordich shall pay to the Company, concurrent with such termination, the Company Termination Fee.</w:t>
      </w:r>
    </w:p>
    <w:p>
      <w:pPr>
        <w:spacing w:after="0" w:line="114" w:lineRule="exact"/>
        <w:rPr>
          <w:rFonts w:ascii="Arial" w:cs="Arial" w:eastAsia="Arial" w:hAnsi="Arial"/>
          <w:sz w:val="12"/>
          <w:szCs w:val="12"/>
          <w:color w:val="auto"/>
        </w:rPr>
      </w:pPr>
    </w:p>
    <w:p>
      <w:pPr>
        <w:ind w:left="840" w:right="819" w:firstLine="654"/>
        <w:spacing w:after="0" w:line="282" w:lineRule="auto"/>
        <w:tabs>
          <w:tab w:leader="none" w:pos="1764" w:val="left"/>
        </w:tabs>
        <w:numPr>
          <w:ilvl w:val="0"/>
          <w:numId w:val="116"/>
        </w:numPr>
        <w:rPr>
          <w:rFonts w:ascii="Arial" w:cs="Arial" w:eastAsia="Arial" w:hAnsi="Arial"/>
          <w:sz w:val="11"/>
          <w:szCs w:val="11"/>
          <w:color w:val="auto"/>
        </w:rPr>
      </w:pPr>
      <w:r>
        <w:rPr>
          <w:rFonts w:ascii="Arial" w:cs="Arial" w:eastAsia="Arial" w:hAnsi="Arial"/>
          <w:sz w:val="11"/>
          <w:szCs w:val="11"/>
          <w:color w:val="auto"/>
        </w:rPr>
        <w:t xml:space="preserve">If (i) this Agreement is terminated by Zordich pursuant to </w:t>
      </w:r>
      <w:r>
        <w:rPr>
          <w:rFonts w:ascii="Arial" w:cs="Arial" w:eastAsia="Arial" w:hAnsi="Arial"/>
          <w:sz w:val="11"/>
          <w:szCs w:val="11"/>
          <w:u w:val="single" w:color="auto"/>
          <w:color w:val="auto"/>
        </w:rPr>
        <w:t>Section 10.1(d)</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10.1(g)</w:t>
      </w:r>
      <w:r>
        <w:rPr>
          <w:rFonts w:ascii="Arial" w:cs="Arial" w:eastAsia="Arial" w:hAnsi="Arial"/>
          <w:sz w:val="11"/>
          <w:szCs w:val="11"/>
          <w:color w:val="auto"/>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Arial" w:cs="Arial" w:eastAsia="Arial" w:hAnsi="Arial"/>
          <w:sz w:val="11"/>
          <w:szCs w:val="11"/>
          <w:u w:val="single" w:color="auto"/>
          <w:color w:val="auto"/>
        </w:rPr>
        <w:t>Section 10.1(d)</w:t>
      </w:r>
      <w:r>
        <w:rPr>
          <w:rFonts w:ascii="Arial" w:cs="Arial" w:eastAsia="Arial" w:hAnsi="Arial"/>
          <w:sz w:val="11"/>
          <w:szCs w:val="11"/>
          <w:color w:val="auto"/>
        </w:rPr>
        <w:t>, within twelve (12) months after the date of such termination, the Company enters into a definitive agreement with respect to a Subsequent Transaction or consummates a Subsequent Transaction, then the Company shall pay to Zordich,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1"/>
          <w:szCs w:val="11"/>
          <w:b w:val="1"/>
          <w:bCs w:val="1"/>
          <w:color w:val="auto"/>
        </w:rPr>
        <w:t>Zordich Termination Fee</w:t>
      </w:r>
      <w:r>
        <w:rPr>
          <w:rFonts w:ascii="Arial" w:cs="Arial" w:eastAsia="Arial" w:hAnsi="Arial"/>
          <w:sz w:val="11"/>
          <w:szCs w:val="11"/>
          <w:color w:val="auto"/>
        </w:rPr>
        <w:t>”).</w:t>
      </w:r>
    </w:p>
    <w:p>
      <w:pPr>
        <w:spacing w:after="0" w:line="115" w:lineRule="exact"/>
        <w:rPr>
          <w:rFonts w:ascii="Arial" w:cs="Arial" w:eastAsia="Arial" w:hAnsi="Arial"/>
          <w:sz w:val="11"/>
          <w:szCs w:val="11"/>
          <w:color w:val="auto"/>
        </w:rPr>
      </w:pPr>
    </w:p>
    <w:p>
      <w:pPr>
        <w:ind w:left="840" w:right="859" w:firstLine="654"/>
        <w:spacing w:after="0" w:line="260" w:lineRule="auto"/>
        <w:tabs>
          <w:tab w:leader="none" w:pos="1757" w:val="left"/>
        </w:tabs>
        <w:numPr>
          <w:ilvl w:val="0"/>
          <w:numId w:val="116"/>
        </w:numPr>
        <w:rPr>
          <w:rFonts w:ascii="Arial" w:cs="Arial" w:eastAsia="Arial" w:hAnsi="Arial"/>
          <w:sz w:val="12"/>
          <w:szCs w:val="12"/>
          <w:color w:val="auto"/>
        </w:rPr>
      </w:pPr>
      <w:r>
        <w:rPr>
          <w:rFonts w:ascii="Arial" w:cs="Arial" w:eastAsia="Arial" w:hAnsi="Arial"/>
          <w:sz w:val="12"/>
          <w:szCs w:val="12"/>
          <w:color w:val="auto"/>
        </w:rPr>
        <w:t xml:space="preserve">If this Agreement is terminated by the Company pursuant to </w:t>
      </w:r>
      <w:r>
        <w:rPr>
          <w:rFonts w:ascii="Arial" w:cs="Arial" w:eastAsia="Arial" w:hAnsi="Arial"/>
          <w:sz w:val="12"/>
          <w:szCs w:val="12"/>
          <w:u w:val="single" w:color="auto"/>
          <w:color w:val="auto"/>
        </w:rPr>
        <w:t>Section 10.1(h)</w:t>
      </w:r>
      <w:r>
        <w:rPr>
          <w:rFonts w:ascii="Arial" w:cs="Arial" w:eastAsia="Arial" w:hAnsi="Arial"/>
          <w:sz w:val="12"/>
          <w:szCs w:val="12"/>
          <w:color w:val="auto"/>
        </w:rPr>
        <w:t>, Zordich shall reimburse the Company for all reasonable out-of-pocket fees and expenses incurred by the Company in connection with this Agreement and the Contemplated Transactions, up to a maximum of $350,000, by wire transfer of same-day funds within ten (10) Business Days following the date on which the Company submits to Zordich true and correct copies of reasonable documentation supporting such expenses.</w:t>
      </w:r>
    </w:p>
    <w:p>
      <w:pPr>
        <w:spacing w:after="0" w:line="124" w:lineRule="exact"/>
        <w:rPr>
          <w:rFonts w:ascii="Arial" w:cs="Arial" w:eastAsia="Arial" w:hAnsi="Arial"/>
          <w:sz w:val="12"/>
          <w:szCs w:val="12"/>
          <w:color w:val="auto"/>
        </w:rPr>
      </w:pPr>
    </w:p>
    <w:p>
      <w:pPr>
        <w:ind w:left="1740" w:hanging="246"/>
        <w:spacing w:after="0"/>
        <w:tabs>
          <w:tab w:leader="none" w:pos="174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 xml:space="preserve">If this Agreement is terminated by Zordich pursuant to </w:t>
      </w:r>
      <w:r>
        <w:rPr>
          <w:rFonts w:ascii="Arial" w:cs="Arial" w:eastAsia="Arial" w:hAnsi="Arial"/>
          <w:sz w:val="11"/>
          <w:szCs w:val="11"/>
          <w:u w:val="single" w:color="auto"/>
          <w:color w:val="auto"/>
        </w:rPr>
        <w:t>Section 10.1(i)</w:t>
      </w:r>
      <w:r>
        <w:rPr>
          <w:rFonts w:ascii="Arial" w:cs="Arial" w:eastAsia="Arial" w:hAnsi="Arial"/>
          <w:sz w:val="11"/>
          <w:szCs w:val="11"/>
          <w:color w:val="auto"/>
        </w:rPr>
        <w:t>, the Company shall reimburse Zordich for all reasonable</w:t>
      </w:r>
    </w:p>
    <w:p>
      <w:pPr>
        <w:spacing w:after="0" w:line="27" w:lineRule="exact"/>
        <w:rPr>
          <w:sz w:val="20"/>
          <w:szCs w:val="20"/>
          <w:color w:val="auto"/>
        </w:rPr>
      </w:pPr>
    </w:p>
    <w:p>
      <w:pPr>
        <w:ind w:left="840" w:right="1099"/>
        <w:spacing w:after="0" w:line="256" w:lineRule="auto"/>
        <w:rPr>
          <w:sz w:val="20"/>
          <w:szCs w:val="20"/>
          <w:color w:val="auto"/>
        </w:rPr>
      </w:pPr>
      <w:r>
        <w:rPr>
          <w:rFonts w:ascii="Arial" w:cs="Arial" w:eastAsia="Arial" w:hAnsi="Arial"/>
          <w:sz w:val="12"/>
          <w:szCs w:val="12"/>
          <w:color w:val="auto"/>
        </w:rPr>
        <w:t>out-of-pocket fees and expenses incurred by Zordich in connection with this Agreement and the Contemplated Transactions, up to a maximum of $350,000, by wire transfer of same-day funds within ten (10) Business Days following the date on which Zordich submits to the Company true and correct copies of reasonable documentation supporting such expenses.</w:t>
      </w:r>
    </w:p>
    <w:p>
      <w:pPr>
        <w:spacing w:after="0" w:line="127" w:lineRule="exact"/>
        <w:rPr>
          <w:sz w:val="20"/>
          <w:szCs w:val="20"/>
          <w:color w:val="auto"/>
        </w:rPr>
      </w:pPr>
    </w:p>
    <w:p>
      <w:pPr>
        <w:ind w:left="840" w:right="979" w:firstLine="654"/>
        <w:spacing w:after="0" w:line="284" w:lineRule="auto"/>
        <w:tabs>
          <w:tab w:leader="none" w:pos="1764" w:val="left"/>
        </w:tabs>
        <w:numPr>
          <w:ilvl w:val="0"/>
          <w:numId w:val="117"/>
        </w:numPr>
        <w:rPr>
          <w:rFonts w:ascii="Arial" w:cs="Arial" w:eastAsia="Arial" w:hAnsi="Arial"/>
          <w:sz w:val="11"/>
          <w:szCs w:val="11"/>
          <w:color w:val="auto"/>
        </w:rPr>
      </w:pPr>
      <w:r>
        <w:rPr>
          <w:rFonts w:ascii="Arial" w:cs="Arial" w:eastAsia="Arial" w:hAnsi="Arial"/>
          <w:sz w:val="11"/>
          <w:szCs w:val="11"/>
          <w:color w:val="auto"/>
        </w:rPr>
        <w:t xml:space="preserve">If either Party fails to pay when due any amount payable by it under this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13" w:lineRule="exact"/>
        <w:rPr>
          <w:rFonts w:ascii="Arial" w:cs="Arial" w:eastAsia="Arial" w:hAnsi="Arial"/>
          <w:sz w:val="11"/>
          <w:szCs w:val="11"/>
          <w:color w:val="auto"/>
        </w:rPr>
      </w:pPr>
    </w:p>
    <w:p>
      <w:pPr>
        <w:ind w:left="840" w:right="899" w:firstLine="654"/>
        <w:spacing w:after="0" w:line="257" w:lineRule="auto"/>
        <w:tabs>
          <w:tab w:leader="none" w:pos="1761" w:val="left"/>
        </w:tabs>
        <w:numPr>
          <w:ilvl w:val="0"/>
          <w:numId w:val="117"/>
        </w:numPr>
        <w:rPr>
          <w:rFonts w:ascii="Arial" w:cs="Arial" w:eastAsia="Arial" w:hAnsi="Arial"/>
          <w:sz w:val="12"/>
          <w:szCs w:val="12"/>
          <w:color w:val="auto"/>
        </w:rPr>
      </w:pPr>
      <w:r>
        <w:rPr>
          <w:rFonts w:ascii="Arial" w:cs="Arial" w:eastAsia="Arial" w:hAnsi="Arial"/>
          <w:sz w:val="12"/>
          <w:szCs w:val="12"/>
          <w:color w:val="auto"/>
        </w:rPr>
        <w:t xml:space="preserve">The Parties agree that, subject to </w:t>
      </w:r>
      <w:r>
        <w:rPr>
          <w:rFonts w:ascii="Arial" w:cs="Arial" w:eastAsia="Arial" w:hAnsi="Arial"/>
          <w:sz w:val="12"/>
          <w:szCs w:val="12"/>
          <w:u w:val="single" w:color="auto"/>
          <w:color w:val="auto"/>
        </w:rPr>
        <w:t>Section 10.2</w:t>
      </w:r>
      <w:r>
        <w:rPr>
          <w:rFonts w:ascii="Arial" w:cs="Arial" w:eastAsia="Arial" w:hAnsi="Arial"/>
          <w:sz w:val="12"/>
          <w:szCs w:val="12"/>
          <w:color w:val="auto"/>
        </w:rPr>
        <w:t xml:space="preserve">, the payment of the fees and expenses set forth in this </w:t>
      </w:r>
      <w:r>
        <w:rPr>
          <w:rFonts w:ascii="Arial" w:cs="Arial" w:eastAsia="Arial" w:hAnsi="Arial"/>
          <w:sz w:val="12"/>
          <w:szCs w:val="12"/>
          <w:u w:val="single" w:color="auto"/>
          <w:color w:val="auto"/>
        </w:rPr>
        <w:t>Section 10.3</w:t>
      </w:r>
      <w:r>
        <w:rPr>
          <w:rFonts w:ascii="Arial" w:cs="Arial" w:eastAsia="Arial" w:hAnsi="Arial"/>
          <w:sz w:val="12"/>
          <w:szCs w:val="12"/>
          <w:color w:val="auto"/>
        </w:rPr>
        <w:t xml:space="preserve"> shall be the sole and exclusive remedy of each Party following a termination of this Agreement under the circumstances described in this </w:t>
      </w:r>
      <w:r>
        <w:rPr>
          <w:rFonts w:ascii="Arial" w:cs="Arial" w:eastAsia="Arial" w:hAnsi="Arial"/>
          <w:sz w:val="12"/>
          <w:szCs w:val="12"/>
          <w:u w:val="single" w:color="auto"/>
          <w:color w:val="auto"/>
        </w:rPr>
        <w:t>Section 10.3</w:t>
      </w:r>
      <w:r>
        <w:rPr>
          <w:rFonts w:ascii="Arial" w:cs="Arial" w:eastAsia="Arial" w:hAnsi="Arial"/>
          <w:sz w:val="12"/>
          <w:szCs w:val="12"/>
          <w:color w:val="auto"/>
        </w:rPr>
        <w:t>, it being understood that in no event shall either Zordich or the Company be required to pay the individual fees or damages payable pursuant to this Section 10.3 on more than one occasion. Subject to Section 10.2, following the payment of the fees and expenses set forth in this Section 10.3 by a Party, (i) such Party shall have no further liability to the other Party in connection</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9019"/>
          </w:cols>
          <w:pgMar w:left="1440" w:top="230" w:right="1440" w:bottom="1440" w:gutter="0" w:footer="0" w:header="0"/>
        </w:sectPr>
      </w:pPr>
    </w:p>
    <w:bookmarkStart w:id="89" w:name="page90"/>
    <w:bookmarkEnd w:id="89"/>
    <w:p>
      <w:pPr>
        <w:ind w:left="840" w:right="819"/>
        <w:spacing w:after="0" w:line="27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are an integral part of the Contemplated Transactions, (y) without these agreements, the Parties would not enter into this Agreement and (z) any amount payable pursuant to this </w:t>
      </w:r>
      <w:r>
        <w:rPr>
          <w:rFonts w:ascii="Arial" w:cs="Arial" w:eastAsia="Arial" w:hAnsi="Arial"/>
          <w:sz w:val="11"/>
          <w:szCs w:val="11"/>
          <w:u w:val="single" w:color="auto"/>
          <w:color w:val="auto"/>
        </w:rPr>
        <w:t>Section 10.3</w:t>
      </w:r>
      <w:r>
        <w:rPr>
          <w:rFonts w:ascii="Arial" w:cs="Arial" w:eastAsia="Arial" w:hAnsi="Arial"/>
          <w:sz w:val="11"/>
          <w:szCs w:val="11"/>
          <w:color w:val="auto"/>
        </w:rPr>
        <w:t xml:space="preserve"> is not a penalty, but rather is liquidated damages in a reasonable amount that will compensate the Parties in the circumstances in which such amount is payable.</w:t>
      </w:r>
    </w:p>
    <w:p>
      <w:pPr>
        <w:spacing w:after="0" w:line="188" w:lineRule="exact"/>
        <w:rPr>
          <w:sz w:val="20"/>
          <w:szCs w:val="20"/>
          <w:color w:val="auto"/>
        </w:rPr>
      </w:pPr>
    </w:p>
    <w:p>
      <w:pPr>
        <w:ind w:left="1120"/>
        <w:spacing w:after="0"/>
        <w:tabs>
          <w:tab w:leader="none" w:pos="1760" w:val="left"/>
        </w:tabs>
        <w:rPr>
          <w:sz w:val="20"/>
          <w:szCs w:val="20"/>
          <w:color w:val="auto"/>
        </w:rPr>
      </w:pPr>
      <w:r>
        <w:rPr>
          <w:rFonts w:ascii="Arial" w:cs="Arial" w:eastAsia="Arial" w:hAnsi="Arial"/>
          <w:sz w:val="12"/>
          <w:szCs w:val="12"/>
          <w:color w:val="auto"/>
        </w:rPr>
        <w:t>Section 11.</w:t>
      </w:r>
      <w:r>
        <w:rPr>
          <w:sz w:val="20"/>
          <w:szCs w:val="20"/>
          <w:color w:val="auto"/>
        </w:rPr>
        <w:tab/>
      </w:r>
      <w:r>
        <w:rPr>
          <w:rFonts w:ascii="Arial" w:cs="Arial" w:eastAsia="Arial" w:hAnsi="Arial"/>
          <w:sz w:val="11"/>
          <w:szCs w:val="11"/>
          <w:u w:val="single" w:color="auto"/>
          <w:color w:val="auto"/>
        </w:rPr>
        <w:t>Miscellaneous Provisions</w:t>
      </w:r>
    </w:p>
    <w:p>
      <w:pPr>
        <w:spacing w:after="0" w:line="79" w:lineRule="exact"/>
        <w:rPr>
          <w:sz w:val="20"/>
          <w:szCs w:val="20"/>
          <w:color w:val="auto"/>
        </w:rPr>
      </w:pPr>
    </w:p>
    <w:p>
      <w:pPr>
        <w:ind w:left="840" w:right="819" w:firstLine="295"/>
        <w:spacing w:after="0" w:line="264"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Non-Survival of Representations and Warranties</w:t>
      </w:r>
      <w:r>
        <w:rPr>
          <w:rFonts w:ascii="Arial" w:cs="Arial" w:eastAsia="Arial" w:hAnsi="Arial"/>
          <w:sz w:val="12"/>
          <w:szCs w:val="12"/>
          <w:color w:val="auto"/>
        </w:rPr>
        <w:t xml:space="preserve">. The representations and warranties of the Company, Zordich and Merger 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shall survive the Effective Time.</w:t>
      </w:r>
    </w:p>
    <w:p>
      <w:pPr>
        <w:spacing w:after="0" w:line="122" w:lineRule="exact"/>
        <w:rPr>
          <w:sz w:val="20"/>
          <w:szCs w:val="20"/>
          <w:color w:val="auto"/>
        </w:rPr>
      </w:pPr>
    </w:p>
    <w:p>
      <w:pPr>
        <w:ind w:left="840" w:right="839" w:firstLine="295"/>
        <w:spacing w:after="0" w:line="286" w:lineRule="auto"/>
        <w:rPr>
          <w:sz w:val="20"/>
          <w:szCs w:val="20"/>
          <w:color w:val="auto"/>
        </w:rPr>
      </w:pPr>
      <w:r>
        <w:rPr>
          <w:rFonts w:ascii="Arial" w:cs="Arial" w:eastAsia="Arial" w:hAnsi="Arial"/>
          <w:sz w:val="11"/>
          <w:szCs w:val="11"/>
          <w:color w:val="auto"/>
        </w:rPr>
        <w:t xml:space="preserve">11.2 </w:t>
      </w:r>
      <w:r>
        <w:rPr>
          <w:rFonts w:ascii="Arial" w:cs="Arial" w:eastAsia="Arial" w:hAnsi="Arial"/>
          <w:sz w:val="11"/>
          <w:szCs w:val="11"/>
          <w:u w:val="single" w:color="auto"/>
          <w:color w:val="auto"/>
        </w:rPr>
        <w:t>Amendment</w:t>
      </w:r>
      <w:r>
        <w:rPr>
          <w:rFonts w:ascii="Arial" w:cs="Arial" w:eastAsia="Arial" w:hAnsi="Arial"/>
          <w:sz w:val="11"/>
          <w:szCs w:val="11"/>
          <w:color w:val="auto"/>
        </w:rPr>
        <w:t>. This Agreement may be amended with the approval of the respective boards of directors of the Company, Merger Sub and Zordich at any time (whether before or after the adoption and approval of this Agreement by the Company’s stockholders or before or after obtaining the Required Zordich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Zordich.</w:t>
      </w:r>
    </w:p>
    <w:p>
      <w:pPr>
        <w:spacing w:after="0" w:line="185"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2"/>
          <w:szCs w:val="12"/>
          <w:color w:val="auto"/>
        </w:rPr>
        <w:t>11.3</w:t>
      </w:r>
      <w:r>
        <w:rPr>
          <w:sz w:val="20"/>
          <w:szCs w:val="20"/>
          <w:color w:val="auto"/>
        </w:rPr>
        <w:tab/>
      </w:r>
      <w:r>
        <w:rPr>
          <w:rFonts w:ascii="Arial" w:cs="Arial" w:eastAsia="Arial" w:hAnsi="Arial"/>
          <w:sz w:val="10"/>
          <w:szCs w:val="10"/>
          <w:u w:val="single" w:color="auto"/>
          <w:color w:val="auto"/>
        </w:rPr>
        <w:t>Waiver</w:t>
      </w:r>
      <w:r>
        <w:rPr>
          <w:rFonts w:ascii="Arial" w:cs="Arial" w:eastAsia="Arial" w:hAnsi="Arial"/>
          <w:sz w:val="10"/>
          <w:szCs w:val="10"/>
          <w:color w:val="auto"/>
        </w:rPr>
        <w:t>.</w:t>
      </w:r>
    </w:p>
    <w:p>
      <w:pPr>
        <w:spacing w:after="0" w:line="79" w:lineRule="exact"/>
        <w:rPr>
          <w:sz w:val="20"/>
          <w:szCs w:val="20"/>
          <w:color w:val="auto"/>
        </w:rPr>
      </w:pPr>
    </w:p>
    <w:p>
      <w:pPr>
        <w:ind w:left="840" w:right="839" w:firstLine="654"/>
        <w:spacing w:after="0" w:line="257" w:lineRule="auto"/>
        <w:tabs>
          <w:tab w:leader="none" w:pos="175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27" w:lineRule="exact"/>
        <w:rPr>
          <w:rFonts w:ascii="Arial" w:cs="Arial" w:eastAsia="Arial" w:hAnsi="Arial"/>
          <w:sz w:val="12"/>
          <w:szCs w:val="12"/>
          <w:color w:val="auto"/>
        </w:rPr>
      </w:pPr>
    </w:p>
    <w:p>
      <w:pPr>
        <w:ind w:left="840" w:right="839" w:firstLine="654"/>
        <w:spacing w:after="0" w:line="299" w:lineRule="auto"/>
        <w:tabs>
          <w:tab w:leader="none" w:pos="1764" w:val="left"/>
        </w:tabs>
        <w:numPr>
          <w:ilvl w:val="0"/>
          <w:numId w:val="118"/>
        </w:numPr>
        <w:rPr>
          <w:rFonts w:ascii="Arial" w:cs="Arial" w:eastAsia="Arial" w:hAnsi="Arial"/>
          <w:sz w:val="11"/>
          <w:szCs w:val="11"/>
          <w:color w:val="auto"/>
        </w:rPr>
      </w:pPr>
      <w:r>
        <w:rPr>
          <w:rFonts w:ascii="Arial" w:cs="Arial" w:eastAsia="Arial" w:hAnsi="Arial"/>
          <w:sz w:val="11"/>
          <w:szCs w:val="11"/>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05" w:lineRule="exact"/>
        <w:rPr>
          <w:sz w:val="20"/>
          <w:szCs w:val="20"/>
          <w:color w:val="auto"/>
        </w:rPr>
      </w:pPr>
    </w:p>
    <w:p>
      <w:pPr>
        <w:ind w:left="840" w:right="1299" w:firstLine="295"/>
        <w:spacing w:after="0" w:line="277" w:lineRule="auto"/>
        <w:rPr>
          <w:sz w:val="20"/>
          <w:szCs w:val="20"/>
          <w:color w:val="auto"/>
        </w:rPr>
      </w:pPr>
      <w:r>
        <w:rPr>
          <w:rFonts w:ascii="Arial" w:cs="Arial" w:eastAsia="Arial" w:hAnsi="Arial"/>
          <w:sz w:val="12"/>
          <w:szCs w:val="12"/>
          <w:color w:val="auto"/>
        </w:rPr>
        <w:t xml:space="preserve">11.4 </w:t>
      </w:r>
      <w:r>
        <w:rPr>
          <w:rFonts w:ascii="Arial" w:cs="Arial" w:eastAsia="Arial" w:hAnsi="Arial"/>
          <w:sz w:val="12"/>
          <w:szCs w:val="12"/>
          <w:u w:val="single" w:color="auto"/>
          <w:color w:val="auto"/>
        </w:rPr>
        <w:t>Entire Agreement; Counterparts; Exchanges by Facsimile</w:t>
      </w:r>
      <w:r>
        <w:rPr>
          <w:rFonts w:ascii="Arial" w:cs="Arial" w:eastAsia="Arial" w:hAnsi="Arial"/>
          <w:sz w:val="12"/>
          <w:szCs w:val="12"/>
          <w:color w:val="auto"/>
        </w:rPr>
        <w:t>. This Agreement and the other agreements referred to in this Agreement constitute the entire agreement and supersede all</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9019"/>
          </w:cols>
          <w:pgMar w:left="1440" w:top="230" w:right="1440" w:bottom="1440" w:gutter="0" w:footer="0" w:header="0"/>
        </w:sectPr>
      </w:pPr>
    </w:p>
    <w:bookmarkStart w:id="90" w:name="page91"/>
    <w:bookmarkEnd w:id="90"/>
    <w:p>
      <w:pPr>
        <w:ind w:left="840" w:right="819"/>
        <w:spacing w:after="0" w:line="28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in.PDF format shall be sufficient to bind the Parties to the terms and conditions of this Agreement.</w:t>
      </w:r>
    </w:p>
    <w:p>
      <w:pPr>
        <w:spacing w:after="0" w:line="113" w:lineRule="exact"/>
        <w:rPr>
          <w:sz w:val="20"/>
          <w:szCs w:val="20"/>
          <w:color w:val="auto"/>
        </w:rPr>
      </w:pPr>
    </w:p>
    <w:p>
      <w:pPr>
        <w:ind w:left="840" w:right="839" w:firstLine="295"/>
        <w:spacing w:after="0" w:line="280" w:lineRule="auto"/>
        <w:rPr>
          <w:sz w:val="20"/>
          <w:szCs w:val="20"/>
          <w:color w:val="auto"/>
        </w:rPr>
      </w:pPr>
      <w:r>
        <w:rPr>
          <w:rFonts w:ascii="Arial" w:cs="Arial" w:eastAsia="Arial" w:hAnsi="Arial"/>
          <w:sz w:val="11"/>
          <w:szCs w:val="11"/>
          <w:color w:val="auto"/>
        </w:rPr>
        <w:t xml:space="preserve">11.5 </w:t>
      </w:r>
      <w:r>
        <w:rPr>
          <w:rFonts w:ascii="Arial" w:cs="Arial" w:eastAsia="Arial" w:hAnsi="Arial"/>
          <w:sz w:val="11"/>
          <w:szCs w:val="11"/>
          <w:u w:val="single" w:color="auto"/>
          <w:color w:val="auto"/>
        </w:rPr>
        <w:t>Applicable Law; Jurisdiction</w:t>
      </w:r>
      <w:r>
        <w:rPr>
          <w:rFonts w:ascii="Arial" w:cs="Arial" w:eastAsia="Arial" w:hAnsi="Arial"/>
          <w:sz w:val="11"/>
          <w:szCs w:val="11"/>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1"/>
          <w:szCs w:val="11"/>
          <w:u w:val="single" w:color="auto"/>
          <w:color w:val="auto"/>
        </w:rPr>
        <w:t>Section 11.5</w:t>
      </w:r>
      <w:r>
        <w:rPr>
          <w:rFonts w:ascii="Arial" w:cs="Arial" w:eastAsia="Arial" w:hAnsi="Arial"/>
          <w:sz w:val="11"/>
          <w:szCs w:val="11"/>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1"/>
          <w:szCs w:val="11"/>
          <w:u w:val="single" w:color="auto"/>
          <w:color w:val="auto"/>
        </w:rPr>
        <w:t>Section 11.8</w:t>
      </w:r>
      <w:r>
        <w:rPr>
          <w:rFonts w:ascii="Arial" w:cs="Arial" w:eastAsia="Arial" w:hAnsi="Arial"/>
          <w:sz w:val="11"/>
          <w:szCs w:val="11"/>
          <w:color w:val="auto"/>
        </w:rPr>
        <w:t xml:space="preserve"> of this Agreement and (f) irrevocably waives the right to trial by jury.</w:t>
      </w:r>
    </w:p>
    <w:p>
      <w:pPr>
        <w:spacing w:after="0" w:line="116" w:lineRule="exact"/>
        <w:rPr>
          <w:sz w:val="20"/>
          <w:szCs w:val="20"/>
          <w:color w:val="auto"/>
        </w:rPr>
      </w:pPr>
    </w:p>
    <w:p>
      <w:pPr>
        <w:ind w:left="840" w:right="899" w:firstLine="295"/>
        <w:spacing w:after="0" w:line="290" w:lineRule="auto"/>
        <w:rPr>
          <w:sz w:val="20"/>
          <w:szCs w:val="20"/>
          <w:color w:val="auto"/>
        </w:rPr>
      </w:pPr>
      <w:r>
        <w:rPr>
          <w:rFonts w:ascii="Arial" w:cs="Arial" w:eastAsia="Arial" w:hAnsi="Arial"/>
          <w:sz w:val="11"/>
          <w:szCs w:val="11"/>
          <w:color w:val="auto"/>
        </w:rPr>
        <w:t xml:space="preserve">11.6 </w:t>
      </w:r>
      <w:r>
        <w:rPr>
          <w:rFonts w:ascii="Arial" w:cs="Arial" w:eastAsia="Arial" w:hAnsi="Arial"/>
          <w:sz w:val="11"/>
          <w:szCs w:val="11"/>
          <w:u w:val="single" w:color="auto"/>
          <w:color w:val="auto"/>
        </w:rPr>
        <w:t>Assignability</w:t>
      </w:r>
      <w:r>
        <w:rPr>
          <w:rFonts w:ascii="Arial" w:cs="Arial" w:eastAsia="Arial" w:hAnsi="Arial"/>
          <w:sz w:val="11"/>
          <w:szCs w:val="11"/>
          <w:color w:val="auto"/>
        </w:rPr>
        <w:t>.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11" w:lineRule="exact"/>
        <w:rPr>
          <w:sz w:val="20"/>
          <w:szCs w:val="20"/>
          <w:color w:val="auto"/>
        </w:rPr>
      </w:pPr>
    </w:p>
    <w:p>
      <w:pPr>
        <w:ind w:left="840" w:right="879" w:firstLine="295"/>
        <w:spacing w:after="0" w:line="282" w:lineRule="auto"/>
        <w:rPr>
          <w:sz w:val="20"/>
          <w:szCs w:val="20"/>
          <w:color w:val="auto"/>
        </w:rPr>
      </w:pPr>
      <w:r>
        <w:rPr>
          <w:rFonts w:ascii="Arial" w:cs="Arial" w:eastAsia="Arial" w:hAnsi="Arial"/>
          <w:sz w:val="11"/>
          <w:szCs w:val="11"/>
          <w:color w:val="auto"/>
        </w:rPr>
        <w:t xml:space="preserve">11.7 </w:t>
      </w:r>
      <w:r>
        <w:rPr>
          <w:rFonts w:ascii="Arial" w:cs="Arial" w:eastAsia="Arial" w:hAnsi="Arial"/>
          <w:sz w:val="11"/>
          <w:szCs w:val="11"/>
          <w:u w:val="single" w:color="auto"/>
          <w:color w:val="auto"/>
        </w:rPr>
        <w:t>Notices</w:t>
      </w:r>
      <w:r>
        <w:rPr>
          <w:rFonts w:ascii="Arial" w:cs="Arial" w:eastAsia="Arial" w:hAnsi="Arial"/>
          <w:sz w:val="11"/>
          <w:szCs w:val="11"/>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w:t>
      </w:r>
    </w:p>
    <w:p>
      <w:pPr>
        <w:ind w:left="840" w:right="859" w:hanging="9"/>
        <w:spacing w:after="0" w:line="256" w:lineRule="auto"/>
        <w:tabs>
          <w:tab w:leader="none" w:pos="101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if to Zordich or Merger Sub:</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Zafgen, Inc.</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 Center Plaza, Suite 610</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Boston, Massachusetts 02108</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Jeffrey Hatfield, Chief Executive Officer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[Redacted]</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with a copy to (which shall not constitute notice):</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Goodwin Procter LLP</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100 Northern Avenue Boston, Massachusetts 02210 Attention: Mitchell S. Bloom, Danielle M.</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Lauzon, Andrew H. Goodman</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mbloom@goodwinlaw.com, dlauzon@goodwinlaw.com, agoodman@goodwinlaw.com</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9019"/>
          </w:cols>
          <w:pgMar w:left="1440" w:top="230" w:right="1440" w:bottom="1440" w:gutter="0" w:footer="0" w:header="0"/>
        </w:sectPr>
      </w:pPr>
    </w:p>
    <w:bookmarkStart w:id="91" w:name="page92"/>
    <w:bookmarkEnd w:id="91"/>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if to the Company or Holdings:</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150 Monument Rd,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Bala Cynwyd, PA 19004</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Dr. Carole Ben-Maimon, President and Chief Executive Officer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[Redacted]</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with a copy to (which shall not constitute notice):</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McCarter &amp; English, LLP</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1600 Market Street, Suite 3900</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Philadelphia, PA 19103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Philip D. Amoa and Peter Campitiello</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pamoa@mccarter.com and pcampitiello@mccarter.com</w:t>
      </w:r>
    </w:p>
    <w:p>
      <w:pPr>
        <w:spacing w:after="0" w:line="142" w:lineRule="exact"/>
        <w:rPr>
          <w:sz w:val="20"/>
          <w:szCs w:val="20"/>
          <w:color w:val="auto"/>
        </w:rPr>
      </w:pPr>
    </w:p>
    <w:p>
      <w:pPr>
        <w:ind w:left="840" w:right="1019" w:firstLine="295"/>
        <w:spacing w:after="0" w:line="264" w:lineRule="auto"/>
        <w:rPr>
          <w:sz w:val="20"/>
          <w:szCs w:val="20"/>
          <w:color w:val="auto"/>
        </w:rPr>
      </w:pPr>
      <w:r>
        <w:rPr>
          <w:rFonts w:ascii="Arial" w:cs="Arial" w:eastAsia="Arial" w:hAnsi="Arial"/>
          <w:sz w:val="12"/>
          <w:szCs w:val="12"/>
          <w:color w:val="auto"/>
        </w:rPr>
        <w:t xml:space="preserve">11.8 </w:t>
      </w:r>
      <w:r>
        <w:rPr>
          <w:rFonts w:ascii="Arial" w:cs="Arial" w:eastAsia="Arial" w:hAnsi="Arial"/>
          <w:sz w:val="12"/>
          <w:szCs w:val="12"/>
          <w:u w:val="single" w:color="auto"/>
          <w:color w:val="auto"/>
        </w:rPr>
        <w:t>Cooperation</w:t>
      </w:r>
      <w:r>
        <w:rPr>
          <w:rFonts w:ascii="Arial" w:cs="Arial" w:eastAsia="Arial" w:hAnsi="Arial"/>
          <w:sz w:val="12"/>
          <w:szCs w:val="12"/>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22" w:lineRule="exact"/>
        <w:rPr>
          <w:sz w:val="20"/>
          <w:szCs w:val="20"/>
          <w:color w:val="auto"/>
        </w:rPr>
      </w:pPr>
    </w:p>
    <w:p>
      <w:pPr>
        <w:ind w:left="840" w:right="839" w:firstLine="295"/>
        <w:spacing w:after="0" w:line="254" w:lineRule="auto"/>
        <w:rPr>
          <w:sz w:val="20"/>
          <w:szCs w:val="20"/>
          <w:color w:val="auto"/>
        </w:rPr>
      </w:pPr>
      <w:r>
        <w:rPr>
          <w:rFonts w:ascii="Arial" w:cs="Arial" w:eastAsia="Arial" w:hAnsi="Arial"/>
          <w:sz w:val="12"/>
          <w:szCs w:val="12"/>
          <w:color w:val="auto"/>
        </w:rPr>
        <w:t xml:space="preserve">11.9 </w:t>
      </w:r>
      <w:r>
        <w:rPr>
          <w:rFonts w:ascii="Arial" w:cs="Arial" w:eastAsia="Arial" w:hAnsi="Arial"/>
          <w:sz w:val="12"/>
          <w:szCs w:val="12"/>
          <w:u w:val="single" w:color="auto"/>
          <w:color w:val="auto"/>
        </w:rPr>
        <w:t>Severability</w:t>
      </w:r>
      <w:r>
        <w:rPr>
          <w:rFonts w:ascii="Arial" w:cs="Arial" w:eastAsia="Arial" w:hAnsi="Arial"/>
          <w:sz w:val="12"/>
          <w:szCs w:val="12"/>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0" w:lineRule="exact"/>
        <w:rPr>
          <w:sz w:val="20"/>
          <w:szCs w:val="20"/>
          <w:color w:val="auto"/>
        </w:rPr>
      </w:pPr>
    </w:p>
    <w:p>
      <w:pPr>
        <w:ind w:left="840" w:right="819" w:firstLine="295"/>
        <w:spacing w:after="0" w:line="282" w:lineRule="auto"/>
        <w:rPr>
          <w:sz w:val="20"/>
          <w:szCs w:val="20"/>
          <w:color w:val="auto"/>
        </w:rPr>
      </w:pPr>
      <w:r>
        <w:rPr>
          <w:rFonts w:ascii="Arial" w:cs="Arial" w:eastAsia="Arial" w:hAnsi="Arial"/>
          <w:sz w:val="11"/>
          <w:szCs w:val="11"/>
          <w:color w:val="auto"/>
        </w:rPr>
        <w:t xml:space="preserve">11.10 </w:t>
      </w:r>
      <w:r>
        <w:rPr>
          <w:rFonts w:ascii="Arial" w:cs="Arial" w:eastAsia="Arial" w:hAnsi="Arial"/>
          <w:sz w:val="11"/>
          <w:szCs w:val="11"/>
          <w:u w:val="single" w:color="auto"/>
          <w:color w:val="auto"/>
        </w:rPr>
        <w:t>Other Remedies; Specific Performance</w:t>
      </w:r>
      <w:r>
        <w:rPr>
          <w:rFonts w:ascii="Arial" w:cs="Arial" w:eastAsia="Arial" w:hAnsi="Arial"/>
          <w:sz w:val="11"/>
          <w:szCs w:val="11"/>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15" w:lineRule="exact"/>
        <w:rPr>
          <w:sz w:val="20"/>
          <w:szCs w:val="20"/>
          <w:color w:val="auto"/>
        </w:rPr>
      </w:pPr>
    </w:p>
    <w:p>
      <w:pPr>
        <w:ind w:left="840" w:right="819" w:firstLine="295"/>
        <w:spacing w:after="0" w:line="257" w:lineRule="auto"/>
        <w:rPr>
          <w:sz w:val="20"/>
          <w:szCs w:val="20"/>
          <w:color w:val="auto"/>
        </w:rPr>
      </w:pPr>
      <w:r>
        <w:rPr>
          <w:rFonts w:ascii="Arial" w:cs="Arial" w:eastAsia="Arial" w:hAnsi="Arial"/>
          <w:sz w:val="12"/>
          <w:szCs w:val="12"/>
          <w:color w:val="auto"/>
        </w:rPr>
        <w:t xml:space="preserve">11.11 </w:t>
      </w: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xml:space="preserve">. Nothing in this Agreement, express or implied, is intended to or shall confer upon any Person (other than the Parties and the D&amp;O Indemnified Parties to the extent of their respective rights pursuant to </w:t>
      </w:r>
      <w:r>
        <w:rPr>
          <w:rFonts w:ascii="Arial" w:cs="Arial" w:eastAsia="Arial" w:hAnsi="Arial"/>
          <w:sz w:val="12"/>
          <w:szCs w:val="12"/>
          <w:u w:val="single" w:color="auto"/>
          <w:color w:val="auto"/>
        </w:rPr>
        <w:t>Section 6.9</w:t>
      </w:r>
      <w:r>
        <w:rPr>
          <w:rFonts w:ascii="Arial" w:cs="Arial" w:eastAsia="Arial" w:hAnsi="Arial"/>
          <w:sz w:val="12"/>
          <w:szCs w:val="12"/>
          <w:color w:val="auto"/>
        </w:rPr>
        <w:t>) any right, benefit or remedy of any nature whatsoever under or by reason of this Agreement. Notwithstanding the foregoing, Holdings shall be a third party beneficiary of all covenants made by Zordich in this Agreement that by their terms survive, or require action following, the Closing, and, as such, shall be entitled to enforce each such covenant to the same extent as if a party hereto.</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9019"/>
          </w:cols>
          <w:pgMar w:left="1440" w:top="230" w:right="1440" w:bottom="1440" w:gutter="0" w:footer="0" w:header="0"/>
        </w:sectPr>
      </w:pPr>
    </w:p>
    <w:bookmarkStart w:id="92" w:name="page93"/>
    <w:bookmarkEnd w:id="92"/>
    <w:p>
      <w:pPr>
        <w:ind w:left="840" w:right="899" w:firstLine="295"/>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11.12 </w:t>
      </w:r>
      <w:r>
        <w:rPr>
          <w:rFonts w:ascii="Arial" w:cs="Arial" w:eastAsia="Arial" w:hAnsi="Arial"/>
          <w:sz w:val="12"/>
          <w:szCs w:val="12"/>
          <w:u w:val="single" w:color="auto"/>
          <w:color w:val="auto"/>
        </w:rPr>
        <w:t>Holdings’ Guarantee</w:t>
      </w:r>
      <w:r>
        <w:rPr>
          <w:rFonts w:ascii="Arial" w:cs="Arial" w:eastAsia="Arial" w:hAnsi="Arial"/>
          <w:sz w:val="12"/>
          <w:szCs w:val="12"/>
          <w:color w:val="auto"/>
        </w:rPr>
        <w:t>. Holdings shall cause the Company to comply in all respects with each of the covenants made by the Company, and Zordich shall have the right, exercisable in its sole discretion, to pursue any and all available remedies it may have arising out of a breach of any such covenant directly against any or both of Holdings and the Company in the first instance.</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Remainder of page intentionally left blank</w:t>
      </w:r>
      <w:r>
        <w:rPr>
          <w:rFonts w:ascii="Arial" w:cs="Arial" w:eastAsia="Arial" w:hAnsi="Arial"/>
          <w:sz w:val="12"/>
          <w:szCs w:val="12"/>
          <w:color w:val="auto"/>
        </w:rPr>
        <w:t>]</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9019"/>
          </w:cols>
          <w:pgMar w:left="1440" w:top="230" w:right="1440" w:bottom="1440" w:gutter="0" w:footer="0" w:header="0"/>
        </w:sectPr>
      </w:pPr>
    </w:p>
    <w:bookmarkStart w:id="93" w:name="page94"/>
    <w:bookmarkEnd w:id="93"/>
    <w:p>
      <w:pPr>
        <w:ind w:left="11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w:t>
      </w:r>
      <w:r>
        <w:rPr>
          <w:rFonts w:ascii="Arial" w:cs="Arial" w:eastAsia="Arial" w:hAnsi="Arial"/>
          <w:sz w:val="10"/>
          <w:szCs w:val="10"/>
          <w:b w:val="1"/>
          <w:bCs w:val="1"/>
          <w:color w:val="auto"/>
        </w:rPr>
        <w:t>N</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have caused this Agreement to be executed as of the date first above written.</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Z</w:t>
      </w:r>
      <w:r>
        <w:rPr>
          <w:rFonts w:ascii="Arial" w:cs="Arial" w:eastAsia="Arial" w:hAnsi="Arial"/>
          <w:sz w:val="10"/>
          <w:szCs w:val="10"/>
          <w:b w:val="1"/>
          <w:bCs w:val="1"/>
          <w:color w:val="auto"/>
        </w:rPr>
        <w:t>AFGEN</w:t>
      </w:r>
      <w:r>
        <w:rPr>
          <w:rFonts w:ascii="Arial" w:cs="Arial" w:eastAsia="Arial" w:hAnsi="Arial"/>
          <w:sz w:val="12"/>
          <w:szCs w:val="12"/>
          <w:b w:val="1"/>
          <w:bCs w:val="1"/>
          <w:color w:val="auto"/>
        </w:rPr>
        <w:t>, I</w:t>
      </w:r>
      <w:r>
        <w:rPr>
          <w:rFonts w:ascii="Arial" w:cs="Arial" w:eastAsia="Arial" w:hAnsi="Arial"/>
          <w:sz w:val="10"/>
          <w:szCs w:val="10"/>
          <w:b w:val="1"/>
          <w:bCs w:val="1"/>
          <w:color w:val="auto"/>
        </w:rPr>
        <w:t>NC</w:t>
      </w:r>
      <w:r>
        <w:rPr>
          <w:rFonts w:ascii="Arial" w:cs="Arial" w:eastAsia="Arial" w:hAnsi="Arial"/>
          <w:sz w:val="12"/>
          <w:szCs w:val="12"/>
          <w:b w:val="1"/>
          <w:bCs w:val="1"/>
          <w:color w:val="auto"/>
        </w:rPr>
        <w:t>.</w:t>
      </w:r>
    </w:p>
    <w:p>
      <w:pPr>
        <w:spacing w:after="0" w:line="15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9525</wp:posOffset>
            </wp:positionV>
            <wp:extent cx="16224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Name: Jeffrey S. Hatfield</w:t>
      </w:r>
    </w:p>
    <w:p>
      <w:pPr>
        <w:spacing w:after="0" w:line="1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2"/>
          <w:szCs w:val="12"/>
          <w:color w:val="auto"/>
        </w:rPr>
        <w:t>Title:</w:t>
        <w:tab/>
        <w:t>Chief Executive Officer</w:t>
      </w:r>
    </w:p>
    <w:p>
      <w:pPr>
        <w:spacing w:after="0" w:line="138"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Z</w:t>
      </w:r>
      <w:r>
        <w:rPr>
          <w:rFonts w:ascii="Arial" w:cs="Arial" w:eastAsia="Arial" w:hAnsi="Arial"/>
          <w:sz w:val="10"/>
          <w:szCs w:val="10"/>
          <w:b w:val="1"/>
          <w:bCs w:val="1"/>
          <w:color w:val="auto"/>
        </w:rPr>
        <w:t>ORDICH</w:t>
      </w:r>
      <w:r>
        <w:rPr>
          <w:rFonts w:ascii="Arial" w:cs="Arial" w:eastAsia="Arial" w:hAnsi="Arial"/>
          <w:sz w:val="12"/>
          <w:szCs w:val="12"/>
          <w:b w:val="1"/>
          <w:bCs w:val="1"/>
          <w:color w:val="auto"/>
        </w:rPr>
        <w:t xml:space="preserve"> M</w:t>
      </w:r>
      <w:r>
        <w:rPr>
          <w:rFonts w:ascii="Arial" w:cs="Arial" w:eastAsia="Arial" w:hAnsi="Arial"/>
          <w:sz w:val="10"/>
          <w:szCs w:val="10"/>
          <w:b w:val="1"/>
          <w:bCs w:val="1"/>
          <w:color w:val="auto"/>
        </w:rPr>
        <w:t>ERGER</w:t>
      </w:r>
      <w:r>
        <w:rPr>
          <w:rFonts w:ascii="Arial" w:cs="Arial" w:eastAsia="Arial" w:hAnsi="Arial"/>
          <w:sz w:val="12"/>
          <w:szCs w:val="12"/>
          <w:b w:val="1"/>
          <w:bCs w:val="1"/>
          <w:color w:val="auto"/>
        </w:rPr>
        <w:t xml:space="preserve"> S</w:t>
      </w:r>
      <w:r>
        <w:rPr>
          <w:rFonts w:ascii="Arial" w:cs="Arial" w:eastAsia="Arial" w:hAnsi="Arial"/>
          <w:sz w:val="10"/>
          <w:szCs w:val="10"/>
          <w:b w:val="1"/>
          <w:bCs w:val="1"/>
          <w:color w:val="auto"/>
        </w:rPr>
        <w:t>UB</w:t>
      </w:r>
      <w:r>
        <w:rPr>
          <w:rFonts w:ascii="Arial" w:cs="Arial" w:eastAsia="Arial" w:hAnsi="Arial"/>
          <w:sz w:val="12"/>
          <w:szCs w:val="12"/>
          <w:b w:val="1"/>
          <w:bCs w:val="1"/>
          <w:color w:val="auto"/>
        </w:rPr>
        <w:t>, I</w:t>
      </w:r>
      <w:r>
        <w:rPr>
          <w:rFonts w:ascii="Arial" w:cs="Arial" w:eastAsia="Arial" w:hAnsi="Arial"/>
          <w:sz w:val="10"/>
          <w:szCs w:val="10"/>
          <w:b w:val="1"/>
          <w:bCs w:val="1"/>
          <w:color w:val="auto"/>
        </w:rPr>
        <w:t>NC</w:t>
      </w:r>
      <w:r>
        <w:rPr>
          <w:rFonts w:ascii="Arial" w:cs="Arial" w:eastAsia="Arial" w:hAnsi="Arial"/>
          <w:sz w:val="12"/>
          <w:szCs w:val="12"/>
          <w:b w:val="1"/>
          <w:bCs w:val="1"/>
          <w:color w:val="auto"/>
        </w:rPr>
        <w:t>.</w:t>
      </w:r>
    </w:p>
    <w:p>
      <w:pPr>
        <w:spacing w:after="0" w:line="15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9525</wp:posOffset>
            </wp:positionV>
            <wp:extent cx="16224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Name: Patricia L. Allen</w:t>
      </w:r>
    </w:p>
    <w:p>
      <w:pPr>
        <w:spacing w:after="0" w:line="1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1"/>
          <w:szCs w:val="11"/>
          <w:color w:val="auto"/>
        </w:rPr>
        <w:t>Title:</w:t>
        <w:tab/>
        <w:t>Vice President, Secretary and Treasurer</w:t>
      </w:r>
    </w:p>
    <w:p>
      <w:pPr>
        <w:spacing w:after="0" w:line="150"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10"/>
          <w:szCs w:val="10"/>
          <w:b w:val="1"/>
          <w:bCs w:val="1"/>
          <w:color w:val="auto"/>
        </w:rPr>
        <w:t>HONDRIAL</w:t>
      </w:r>
      <w:r>
        <w:rPr>
          <w:rFonts w:ascii="Arial" w:cs="Arial" w:eastAsia="Arial" w:hAnsi="Arial"/>
          <w:sz w:val="12"/>
          <w:szCs w:val="12"/>
          <w:b w:val="1"/>
          <w:bCs w:val="1"/>
          <w:color w:val="auto"/>
        </w:rPr>
        <w:t xml:space="preserve"> T</w:t>
      </w:r>
      <w:r>
        <w:rPr>
          <w:rFonts w:ascii="Arial" w:cs="Arial" w:eastAsia="Arial" w:hAnsi="Arial"/>
          <w:sz w:val="10"/>
          <w:szCs w:val="10"/>
          <w:b w:val="1"/>
          <w:bCs w:val="1"/>
          <w:color w:val="auto"/>
        </w:rPr>
        <w:t>HERAPEUTICS</w:t>
      </w:r>
      <w:r>
        <w:rPr>
          <w:rFonts w:ascii="Arial" w:cs="Arial" w:eastAsia="Arial" w:hAnsi="Arial"/>
          <w:sz w:val="12"/>
          <w:szCs w:val="12"/>
          <w:b w:val="1"/>
          <w:bCs w:val="1"/>
          <w:color w:val="auto"/>
        </w:rPr>
        <w:t>, I</w:t>
      </w:r>
      <w:r>
        <w:rPr>
          <w:rFonts w:ascii="Arial" w:cs="Arial" w:eastAsia="Arial" w:hAnsi="Arial"/>
          <w:sz w:val="10"/>
          <w:szCs w:val="10"/>
          <w:b w:val="1"/>
          <w:bCs w:val="1"/>
          <w:color w:val="auto"/>
        </w:rPr>
        <w:t>NC</w:t>
      </w:r>
      <w:r>
        <w:rPr>
          <w:rFonts w:ascii="Arial" w:cs="Arial" w:eastAsia="Arial" w:hAnsi="Arial"/>
          <w:sz w:val="12"/>
          <w:szCs w:val="12"/>
          <w:b w:val="1"/>
          <w:bCs w:val="1"/>
          <w:color w:val="auto"/>
        </w:rPr>
        <w:t>.</w:t>
      </w:r>
    </w:p>
    <w:p>
      <w:pPr>
        <w:spacing w:after="0" w:line="15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9525</wp:posOffset>
            </wp:positionV>
            <wp:extent cx="16224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Name: Carole S. Ben-Maimon, MD</w:t>
      </w:r>
    </w:p>
    <w:p>
      <w:pPr>
        <w:spacing w:after="0" w:line="1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1"/>
          <w:szCs w:val="11"/>
          <w:color w:val="auto"/>
        </w:rPr>
        <w:t>Title:</w:t>
        <w:tab/>
        <w:t>President and Chief Executive Officer</w:t>
      </w:r>
    </w:p>
    <w:p>
      <w:pPr>
        <w:spacing w:after="0" w:line="150"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10"/>
          <w:szCs w:val="10"/>
          <w:b w:val="1"/>
          <w:bCs w:val="1"/>
          <w:color w:val="auto"/>
        </w:rPr>
        <w:t>HONDRIAL</w:t>
      </w:r>
      <w:r>
        <w:rPr>
          <w:rFonts w:ascii="Arial" w:cs="Arial" w:eastAsia="Arial" w:hAnsi="Arial"/>
          <w:sz w:val="12"/>
          <w:szCs w:val="12"/>
          <w:b w:val="1"/>
          <w:bCs w:val="1"/>
          <w:color w:val="auto"/>
        </w:rPr>
        <w:t xml:space="preserve"> T</w:t>
      </w:r>
      <w:r>
        <w:rPr>
          <w:rFonts w:ascii="Arial" w:cs="Arial" w:eastAsia="Arial" w:hAnsi="Arial"/>
          <w:sz w:val="10"/>
          <w:szCs w:val="10"/>
          <w:b w:val="1"/>
          <w:bCs w:val="1"/>
          <w:color w:val="auto"/>
        </w:rPr>
        <w:t>HERAPEUTICS</w:t>
      </w:r>
      <w:r>
        <w:rPr>
          <w:rFonts w:ascii="Arial" w:cs="Arial" w:eastAsia="Arial" w:hAnsi="Arial"/>
          <w:sz w:val="12"/>
          <w:szCs w:val="12"/>
          <w:b w:val="1"/>
          <w:bCs w:val="1"/>
          <w:color w:val="auto"/>
        </w:rPr>
        <w:t xml:space="preserve"> H</w:t>
      </w:r>
      <w:r>
        <w:rPr>
          <w:rFonts w:ascii="Arial" w:cs="Arial" w:eastAsia="Arial" w:hAnsi="Arial"/>
          <w:sz w:val="10"/>
          <w:szCs w:val="10"/>
          <w:b w:val="1"/>
          <w:bCs w:val="1"/>
          <w:color w:val="auto"/>
        </w:rPr>
        <w:t>OLDINGS</w:t>
      </w:r>
      <w:r>
        <w:rPr>
          <w:rFonts w:ascii="Arial" w:cs="Arial" w:eastAsia="Arial" w:hAnsi="Arial"/>
          <w:sz w:val="12"/>
          <w:szCs w:val="12"/>
          <w:b w:val="1"/>
          <w:bCs w:val="1"/>
          <w:color w:val="auto"/>
        </w:rPr>
        <w:t>, LLC</w:t>
      </w:r>
    </w:p>
    <w:p>
      <w:pPr>
        <w:spacing w:after="0" w:line="15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9525</wp:posOffset>
            </wp:positionV>
            <wp:extent cx="16224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2425" cy="5715"/>
                    </a:xfrm>
                    <a:prstGeom prst="rect">
                      <a:avLst/>
                    </a:prstGeom>
                    <a:noFill/>
                  </pic:spPr>
                </pic:pic>
              </a:graphicData>
            </a:graphic>
          </wp:anchor>
        </w:drawing>
      </w:r>
    </w:p>
    <w:p>
      <w:pPr>
        <w:spacing w:after="0" w:line="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Name: Carole S. Ben-Maimon, MD</w:t>
      </w:r>
    </w:p>
    <w:p>
      <w:pPr>
        <w:spacing w:after="0" w:line="15" w:lineRule="exact"/>
        <w:rPr>
          <w:sz w:val="20"/>
          <w:szCs w:val="20"/>
          <w:color w:val="auto"/>
        </w:rPr>
      </w:pPr>
    </w:p>
    <w:p>
      <w:pPr>
        <w:ind w:left="5260"/>
        <w:spacing w:after="0"/>
        <w:tabs>
          <w:tab w:leader="none" w:pos="5620" w:val="left"/>
        </w:tabs>
        <w:rPr>
          <w:sz w:val="20"/>
          <w:szCs w:val="20"/>
          <w:color w:val="auto"/>
        </w:rPr>
      </w:pPr>
      <w:r>
        <w:rPr>
          <w:rFonts w:ascii="Arial" w:cs="Arial" w:eastAsia="Arial" w:hAnsi="Arial"/>
          <w:sz w:val="11"/>
          <w:szCs w:val="11"/>
          <w:color w:val="auto"/>
        </w:rPr>
        <w:t>Title:</w:t>
        <w:tab/>
        <w:t>President and Chief Executive Officer</w:t>
      </w:r>
    </w:p>
    <w:p>
      <w:pPr>
        <w:sectPr>
          <w:pgSz w:w="11900" w:h="16838" w:orient="portrait"/>
          <w:cols w:equalWidth="0" w:num="1">
            <w:col w:w="9019"/>
          </w:cols>
          <w:pgMar w:left="1440" w:top="226"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EXHIBIT 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ZORDICH STOCKHOLDER SUPPORT AGREEMENT</w:t>
      </w:r>
    </w:p>
    <w:p>
      <w:pPr>
        <w:sectPr>
          <w:pgSz w:w="11900" w:h="16838" w:orient="portrait"/>
          <w:cols w:equalWidth="0" w:num="1">
            <w:col w:w="9019"/>
          </w:cols>
          <w:pgMar w:left="1440" w:top="226"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ZAFGEN,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VOTING AGREEMENT</w:t>
      </w:r>
    </w:p>
    <w:p>
      <w:pPr>
        <w:spacing w:after="0" w:line="151" w:lineRule="exact"/>
        <w:rPr>
          <w:sz w:val="20"/>
          <w:szCs w:val="20"/>
          <w:color w:val="auto"/>
        </w:rPr>
      </w:pPr>
    </w:p>
    <w:p>
      <w:pPr>
        <w:jc w:val="both"/>
        <w:ind w:left="840" w:right="999" w:firstLine="295"/>
        <w:spacing w:after="0" w:line="267" w:lineRule="auto"/>
        <w:rPr>
          <w:sz w:val="20"/>
          <w:szCs w:val="20"/>
          <w:color w:val="auto"/>
        </w:rPr>
      </w:pPr>
      <w:r>
        <w:rPr>
          <w:rFonts w:ascii="Arial" w:cs="Arial" w:eastAsia="Arial" w:hAnsi="Arial"/>
          <w:sz w:val="12"/>
          <w:szCs w:val="12"/>
          <w:b w:val="1"/>
          <w:bCs w:val="1"/>
          <w:color w:val="auto"/>
        </w:rPr>
        <w:t xml:space="preserve">THIS VOTING AGREEMENT </w:t>
      </w: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December 17, 2019, is made by and among Zafgen, Inc., a Delaware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u w:val="single" w:color="auto"/>
          <w:color w:val="auto"/>
        </w:rPr>
        <w:t>Zordich</w:t>
      </w:r>
      <w:r>
        <w:rPr>
          <w:rFonts w:ascii="Arial" w:cs="Arial" w:eastAsia="Arial" w:hAnsi="Arial"/>
          <w:sz w:val="12"/>
          <w:szCs w:val="12"/>
          <w:color w:val="auto"/>
        </w:rPr>
        <w:t>”), Chondrial Therapeutics, Inc.,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and the undersigned holders (each a “</w:t>
      </w:r>
      <w:r>
        <w:rPr>
          <w:rFonts w:ascii="Arial" w:cs="Arial" w:eastAsia="Arial" w:hAnsi="Arial"/>
          <w:sz w:val="12"/>
          <w:szCs w:val="12"/>
          <w:u w:val="single" w:color="auto"/>
          <w:color w:val="auto"/>
        </w:rPr>
        <w:t>Stockholder</w:t>
      </w:r>
      <w:r>
        <w:rPr>
          <w:rFonts w:ascii="Arial" w:cs="Arial" w:eastAsia="Arial" w:hAnsi="Arial"/>
          <w:sz w:val="12"/>
          <w:szCs w:val="12"/>
          <w:color w:val="auto"/>
        </w:rPr>
        <w:t>”) of shares of capital stock (the “</w:t>
      </w:r>
      <w:r>
        <w:rPr>
          <w:rFonts w:ascii="Arial" w:cs="Arial" w:eastAsia="Arial" w:hAnsi="Arial"/>
          <w:sz w:val="12"/>
          <w:szCs w:val="12"/>
          <w:u w:val="single" w:color="auto"/>
          <w:color w:val="auto"/>
        </w:rPr>
        <w:t>Shares</w:t>
      </w:r>
      <w:r>
        <w:rPr>
          <w:rFonts w:ascii="Arial" w:cs="Arial" w:eastAsia="Arial" w:hAnsi="Arial"/>
          <w:sz w:val="12"/>
          <w:szCs w:val="12"/>
          <w:color w:val="auto"/>
        </w:rPr>
        <w:t>”) of Zordich.</w:t>
      </w:r>
    </w:p>
    <w:p>
      <w:pPr>
        <w:spacing w:after="0" w:line="117" w:lineRule="exact"/>
        <w:rPr>
          <w:sz w:val="20"/>
          <w:szCs w:val="20"/>
          <w:color w:val="auto"/>
        </w:rPr>
      </w:pPr>
    </w:p>
    <w:p>
      <w:pPr>
        <w:jc w:val="both"/>
        <w:ind w:left="840" w:right="1099" w:firstLine="295"/>
        <w:spacing w:after="0" w:line="26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Zordich, Zordich Merger Sub, Inc., a Delaware corporation and a wholly owned subsidiary of Zordich (“</w:t>
      </w:r>
      <w:r>
        <w:rPr>
          <w:rFonts w:ascii="Arial" w:cs="Arial" w:eastAsia="Arial" w:hAnsi="Arial"/>
          <w:sz w:val="12"/>
          <w:szCs w:val="12"/>
          <w:u w:val="single" w:color="auto"/>
          <w:color w:val="auto"/>
        </w:rPr>
        <w:t>Merger Sub</w:t>
      </w:r>
      <w:r>
        <w:rPr>
          <w:rFonts w:ascii="Arial" w:cs="Arial" w:eastAsia="Arial" w:hAnsi="Arial"/>
          <w:sz w:val="12"/>
          <w:szCs w:val="12"/>
          <w:color w:val="auto"/>
        </w:rPr>
        <w:t>”),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have entered into an Agreement and Plan of Merger, dated of even date herewith (the “</w:t>
      </w:r>
      <w:r>
        <w:rPr>
          <w:rFonts w:ascii="Arial" w:cs="Arial" w:eastAsia="Arial" w:hAnsi="Arial"/>
          <w:sz w:val="12"/>
          <w:szCs w:val="12"/>
          <w:u w:val="single" w:color="auto"/>
          <w:color w:val="auto"/>
        </w:rPr>
        <w:t>Merger Agreement</w:t>
      </w:r>
      <w:r>
        <w:rPr>
          <w:rFonts w:ascii="Arial" w:cs="Arial" w:eastAsia="Arial" w:hAnsi="Arial"/>
          <w:sz w:val="12"/>
          <w:szCs w:val="12"/>
          <w:color w:val="auto"/>
        </w:rPr>
        <w:t>”), providing for the merger of Merger Sub with and into the Company (the “</w:t>
      </w:r>
      <w:r>
        <w:rPr>
          <w:rFonts w:ascii="Arial" w:cs="Arial" w:eastAsia="Arial" w:hAnsi="Arial"/>
          <w:sz w:val="12"/>
          <w:szCs w:val="12"/>
          <w:u w:val="single" w:color="auto"/>
          <w:color w:val="auto"/>
        </w:rPr>
        <w:t>Merger</w:t>
      </w:r>
      <w:r>
        <w:rPr>
          <w:rFonts w:ascii="Arial" w:cs="Arial" w:eastAsia="Arial" w:hAnsi="Arial"/>
          <w:sz w:val="12"/>
          <w:szCs w:val="12"/>
          <w:color w:val="auto"/>
        </w:rPr>
        <w:t>”);</w:t>
      </w:r>
    </w:p>
    <w:p>
      <w:pPr>
        <w:spacing w:after="0" w:line="117" w:lineRule="exact"/>
        <w:rPr>
          <w:sz w:val="20"/>
          <w:szCs w:val="20"/>
          <w:color w:val="auto"/>
        </w:rPr>
      </w:pPr>
    </w:p>
    <w:p>
      <w:pPr>
        <w:ind w:left="840" w:right="859" w:firstLine="295"/>
        <w:spacing w:after="0" w:line="332"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Stockholder beneficially owns and has sole or shared voting power with respect to the number of Shares, and holds Zordich Options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and/or Zordich RSUs to acquire the number of Shares indicated opposite Stockholder’s name on </w:t>
      </w:r>
      <w:r>
        <w:rPr>
          <w:rFonts w:ascii="Arial" w:cs="Arial" w:eastAsia="Arial" w:hAnsi="Arial"/>
          <w:sz w:val="11"/>
          <w:szCs w:val="11"/>
          <w:u w:val="single" w:color="auto"/>
          <w:color w:val="auto"/>
        </w:rPr>
        <w:t>Schedule 1</w:t>
      </w:r>
      <w:r>
        <w:rPr>
          <w:rFonts w:ascii="Arial" w:cs="Arial" w:eastAsia="Arial" w:hAnsi="Arial"/>
          <w:sz w:val="11"/>
          <w:szCs w:val="11"/>
          <w:color w:val="auto"/>
        </w:rPr>
        <w:t xml:space="preserve"> attached hereto;</w:t>
      </w:r>
    </w:p>
    <w:p>
      <w:pPr>
        <w:spacing w:after="0" w:line="83" w:lineRule="exact"/>
        <w:rPr>
          <w:sz w:val="20"/>
          <w:szCs w:val="20"/>
          <w:color w:val="auto"/>
        </w:rPr>
      </w:pPr>
    </w:p>
    <w:p>
      <w:pPr>
        <w:jc w:val="both"/>
        <w:ind w:left="840" w:right="919" w:firstLine="295"/>
        <w:spacing w:after="0" w:line="26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as an inducement and a condition to the willingness of Zordich, Merger Sub and the Company to enter into the Merger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and in consideration of the substantial expenses incurred and to be incurred by them in connection therewith, Stockholder has agreed to enter into and perform this Agreement; and</w:t>
      </w:r>
    </w:p>
    <w:p>
      <w:pPr>
        <w:spacing w:after="0" w:line="117" w:lineRule="exact"/>
        <w:rPr>
          <w:sz w:val="20"/>
          <w:szCs w:val="20"/>
          <w:color w:val="auto"/>
        </w:rPr>
      </w:pPr>
    </w:p>
    <w:p>
      <w:pPr>
        <w:ind w:left="840" w:right="1199" w:firstLine="295"/>
        <w:spacing w:after="0" w:line="284"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all capitalized terms used in this Agreement without definition herein shall have the meanings ascribed to them in the Merger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w:t>
      </w:r>
    </w:p>
    <w:p>
      <w:pPr>
        <w:spacing w:after="0" w:line="107" w:lineRule="exact"/>
        <w:rPr>
          <w:sz w:val="20"/>
          <w:szCs w:val="20"/>
          <w:color w:val="auto"/>
        </w:rPr>
      </w:pPr>
    </w:p>
    <w:p>
      <w:pPr>
        <w:ind w:left="840" w:right="1119" w:firstLine="295"/>
        <w:spacing w:after="0" w:line="267"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and as a condition to, Zordich’s, Merger Sub’s and the Company’s entering into the Merger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and proceeding with the transactions contemplated thereby, and in consideration of the expenses incurred and to be incurred by them in connection therewith, Stockholder, Zordich and the Company agree as follows:</w:t>
      </w:r>
    </w:p>
    <w:p>
      <w:pPr>
        <w:spacing w:after="0" w:line="49" w:lineRule="exact"/>
        <w:rPr>
          <w:sz w:val="20"/>
          <w:szCs w:val="20"/>
          <w:color w:val="auto"/>
        </w:rPr>
      </w:pPr>
    </w:p>
    <w:p>
      <w:pPr>
        <w:ind w:left="840" w:right="1039" w:firstLine="285"/>
        <w:spacing w:after="0" w:line="264" w:lineRule="auto"/>
        <w:tabs>
          <w:tab w:leader="none" w:pos="1255" w:val="left"/>
        </w:tabs>
        <w:numPr>
          <w:ilvl w:val="0"/>
          <w:numId w:val="120"/>
        </w:numPr>
        <w:rPr>
          <w:rFonts w:ascii="Arial" w:cs="Arial" w:eastAsia="Arial" w:hAnsi="Arial"/>
          <w:sz w:val="12"/>
          <w:szCs w:val="12"/>
          <w:color w:val="auto"/>
        </w:rPr>
      </w:pPr>
      <w:r>
        <w:rPr>
          <w:rFonts w:ascii="Arial" w:cs="Arial" w:eastAsia="Arial" w:hAnsi="Arial"/>
          <w:sz w:val="12"/>
          <w:szCs w:val="12"/>
          <w:u w:val="single" w:color="auto"/>
          <w:color w:val="auto"/>
        </w:rPr>
        <w:t>Agreement to Vote Shares</w:t>
      </w:r>
      <w:r>
        <w:rPr>
          <w:rFonts w:ascii="Arial" w:cs="Arial" w:eastAsia="Arial" w:hAnsi="Arial"/>
          <w:sz w:val="12"/>
          <w:szCs w:val="12"/>
          <w:color w:val="auto"/>
        </w:rPr>
        <w:t xml:space="preserve">. Stockholder agrees that, prior to the Expiration Date (as defined in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below), at any meeting of the stockholders of Zordich or any adjournment or postponement thereof, or in connection with any written consent of the stockholders of Zordich, with respect to the Merger, the Merger Agreement or any Acquisition Proposal, Stockholder shall:</w:t>
      </w:r>
    </w:p>
    <w:p>
      <w:pPr>
        <w:spacing w:after="0" w:line="50" w:lineRule="exact"/>
        <w:rPr>
          <w:rFonts w:ascii="Arial" w:cs="Arial" w:eastAsia="Arial" w:hAnsi="Arial"/>
          <w:sz w:val="12"/>
          <w:szCs w:val="12"/>
          <w:color w:val="auto"/>
        </w:rPr>
      </w:pPr>
    </w:p>
    <w:p>
      <w:pPr>
        <w:ind w:left="1120" w:right="1159" w:firstLine="288"/>
        <w:spacing w:after="0" w:line="277" w:lineRule="auto"/>
        <w:tabs>
          <w:tab w:leader="none" w:pos="1566" w:val="left"/>
        </w:tabs>
        <w:numPr>
          <w:ilvl w:val="1"/>
          <w:numId w:val="120"/>
        </w:numPr>
        <w:rPr>
          <w:rFonts w:ascii="Arial" w:cs="Arial" w:eastAsia="Arial" w:hAnsi="Arial"/>
          <w:sz w:val="12"/>
          <w:szCs w:val="12"/>
          <w:color w:val="auto"/>
        </w:rPr>
      </w:pPr>
      <w:r>
        <w:rPr>
          <w:rFonts w:ascii="Arial" w:cs="Arial" w:eastAsia="Arial" w:hAnsi="Arial"/>
          <w:sz w:val="12"/>
          <w:szCs w:val="12"/>
          <w:color w:val="auto"/>
        </w:rPr>
        <w:t xml:space="preserve">appear at such meeting or otherwise cause the Shares and any New Shares (as defined in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below) to be counted as present thereat for purposes of calculating a quorum;</w:t>
      </w:r>
    </w:p>
    <w:p>
      <w:pPr>
        <w:spacing w:after="0" w:line="42" w:lineRule="exact"/>
        <w:rPr>
          <w:rFonts w:ascii="Arial" w:cs="Arial" w:eastAsia="Arial" w:hAnsi="Arial"/>
          <w:sz w:val="12"/>
          <w:szCs w:val="12"/>
          <w:color w:val="auto"/>
        </w:rPr>
      </w:pPr>
    </w:p>
    <w:p>
      <w:pPr>
        <w:ind w:left="1120" w:right="919" w:firstLine="288"/>
        <w:spacing w:after="0" w:line="341" w:lineRule="auto"/>
        <w:tabs>
          <w:tab w:leader="none" w:pos="1573" w:val="left"/>
        </w:tabs>
        <w:numPr>
          <w:ilvl w:val="1"/>
          <w:numId w:val="120"/>
        </w:numPr>
        <w:rPr>
          <w:rFonts w:ascii="Arial" w:cs="Arial" w:eastAsia="Arial" w:hAnsi="Arial"/>
          <w:sz w:val="10"/>
          <w:szCs w:val="10"/>
          <w:color w:val="auto"/>
        </w:rPr>
      </w:pPr>
      <w:r>
        <w:rPr>
          <w:rFonts w:ascii="Arial" w:cs="Arial" w:eastAsia="Arial" w:hAnsi="Arial"/>
          <w:sz w:val="10"/>
          <w:szCs w:val="10"/>
          <w:color w:val="auto"/>
        </w:rPr>
        <w:t>from and after the date hereof until the Expiration Date, vote (or cause to be voted), or deliver a written consent (or cause a written consent to be delivered) covering all of the Shares and any New Shares that such Stockholder shall be entitled to so vote: (i) in favor of adoption and approval of (A) the issuance of the shares of Zordich Common Stock by virtue of the Merger, (B) the adoption of the Merger Agreement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26" w:right="1440" w:bottom="1440" w:gutter="0" w:footer="0" w:header="0"/>
        </w:sectPr>
      </w:pPr>
    </w:p>
    <w:bookmarkStart w:id="96" w:name="page97"/>
    <w:bookmarkEnd w:id="96"/>
    <w:p>
      <w:pPr>
        <w:ind w:left="1120" w:right="819"/>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approval of the Merger, and (C) an amendment to the Certificate of Incorporation of Zordich to effect the Zordich Reverse Stock Split; (ii) against any action or agreement that, to the knowledge of Stockholder, would reasonably be expected to result in a breach in any material respect of any covenant, representation or warranty or any other obligation or agreement of Zordich or any of its Subsidiaries or affiliates under the Merger Agreement or that would reasonably be expected to result in any of the conditions to Zordich’s or any of its Subsidiaries’ or affiliates’ obligations under the Merger Agreement not being fulfilled; and (iii) against any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Stockholder shall not take or commit or agree to take any action inconsistent with the foregoing.</w:t>
      </w:r>
    </w:p>
    <w:p>
      <w:pPr>
        <w:spacing w:after="0" w:line="55" w:lineRule="exact"/>
        <w:rPr>
          <w:sz w:val="20"/>
          <w:szCs w:val="20"/>
          <w:color w:val="auto"/>
        </w:rPr>
      </w:pPr>
    </w:p>
    <w:p>
      <w:pPr>
        <w:jc w:val="both"/>
        <w:ind w:left="840" w:right="919" w:firstLine="285"/>
        <w:spacing w:after="0" w:line="264" w:lineRule="auto"/>
        <w:tabs>
          <w:tab w:leader="none" w:pos="1255" w:val="left"/>
        </w:tabs>
        <w:numPr>
          <w:ilvl w:val="0"/>
          <w:numId w:val="121"/>
        </w:numPr>
        <w:rPr>
          <w:rFonts w:ascii="Arial" w:cs="Arial" w:eastAsia="Arial" w:hAnsi="Arial"/>
          <w:sz w:val="12"/>
          <w:szCs w:val="12"/>
          <w:color w:val="auto"/>
        </w:rPr>
      </w:pPr>
      <w:r>
        <w:rPr>
          <w:rFonts w:ascii="Arial" w:cs="Arial" w:eastAsia="Arial" w:hAnsi="Arial"/>
          <w:sz w:val="12"/>
          <w:szCs w:val="12"/>
          <w:u w:val="single" w:color="auto"/>
          <w:color w:val="auto"/>
        </w:rPr>
        <w:t>Expiration Date</w:t>
      </w:r>
      <w:r>
        <w:rPr>
          <w:rFonts w:ascii="Arial" w:cs="Arial" w:eastAsia="Arial" w:hAnsi="Arial"/>
          <w:sz w:val="12"/>
          <w:szCs w:val="12"/>
          <w:color w:val="auto"/>
        </w:rPr>
        <w:t>. As used in this Agreement, the term “</w:t>
      </w:r>
      <w:r>
        <w:rPr>
          <w:rFonts w:ascii="Arial" w:cs="Arial" w:eastAsia="Arial" w:hAnsi="Arial"/>
          <w:sz w:val="12"/>
          <w:szCs w:val="12"/>
          <w:u w:val="single" w:color="auto"/>
          <w:color w:val="auto"/>
        </w:rPr>
        <w:t>Expiration Date</w:t>
      </w:r>
      <w:r>
        <w:rPr>
          <w:rFonts w:ascii="Arial" w:cs="Arial" w:eastAsia="Arial" w:hAnsi="Arial"/>
          <w:sz w:val="12"/>
          <w:szCs w:val="12"/>
          <w:color w:val="auto"/>
        </w:rPr>
        <w:t xml:space="preserve">” shall mean the earlier to occur of (a) the Effective Time, (b) such date and time as the Merger Agreement shall be terminated pursuant to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thereof or otherwise, or (c) upon mutual written agreement of the parties to terminate this Agreement.</w:t>
      </w:r>
    </w:p>
    <w:p>
      <w:pPr>
        <w:spacing w:after="0" w:line="50" w:lineRule="exact"/>
        <w:rPr>
          <w:rFonts w:ascii="Arial" w:cs="Arial" w:eastAsia="Arial" w:hAnsi="Arial"/>
          <w:sz w:val="12"/>
          <w:szCs w:val="12"/>
          <w:color w:val="auto"/>
        </w:rPr>
      </w:pPr>
    </w:p>
    <w:p>
      <w:pPr>
        <w:ind w:left="840" w:right="839" w:firstLine="285"/>
        <w:spacing w:after="0" w:line="260" w:lineRule="auto"/>
        <w:tabs>
          <w:tab w:leader="none" w:pos="1255" w:val="left"/>
        </w:tabs>
        <w:numPr>
          <w:ilvl w:val="0"/>
          <w:numId w:val="121"/>
        </w:numPr>
        <w:rPr>
          <w:rFonts w:ascii="Arial" w:cs="Arial" w:eastAsia="Arial" w:hAnsi="Arial"/>
          <w:sz w:val="12"/>
          <w:szCs w:val="12"/>
          <w:color w:val="auto"/>
        </w:rPr>
      </w:pPr>
      <w:r>
        <w:rPr>
          <w:rFonts w:ascii="Arial" w:cs="Arial" w:eastAsia="Arial" w:hAnsi="Arial"/>
          <w:sz w:val="12"/>
          <w:szCs w:val="12"/>
          <w:u w:val="single" w:color="auto"/>
          <w:color w:val="auto"/>
        </w:rPr>
        <w:t>Additional Purchases</w:t>
      </w:r>
      <w:r>
        <w:rPr>
          <w:rFonts w:ascii="Arial" w:cs="Arial" w:eastAsia="Arial" w:hAnsi="Arial"/>
          <w:sz w:val="12"/>
          <w:szCs w:val="12"/>
          <w:color w:val="auto"/>
        </w:rPr>
        <w:t>. Stockholder agrees that any shares of capital stock or other equity securities of Zordich that Stockholder purchases or with respect to which Stockholder otherwise acquires sole or shared voting power after the execution of this Agreement and prior to the Expiration Date, whether by the exercise of any stock options, vesting of any Zordich RSUs or otherwise (“</w:t>
      </w:r>
      <w:r>
        <w:rPr>
          <w:rFonts w:ascii="Arial" w:cs="Arial" w:eastAsia="Arial" w:hAnsi="Arial"/>
          <w:sz w:val="12"/>
          <w:szCs w:val="12"/>
          <w:u w:val="single" w:color="auto"/>
          <w:color w:val="auto"/>
        </w:rPr>
        <w:t>New Shares</w:t>
      </w:r>
      <w:r>
        <w:rPr>
          <w:rFonts w:ascii="Arial" w:cs="Arial" w:eastAsia="Arial" w:hAnsi="Arial"/>
          <w:sz w:val="12"/>
          <w:szCs w:val="12"/>
          <w:color w:val="auto"/>
        </w:rPr>
        <w:t>”), shall be subject to the terms and conditions of this Agreement to the same extent as if they constituted the Shares.</w:t>
      </w:r>
    </w:p>
    <w:p>
      <w:pPr>
        <w:spacing w:after="0" w:line="52" w:lineRule="exact"/>
        <w:rPr>
          <w:rFonts w:ascii="Arial" w:cs="Arial" w:eastAsia="Arial" w:hAnsi="Arial"/>
          <w:sz w:val="12"/>
          <w:szCs w:val="12"/>
          <w:color w:val="auto"/>
        </w:rPr>
      </w:pPr>
    </w:p>
    <w:p>
      <w:pPr>
        <w:ind w:left="840" w:right="819" w:firstLine="285"/>
        <w:spacing w:after="0" w:line="277" w:lineRule="auto"/>
        <w:tabs>
          <w:tab w:leader="none" w:pos="1255" w:val="left"/>
        </w:tabs>
        <w:numPr>
          <w:ilvl w:val="0"/>
          <w:numId w:val="121"/>
        </w:numPr>
        <w:rPr>
          <w:rFonts w:ascii="Arial" w:cs="Arial" w:eastAsia="Arial" w:hAnsi="Arial"/>
          <w:sz w:val="11"/>
          <w:szCs w:val="11"/>
          <w:color w:val="auto"/>
        </w:rPr>
      </w:pPr>
      <w:r>
        <w:rPr>
          <w:rFonts w:ascii="Arial" w:cs="Arial" w:eastAsia="Arial" w:hAnsi="Arial"/>
          <w:sz w:val="11"/>
          <w:szCs w:val="11"/>
          <w:u w:val="single" w:color="auto"/>
          <w:color w:val="auto"/>
        </w:rPr>
        <w:t>Agreement to Retain Shares</w:t>
      </w:r>
      <w:r>
        <w:rPr>
          <w:rFonts w:ascii="Arial" w:cs="Arial" w:eastAsia="Arial" w:hAnsi="Arial"/>
          <w:sz w:val="11"/>
          <w:szCs w:val="11"/>
          <w:color w:val="auto"/>
        </w:rPr>
        <w:t xml:space="preserve">. From and after the date hereof until the Expiration Date, Stockholder shall not, directly or indirectly, (a) sell, assign, transfer, tender, or otherwise dispose of (including, without limitation, by the creation of any Liens (as defined in </w:t>
      </w:r>
      <w:r>
        <w:rPr>
          <w:rFonts w:ascii="Arial" w:cs="Arial" w:eastAsia="Arial" w:hAnsi="Arial"/>
          <w:sz w:val="11"/>
          <w:szCs w:val="11"/>
          <w:u w:val="single" w:color="auto"/>
          <w:color w:val="auto"/>
        </w:rPr>
        <w:t>Section 5(c)</w:t>
      </w:r>
      <w:r>
        <w:rPr>
          <w:rFonts w:ascii="Arial" w:cs="Arial" w:eastAsia="Arial" w:hAnsi="Arial"/>
          <w:sz w:val="11"/>
          <w:szCs w:val="11"/>
          <w:color w:val="auto"/>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(a) transfers by will or by operation of law or other transfers for estate-planning purposes, in which case this Agreement shall bind the transferee, (b) with respect to such Stockholder’s Zordich Options which expire on or prior to the Expiration Date, transfers, sale, or other disposition of Shares to the Company as payment for the (i) exercise price of such Stockholder’s Zordich Options and (ii) taxes applicable to the exercise of such Stockholder’s Zordich Options, (c) with respect to Stockholder’s Zordich RSUs, (i) transfers for the net settlement of Stockholder’s Zordich RSUs settled in Shares (to pay any tax withholding obligations) or (ii) transfers for receipt upon settlement of Stockholder’s Zordich RSUs, and the sale of a sufficient number of such Shares acquired upon settlement of such securities as would</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97" w:name="page98"/>
    <w:bookmarkEnd w:id="97"/>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generate sales proceeds sufficient to pay the aggregate taxes payable by Stockholder as a result of such settlement, (d) if Stockholder is a partnership or limited liability company, a transfer to one or more partners or members of Stockholder or to an affiliated corporation, trust or other business entity under common control with Stockholder, or if Stockholder is a trust, a transfer to a beneficiary, provided that in each such case the applicable transferee has signed a voting agreement in substantially the form hereof, (e) transfers to another holder of the capital stock of the Company that has signed a voting agreement in substantially the form hereof, and (f) transfers, sales or other dispositions as the Company may otherwise agree in writing in its sole discretion.</w:t>
      </w:r>
    </w:p>
    <w:p>
      <w:pPr>
        <w:spacing w:after="0" w:line="56" w:lineRule="exact"/>
        <w:rPr>
          <w:sz w:val="20"/>
          <w:szCs w:val="20"/>
          <w:color w:val="auto"/>
        </w:rPr>
      </w:pPr>
    </w:p>
    <w:p>
      <w:pPr>
        <w:ind w:left="1240" w:hanging="115"/>
        <w:spacing w:after="0"/>
        <w:tabs>
          <w:tab w:leader="none" w:pos="1240" w:val="left"/>
        </w:tabs>
        <w:numPr>
          <w:ilvl w:val="0"/>
          <w:numId w:val="122"/>
        </w:numPr>
        <w:rPr>
          <w:rFonts w:ascii="Arial" w:cs="Arial" w:eastAsia="Arial" w:hAnsi="Arial"/>
          <w:sz w:val="11"/>
          <w:szCs w:val="11"/>
          <w:color w:val="auto"/>
        </w:rPr>
      </w:pPr>
      <w:r>
        <w:rPr>
          <w:rFonts w:ascii="Arial" w:cs="Arial" w:eastAsia="Arial" w:hAnsi="Arial"/>
          <w:sz w:val="11"/>
          <w:szCs w:val="11"/>
          <w:u w:val="single" w:color="auto"/>
          <w:color w:val="auto"/>
        </w:rPr>
        <w:t>Representations and Warranties of Stockholder</w:t>
      </w:r>
      <w:r>
        <w:rPr>
          <w:rFonts w:ascii="Arial" w:cs="Arial" w:eastAsia="Arial" w:hAnsi="Arial"/>
          <w:sz w:val="11"/>
          <w:szCs w:val="11"/>
          <w:color w:val="auto"/>
        </w:rPr>
        <w:t>. Stockholder hereby represents and warrants to Zordich and the Company as follows:</w:t>
      </w:r>
    </w:p>
    <w:p>
      <w:pPr>
        <w:spacing w:after="0" w:line="90" w:lineRule="exact"/>
        <w:rPr>
          <w:rFonts w:ascii="Arial" w:cs="Arial" w:eastAsia="Arial" w:hAnsi="Arial"/>
          <w:sz w:val="11"/>
          <w:szCs w:val="11"/>
          <w:color w:val="auto"/>
        </w:rPr>
      </w:pPr>
    </w:p>
    <w:p>
      <w:pPr>
        <w:ind w:left="1580" w:hanging="172"/>
        <w:spacing w:after="0"/>
        <w:tabs>
          <w:tab w:leader="none" w:pos="158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Stockholder has the full power and authority to execute and deliver this Agreement and to perform Stockholder’s obligations hereunder;</w:t>
      </w:r>
    </w:p>
    <w:p>
      <w:pPr>
        <w:spacing w:after="0" w:line="90" w:lineRule="exact"/>
        <w:rPr>
          <w:rFonts w:ascii="Arial" w:cs="Arial" w:eastAsia="Arial" w:hAnsi="Arial"/>
          <w:sz w:val="11"/>
          <w:szCs w:val="11"/>
          <w:color w:val="auto"/>
        </w:rPr>
      </w:pPr>
    </w:p>
    <w:p>
      <w:pPr>
        <w:ind w:left="1120" w:right="899" w:firstLine="288"/>
        <w:spacing w:after="0" w:line="257" w:lineRule="auto"/>
        <w:tabs>
          <w:tab w:leader="none" w:pos="1573" w:val="left"/>
        </w:tabs>
        <w:numPr>
          <w:ilvl w:val="1"/>
          <w:numId w:val="122"/>
        </w:numPr>
        <w:rPr>
          <w:rFonts w:ascii="Arial" w:cs="Arial" w:eastAsia="Arial" w:hAnsi="Arial"/>
          <w:sz w:val="12"/>
          <w:szCs w:val="12"/>
          <w:color w:val="auto"/>
        </w:rPr>
      </w:pPr>
      <w:r>
        <w:rPr>
          <w:rFonts w:ascii="Arial" w:cs="Arial" w:eastAsia="Arial" w:hAnsi="Arial"/>
          <w:sz w:val="12"/>
          <w:szCs w:val="12"/>
          <w:color w:val="auto"/>
        </w:rPr>
        <w:t>this Agreement has been duly executed and delivered by or on behalf of Stockholder and, to the Stockholder’s knowledge and assuming this Agreement constitutes a valid and binding agreement of the Company and Zordich,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55" w:lineRule="exact"/>
        <w:rPr>
          <w:rFonts w:ascii="Arial" w:cs="Arial" w:eastAsia="Arial" w:hAnsi="Arial"/>
          <w:sz w:val="12"/>
          <w:szCs w:val="12"/>
          <w:color w:val="auto"/>
        </w:rPr>
      </w:pPr>
    </w:p>
    <w:p>
      <w:pPr>
        <w:ind w:left="1120" w:right="839" w:firstLine="288"/>
        <w:spacing w:after="0" w:line="257" w:lineRule="auto"/>
        <w:tabs>
          <w:tab w:leader="none" w:pos="1566" w:val="left"/>
        </w:tabs>
        <w:numPr>
          <w:ilvl w:val="1"/>
          <w:numId w:val="122"/>
        </w:numPr>
        <w:rPr>
          <w:rFonts w:ascii="Arial" w:cs="Arial" w:eastAsia="Arial" w:hAnsi="Arial"/>
          <w:sz w:val="12"/>
          <w:szCs w:val="12"/>
          <w:color w:val="auto"/>
        </w:rPr>
      </w:pPr>
      <w:r>
        <w:rPr>
          <w:rFonts w:ascii="Arial" w:cs="Arial" w:eastAsia="Arial" w:hAnsi="Arial"/>
          <w:sz w:val="12"/>
          <w:szCs w:val="12"/>
          <w:color w:val="auto"/>
        </w:rPr>
        <w:t xml:space="preserve">Stockholder beneficially owns the number of Shares indicated opposite such Stockholder’s name on </w:t>
      </w:r>
      <w:r>
        <w:rPr>
          <w:rFonts w:ascii="Arial" w:cs="Arial" w:eastAsia="Arial" w:hAnsi="Arial"/>
          <w:sz w:val="12"/>
          <w:szCs w:val="12"/>
          <w:u w:val="single" w:color="auto"/>
          <w:color w:val="auto"/>
        </w:rPr>
        <w:t>Schedule 1</w:t>
      </w:r>
      <w:r>
        <w:rPr>
          <w:rFonts w:ascii="Arial" w:cs="Arial" w:eastAsia="Arial" w:hAnsi="Arial"/>
          <w:sz w:val="12"/>
          <w:szCs w:val="12"/>
          <w:color w:val="auto"/>
        </w:rPr>
        <w:t>, and will own any New Shares, free and clear of any liens, claims, charges or other encumbrances or restrictions of any kind whatsoever (“</w:t>
      </w:r>
      <w:r>
        <w:rPr>
          <w:rFonts w:ascii="Arial" w:cs="Arial" w:eastAsia="Arial" w:hAnsi="Arial"/>
          <w:sz w:val="12"/>
          <w:szCs w:val="12"/>
          <w:u w:val="single" w:color="auto"/>
          <w:color w:val="auto"/>
        </w:rPr>
        <w:t>Liens</w:t>
      </w:r>
      <w:r>
        <w:rPr>
          <w:rFonts w:ascii="Arial" w:cs="Arial" w:eastAsia="Arial" w:hAnsi="Arial"/>
          <w:sz w:val="12"/>
          <w:szCs w:val="12"/>
          <w:color w:val="auto"/>
        </w:rPr>
        <w:t>”), and has sole or shared, and otherwise unrestricted, voting power with respect to such Shares or New Shares and none of the Shares or New Shares is subject to any voting trust or other agreement, arrangement or restriction with respect to the voting of the Shares or the New Shares, except as contemplated by this Agreement;</w:t>
      </w:r>
    </w:p>
    <w:p>
      <w:pPr>
        <w:spacing w:after="0" w:line="55" w:lineRule="exact"/>
        <w:rPr>
          <w:rFonts w:ascii="Arial" w:cs="Arial" w:eastAsia="Arial" w:hAnsi="Arial"/>
          <w:sz w:val="12"/>
          <w:szCs w:val="12"/>
          <w:color w:val="auto"/>
        </w:rPr>
      </w:pPr>
    </w:p>
    <w:p>
      <w:pPr>
        <w:ind w:left="1120" w:right="859" w:firstLine="288"/>
        <w:spacing w:after="0" w:line="255" w:lineRule="auto"/>
        <w:tabs>
          <w:tab w:leader="none" w:pos="1573" w:val="left"/>
        </w:tabs>
        <w:numPr>
          <w:ilvl w:val="1"/>
          <w:numId w:val="122"/>
        </w:numPr>
        <w:rPr>
          <w:rFonts w:ascii="Arial" w:cs="Arial" w:eastAsia="Arial" w:hAnsi="Arial"/>
          <w:sz w:val="12"/>
          <w:szCs w:val="12"/>
          <w:color w:val="auto"/>
        </w:rPr>
      </w:pPr>
      <w:r>
        <w:rPr>
          <w:rFonts w:ascii="Arial" w:cs="Arial" w:eastAsia="Arial" w:hAnsi="Arial"/>
          <w:sz w:val="12"/>
          <w:szCs w:val="12"/>
          <w:color w:val="auto"/>
        </w:rPr>
        <w:t>to the knowledge of Stockholder, the execution and delivery of this Agreement by Stockholder does not, and the performance by Stockholder of his or her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98" w:name="page99"/>
    <w:bookmarkEnd w:id="98"/>
    <w:p>
      <w:pPr>
        <w:ind w:left="1120" w:right="859" w:firstLine="288"/>
        <w:spacing w:after="0" w:line="286" w:lineRule="auto"/>
        <w:tabs>
          <w:tab w:leader="none" w:pos="1566" w:val="left"/>
        </w:tabs>
        <w:numPr>
          <w:ilvl w:val="2"/>
          <w:numId w:val="12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to the knowledge of Stockholder, the execution and delivery of this Agreement by Stockholder does not, and the performance of this Agreement by Stockholder does not and will not, require any consent, approval, authorization or permit of, or filing with or notification to, any governmental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or her obligations under this Agreement in any material respect.</w:t>
      </w:r>
    </w:p>
    <w:p>
      <w:pPr>
        <w:spacing w:after="0" w:line="40" w:lineRule="exact"/>
        <w:rPr>
          <w:rFonts w:ascii="Arial" w:cs="Arial" w:eastAsia="Arial" w:hAnsi="Arial"/>
          <w:sz w:val="11"/>
          <w:szCs w:val="11"/>
          <w:color w:val="auto"/>
        </w:rPr>
      </w:pPr>
    </w:p>
    <w:p>
      <w:pPr>
        <w:ind w:left="840" w:right="859" w:firstLine="285"/>
        <w:spacing w:after="0" w:line="314" w:lineRule="auto"/>
        <w:tabs>
          <w:tab w:leader="none" w:pos="1255" w:val="left"/>
        </w:tabs>
        <w:numPr>
          <w:ilvl w:val="1"/>
          <w:numId w:val="124"/>
        </w:numPr>
        <w:rPr>
          <w:rFonts w:ascii="Arial" w:cs="Arial" w:eastAsia="Arial" w:hAnsi="Arial"/>
          <w:sz w:val="10"/>
          <w:szCs w:val="10"/>
          <w:color w:val="auto"/>
        </w:rPr>
      </w:pPr>
      <w:r>
        <w:rPr>
          <w:rFonts w:ascii="Arial" w:cs="Arial" w:eastAsia="Arial" w:hAnsi="Arial"/>
          <w:sz w:val="10"/>
          <w:szCs w:val="10"/>
          <w:u w:val="single" w:color="auto"/>
          <w:color w:val="auto"/>
        </w:rPr>
        <w:t>Irrevocable Proxy</w:t>
      </w:r>
      <w:r>
        <w:rPr>
          <w:rFonts w:ascii="Arial" w:cs="Arial" w:eastAsia="Arial" w:hAnsi="Arial"/>
          <w:sz w:val="10"/>
          <w:szCs w:val="10"/>
          <w:color w:val="auto"/>
        </w:rPr>
        <w:t xml:space="preserve">. Subject to the penultimate sentence of this </w:t>
      </w:r>
      <w:r>
        <w:rPr>
          <w:rFonts w:ascii="Arial" w:cs="Arial" w:eastAsia="Arial" w:hAnsi="Arial"/>
          <w:sz w:val="10"/>
          <w:szCs w:val="10"/>
          <w:u w:val="single" w:color="auto"/>
          <w:color w:val="auto"/>
        </w:rPr>
        <w:t>Section 6</w:t>
      </w:r>
      <w:r>
        <w:rPr>
          <w:rFonts w:ascii="Arial" w:cs="Arial" w:eastAsia="Arial" w:hAnsi="Arial"/>
          <w:sz w:val="10"/>
          <w:szCs w:val="10"/>
          <w:color w:val="auto"/>
        </w:rPr>
        <w:t xml:space="preserve">, by execution of this Agreement, Stockholder does hereby appoint the Company with full power of substitution and resubstitution, as Stockholder’s true and lawful attorney and irrevocable proxy, to the fullest extent of the undersigned’s rights with respect to the Shares, to vote, if the Stockholder is unable to perform his or her obligations under this Agreement, each of such Shares solely with respect to the matters set forth in </w:t>
      </w:r>
      <w:r>
        <w:rPr>
          <w:rFonts w:ascii="Arial" w:cs="Arial" w:eastAsia="Arial" w:hAnsi="Arial"/>
          <w:sz w:val="10"/>
          <w:szCs w:val="10"/>
          <w:u w:val="single" w:color="auto"/>
          <w:color w:val="auto"/>
        </w:rPr>
        <w:t>Section 1</w:t>
      </w:r>
      <w:r>
        <w:rPr>
          <w:rFonts w:ascii="Arial" w:cs="Arial" w:eastAsia="Arial" w:hAnsi="Arial"/>
          <w:sz w:val="10"/>
          <w:szCs w:val="10"/>
          <w:color w:val="auto"/>
        </w:rPr>
        <w:t xml:space="preserve"> hereof. Stockholder intends this proxy to be irrevocable and coupled with an interest hereunder until the Expiration Date and hereby revokes any proxy previously granted by Stockholder with respect to the Shares. Notwithstanding anything contained herein to the contrary, this irrevocable proxy shall automatically terminate upon the Expiration Date of this Agreement. The Stockholder hereby revokes any proxies previously granted and represents that none of such previously-granted proxies are irrevocable.</w:t>
      </w:r>
    </w:p>
    <w:p>
      <w:pPr>
        <w:spacing w:after="0" w:line="30" w:lineRule="exact"/>
        <w:rPr>
          <w:rFonts w:ascii="Arial" w:cs="Arial" w:eastAsia="Arial" w:hAnsi="Arial"/>
          <w:sz w:val="10"/>
          <w:szCs w:val="10"/>
          <w:color w:val="auto"/>
        </w:rPr>
      </w:pPr>
    </w:p>
    <w:p>
      <w:pPr>
        <w:ind w:left="840" w:right="859" w:firstLine="285"/>
        <w:spacing w:after="0" w:line="282" w:lineRule="auto"/>
        <w:tabs>
          <w:tab w:leader="none" w:pos="1255" w:val="left"/>
        </w:tabs>
        <w:numPr>
          <w:ilvl w:val="1"/>
          <w:numId w:val="124"/>
        </w:numPr>
        <w:rPr>
          <w:rFonts w:ascii="Arial" w:cs="Arial" w:eastAsia="Arial" w:hAnsi="Arial"/>
          <w:sz w:val="11"/>
          <w:szCs w:val="11"/>
          <w:color w:val="auto"/>
        </w:rPr>
      </w:pPr>
      <w:r>
        <w:rPr>
          <w:rFonts w:ascii="Arial" w:cs="Arial" w:eastAsia="Arial" w:hAnsi="Arial"/>
          <w:sz w:val="11"/>
          <w:szCs w:val="11"/>
          <w:u w:val="single" w:color="auto"/>
          <w:color w:val="auto"/>
        </w:rPr>
        <w:t>No Solicitation</w:t>
      </w:r>
      <w:r>
        <w:rPr>
          <w:rFonts w:ascii="Arial" w:cs="Arial" w:eastAsia="Arial" w:hAnsi="Arial"/>
          <w:sz w:val="11"/>
          <w:szCs w:val="11"/>
          <w:color w:val="auto"/>
        </w:rPr>
        <w:t>. From and after the date hereof until the Expiration Date, Stockholder shall not (a) initiate, solicit, seek or knowingly encourage or support any inquiries, proposals or offers that constitute or may reasonably be expected to lead to, an Acquisition Proposal regarding Zordich,</w:t>
      </w:r>
    </w:p>
    <w:p>
      <w:pPr>
        <w:ind w:left="840" w:right="859" w:hanging="9"/>
        <w:spacing w:after="0" w:line="277" w:lineRule="auto"/>
        <w:tabs>
          <w:tab w:leader="none" w:pos="101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 xml:space="preserve">engage or participate in, or knowingly facilitate, any discussions or negotiations regarding any inquiries, proposals or offers that constitute, or may reasonably be expected to lead to, an Acquisition Proposal regarding Zordich, (c) furnish to any Person other than the Company any non-public information that could reasonably be expected to be used for the purposes of formulating any Acquisition Proposal regarding Zordich, (d) enter into any letter of intent, agreement in principle or other similar type of agreement relating to an Acquisition Proposal regarding Zordich, or enter into any agreement or agreement in principle requiring Zordich to abandon, terminate or fail to consummate the transactions contemplated hereby, (e) initiate a stockholders’ vote or action by consent of the Zordich’s stockholders with respect to an Acquisition Proposal regarding Zordich, (f) except by reason of this Agreement, become a member of a “group” (as such term is defined in Section 13(d) of the Exchange Act) with respect to any voting securities of Zordich that takes any action in support of an Acquisition Proposal regarding Zordich or (g) propose or agree to do any of the foregoing. In the event that Stockholder is a corporation, partnership, trust or other entity, it shall not permit any of its Subsidiaries or affiliates to, nor shall it authorize any officer, director or representative of Stockholder, or any of its Subsidiaries or affiliates to, undertake any of the actions contemplated by this </w:t>
      </w:r>
      <w:r>
        <w:rPr>
          <w:rFonts w:ascii="Arial" w:cs="Arial" w:eastAsia="Arial" w:hAnsi="Arial"/>
          <w:sz w:val="11"/>
          <w:szCs w:val="11"/>
          <w:u w:val="single" w:color="auto"/>
          <w:color w:val="auto"/>
        </w:rPr>
        <w:t>Section 7</w:t>
      </w:r>
      <w:r>
        <w:rPr>
          <w:rFonts w:ascii="Arial" w:cs="Arial" w:eastAsia="Arial" w:hAnsi="Arial"/>
          <w:sz w:val="11"/>
          <w:szCs w:val="11"/>
          <w:color w:val="auto"/>
        </w:rPr>
        <w:t>.</w:t>
      </w:r>
    </w:p>
    <w:p>
      <w:pPr>
        <w:spacing w:after="0" w:line="48" w:lineRule="exact"/>
        <w:rPr>
          <w:rFonts w:ascii="Arial" w:cs="Arial" w:eastAsia="Arial" w:hAnsi="Arial"/>
          <w:sz w:val="11"/>
          <w:szCs w:val="11"/>
          <w:color w:val="auto"/>
        </w:rPr>
      </w:pPr>
    </w:p>
    <w:p>
      <w:pPr>
        <w:ind w:left="1240" w:hanging="115"/>
        <w:spacing w:after="0"/>
        <w:tabs>
          <w:tab w:leader="none" w:pos="1240" w:val="left"/>
        </w:tabs>
        <w:numPr>
          <w:ilvl w:val="1"/>
          <w:numId w:val="125"/>
        </w:numPr>
        <w:rPr>
          <w:rFonts w:ascii="Arial" w:cs="Arial" w:eastAsia="Arial" w:hAnsi="Arial"/>
          <w:sz w:val="12"/>
          <w:szCs w:val="12"/>
          <w:color w:val="auto"/>
        </w:rPr>
      </w:pPr>
      <w:r>
        <w:rPr>
          <w:rFonts w:ascii="Arial" w:cs="Arial" w:eastAsia="Arial" w:hAnsi="Arial"/>
          <w:sz w:val="12"/>
          <w:szCs w:val="12"/>
          <w:u w:val="single" w:color="auto"/>
          <w:color w:val="auto"/>
        </w:rPr>
        <w:t>Waiver of Appraisal Rights; No Legal Actions</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1120" w:right="919" w:firstLine="288"/>
        <w:spacing w:after="0" w:line="277" w:lineRule="auto"/>
        <w:tabs>
          <w:tab w:leader="none" w:pos="1566" w:val="left"/>
        </w:tabs>
        <w:numPr>
          <w:ilvl w:val="2"/>
          <w:numId w:val="125"/>
        </w:numPr>
        <w:rPr>
          <w:rFonts w:ascii="Arial" w:cs="Arial" w:eastAsia="Arial" w:hAnsi="Arial"/>
          <w:sz w:val="12"/>
          <w:szCs w:val="12"/>
          <w:color w:val="auto"/>
        </w:rPr>
      </w:pPr>
      <w:r>
        <w:rPr>
          <w:rFonts w:ascii="Arial" w:cs="Arial" w:eastAsia="Arial" w:hAnsi="Arial"/>
          <w:sz w:val="12"/>
          <w:szCs w:val="12"/>
          <w:color w:val="auto"/>
        </w:rPr>
        <w:t>The Stockholder hereby waives, and agrees not to exercise or assert, any appraisal rights under applicable law, including Section 262 of the DGCL, in connection with the Merger.</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99" w:name="page100"/>
    <w:bookmarkEnd w:id="99"/>
    <w:p>
      <w:pPr>
        <w:ind w:left="1120" w:right="819" w:firstLine="288"/>
        <w:spacing w:after="0" w:line="257" w:lineRule="auto"/>
        <w:tabs>
          <w:tab w:leader="none" w:pos="1573" w:val="left"/>
        </w:tabs>
        <w:numPr>
          <w:ilvl w:val="1"/>
          <w:numId w:val="12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Stockholder will not in its capacity as a stockholder of Zordich bring, commence, institute, maintain, prosecute or voluntarily aid any Legal Proceeding which (i) challenges the validity or seeks to enjoin the operation of any provision of this Agreement or (ii) alleges that the execution and delivery of this agreement by the Stockholder, either alone or together with the other voting agreements and proxies to be delivered in connection with the execution of the Merger Agreement, or the approval of the Merger Agreement by the Zordich Board, constitutes a breach of any fiduciary duty of the Zordich Board or any member thereof.</w:t>
      </w:r>
    </w:p>
    <w:p>
      <w:pPr>
        <w:spacing w:after="0" w:line="55" w:lineRule="exact"/>
        <w:rPr>
          <w:rFonts w:ascii="Arial" w:cs="Arial" w:eastAsia="Arial" w:hAnsi="Arial"/>
          <w:sz w:val="12"/>
          <w:szCs w:val="12"/>
          <w:color w:val="auto"/>
        </w:rPr>
      </w:pPr>
    </w:p>
    <w:p>
      <w:pPr>
        <w:ind w:left="840" w:right="839" w:firstLine="285"/>
        <w:spacing w:after="0" w:line="255" w:lineRule="auto"/>
        <w:tabs>
          <w:tab w:leader="none" w:pos="1255"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Other Remedies; Specific Performance</w:t>
      </w:r>
      <w:r>
        <w:rPr>
          <w:rFonts w:ascii="Arial" w:cs="Arial" w:eastAsia="Arial" w:hAnsi="Arial"/>
          <w:sz w:val="12"/>
          <w:szCs w:val="12"/>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the addition to any other remedy to which they are entitled at law or in equity.</w:t>
      </w:r>
    </w:p>
    <w:p>
      <w:pPr>
        <w:spacing w:after="0" w:line="57" w:lineRule="exact"/>
        <w:rPr>
          <w:rFonts w:ascii="Arial" w:cs="Arial" w:eastAsia="Arial" w:hAnsi="Arial"/>
          <w:sz w:val="12"/>
          <w:szCs w:val="12"/>
          <w:color w:val="auto"/>
        </w:rPr>
      </w:pPr>
    </w:p>
    <w:p>
      <w:pPr>
        <w:ind w:left="840" w:right="859" w:firstLine="285"/>
        <w:spacing w:after="0" w:line="281" w:lineRule="auto"/>
        <w:tabs>
          <w:tab w:leader="none" w:pos="1315" w:val="left"/>
        </w:tabs>
        <w:numPr>
          <w:ilvl w:val="0"/>
          <w:numId w:val="127"/>
        </w:numPr>
        <w:rPr>
          <w:rFonts w:ascii="Arial" w:cs="Arial" w:eastAsia="Arial" w:hAnsi="Arial"/>
          <w:sz w:val="11"/>
          <w:szCs w:val="11"/>
          <w:color w:val="auto"/>
        </w:rPr>
      </w:pPr>
      <w:r>
        <w:rPr>
          <w:rFonts w:ascii="Arial" w:cs="Arial" w:eastAsia="Arial" w:hAnsi="Arial"/>
          <w:sz w:val="11"/>
          <w:szCs w:val="11"/>
          <w:u w:val="single" w:color="auto"/>
          <w:color w:val="auto"/>
        </w:rPr>
        <w:t>Directors and Officers</w:t>
      </w:r>
      <w:r>
        <w:rPr>
          <w:rFonts w:ascii="Arial" w:cs="Arial" w:eastAsia="Arial" w:hAnsi="Arial"/>
          <w:sz w:val="11"/>
          <w:szCs w:val="11"/>
          <w:color w:val="auto"/>
        </w:rPr>
        <w:t>. This Agreement shall apply to Stockholder solely in Stockholder’s capacity as a stockholder of Zordich and/or holder of options, warrants and/or restricted stock units to purchase shares of Zordich Common Stock and not in such Stockholder’s capacity as a director, officer or employee of Zordich or any of its Subsidiaries or in such Stockholder’s capacity as a trustee or fiduciary of any employee benefit plan or trust. Notwithstanding any provision of this Agreement to the contrary, nothing in this Agreement shall (or require Stockholder to attempt to) limit or restrict a director and/or officer of Zordich in the exercise of his or her fiduciary duties consistent with the terms of the Merger Agreement as a director and/or officer of Zordich or in his or her capacity as a trustee or fiduciary of any employee benefit plan or trust or prevent or be construed to create any obligation on the part of any director and/or officer of Zordich or any trustee or fiduciary of any employee benefit plan or trust from taking any action in his or her capacity as such director, officer, trustee and/or fiduciary.</w:t>
      </w:r>
    </w:p>
    <w:p>
      <w:pPr>
        <w:spacing w:after="0" w:line="43" w:lineRule="exact"/>
        <w:rPr>
          <w:rFonts w:ascii="Arial" w:cs="Arial" w:eastAsia="Arial" w:hAnsi="Arial"/>
          <w:sz w:val="11"/>
          <w:szCs w:val="11"/>
          <w:color w:val="auto"/>
        </w:rPr>
      </w:pPr>
    </w:p>
    <w:p>
      <w:pPr>
        <w:ind w:left="840" w:right="859" w:firstLine="285"/>
        <w:spacing w:after="0" w:line="257" w:lineRule="auto"/>
        <w:tabs>
          <w:tab w:leader="none" w:pos="1310"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No Ownership Interest</w:t>
      </w:r>
      <w:r>
        <w:rPr>
          <w:rFonts w:ascii="Arial" w:cs="Arial" w:eastAsia="Arial" w:hAnsi="Arial"/>
          <w:sz w:val="12"/>
          <w:szCs w:val="12"/>
          <w:color w:val="auto"/>
        </w:rPr>
        <w:t>. Nothing contained in this Agreement shall be deemed to vest in the Company any direct or indirect ownership or incidence of ownership of or with respect to any Shares. All rights, ownership and economic benefits of and relating to the Shares shall remain vested in and belong to Stockholder, and the Company does not have authority to manage, direct, superintend, restrict, regulate, govern, or administer any of the policies or operations of Zordich or exercise any power or authority to direct Stockholder in the voting of any of the Shares, except as otherwise provided herein.</w:t>
      </w:r>
    </w:p>
    <w:p>
      <w:pPr>
        <w:spacing w:after="0" w:line="55" w:lineRule="exact"/>
        <w:rPr>
          <w:rFonts w:ascii="Arial" w:cs="Arial" w:eastAsia="Arial" w:hAnsi="Arial"/>
          <w:sz w:val="12"/>
          <w:szCs w:val="12"/>
          <w:color w:val="auto"/>
        </w:rPr>
      </w:pPr>
    </w:p>
    <w:p>
      <w:pPr>
        <w:ind w:left="840" w:right="999" w:firstLine="285"/>
        <w:spacing w:after="0" w:line="260" w:lineRule="auto"/>
        <w:tabs>
          <w:tab w:leader="none" w:pos="1315"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nothing set forth in this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12</w:t>
      </w:r>
      <w:r>
        <w:rPr>
          <w:rFonts w:ascii="Arial" w:cs="Arial" w:eastAsia="Arial" w:hAnsi="Arial"/>
          <w:sz w:val="12"/>
          <w:szCs w:val="12"/>
          <w:i w:val="1"/>
          <w:iCs w:val="1"/>
          <w:color w:val="auto"/>
        </w:rPr>
        <w:t xml:space="preserve"> </w:t>
      </w:r>
      <w:r>
        <w:rPr>
          <w:rFonts w:ascii="Arial" w:cs="Arial" w:eastAsia="Arial" w:hAnsi="Arial"/>
          <w:sz w:val="12"/>
          <w:szCs w:val="12"/>
          <w:color w:val="auto"/>
        </w:rPr>
        <w:t>or elsewhere in this Agreement shall relieve any party from liability for any willful breach of this</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or acts of bad faith prior to termination hereof.</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100" w:name="page101"/>
    <w:bookmarkEnd w:id="100"/>
    <w:p>
      <w:pPr>
        <w:ind w:left="840" w:right="839" w:firstLine="285"/>
        <w:spacing w:after="0" w:line="264" w:lineRule="auto"/>
        <w:tabs>
          <w:tab w:leader="none" w:pos="1315"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Further Assurances</w:t>
      </w:r>
      <w:r>
        <w:rPr>
          <w:rFonts w:ascii="Arial" w:cs="Arial" w:eastAsia="Arial" w:hAnsi="Arial"/>
          <w:sz w:val="12"/>
          <w:szCs w:val="12"/>
          <w:color w:val="auto"/>
        </w:rPr>
        <w:t>. Stockholder shall, from time to time, execute and deliver, or cause to be executed and delivered, such additional or further consents, documents and other instruments as the Company or Zordich may reasonably request for the purpose of effectively carrying out the transactions contemplated by this Agreement and the Merger Agreement.</w:t>
      </w:r>
    </w:p>
    <w:p>
      <w:pPr>
        <w:spacing w:after="0" w:line="50" w:lineRule="exact"/>
        <w:rPr>
          <w:rFonts w:ascii="Arial" w:cs="Arial" w:eastAsia="Arial" w:hAnsi="Arial"/>
          <w:sz w:val="12"/>
          <w:szCs w:val="12"/>
          <w:color w:val="auto"/>
        </w:rPr>
      </w:pPr>
    </w:p>
    <w:p>
      <w:pPr>
        <w:ind w:left="840" w:right="959" w:firstLine="285"/>
        <w:spacing w:after="0" w:line="282" w:lineRule="auto"/>
        <w:tabs>
          <w:tab w:leader="none" w:pos="1315" w:val="left"/>
        </w:tabs>
        <w:numPr>
          <w:ilvl w:val="0"/>
          <w:numId w:val="128"/>
        </w:numPr>
        <w:rPr>
          <w:rFonts w:ascii="Arial" w:cs="Arial" w:eastAsia="Arial" w:hAnsi="Arial"/>
          <w:sz w:val="11"/>
          <w:szCs w:val="11"/>
          <w:color w:val="auto"/>
        </w:rPr>
      </w:pPr>
      <w:r>
        <w:rPr>
          <w:rFonts w:ascii="Arial" w:cs="Arial" w:eastAsia="Arial" w:hAnsi="Arial"/>
          <w:sz w:val="11"/>
          <w:szCs w:val="11"/>
          <w:u w:val="single" w:color="auto"/>
          <w:color w:val="auto"/>
        </w:rPr>
        <w:t>Disclosure</w:t>
      </w:r>
      <w:r>
        <w:rPr>
          <w:rFonts w:ascii="Arial" w:cs="Arial" w:eastAsia="Arial" w:hAnsi="Arial"/>
          <w:sz w:val="11"/>
          <w:szCs w:val="11"/>
          <w:color w:val="auto"/>
        </w:rPr>
        <w:t>. Stockholder hereby agrees that Zordich and the Company may publish and disclose in any registration statement, any resale registration statement relating thereto (including all documents and schedules filed with the SEC), the Proxy Statement, any prospectus filed with any regulatory authority in connection with the Merger and any related documents filed with such regulatory authority and as otherwise required by law, such Stockholder’s identity and ownership of Shares and the nature of such Stockholder’s commitments, arrangements and understandings under this Agreement and may further file this Agreement as an exhibit to the Registration Statement or prospectus or in any other filing made by Zordich or the Company as required by law or the terms of the Merger Agreement, including with the SEC or other regulatory authority, relating to the Merger, all subject to prior review and an opportunity to comment by Stockholder’s counsel.</w:t>
      </w:r>
    </w:p>
    <w:p>
      <w:pPr>
        <w:spacing w:after="0" w:line="43" w:lineRule="exact"/>
        <w:rPr>
          <w:rFonts w:ascii="Arial" w:cs="Arial" w:eastAsia="Arial" w:hAnsi="Arial"/>
          <w:sz w:val="11"/>
          <w:szCs w:val="11"/>
          <w:color w:val="auto"/>
        </w:rPr>
      </w:pPr>
    </w:p>
    <w:p>
      <w:pPr>
        <w:ind w:left="840" w:right="879" w:firstLine="285"/>
        <w:spacing w:after="0" w:line="257" w:lineRule="auto"/>
        <w:tabs>
          <w:tab w:leader="none" w:pos="1315"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xml:space="preserve">. All notices and other communications hereunder shall be in writing and shall be deemed given if delivered personally or sent by overnight courier (providing proof of delivery), by facsimile transmission (providing confirmation of transmission) or by electronic transmission (providing confirmation of transmission) to the Company or Zordich, as the case may be, in accordance with </w:t>
      </w:r>
      <w:r>
        <w:rPr>
          <w:rFonts w:ascii="Arial" w:cs="Arial" w:eastAsia="Arial" w:hAnsi="Arial"/>
          <w:sz w:val="12"/>
          <w:szCs w:val="12"/>
          <w:u w:val="single" w:color="auto"/>
          <w:color w:val="auto"/>
        </w:rPr>
        <w:t>Section 11.7</w:t>
      </w:r>
      <w:r>
        <w:rPr>
          <w:rFonts w:ascii="Arial" w:cs="Arial" w:eastAsia="Arial" w:hAnsi="Arial"/>
          <w:sz w:val="12"/>
          <w:szCs w:val="12"/>
          <w:color w:val="auto"/>
        </w:rPr>
        <w:t xml:space="preserve"> of the Merger Agreement and to each Stockholder at its address or email address (providing confirmation of transmission) set forth on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attached hereto (or at such other address for a party as shall be specified by like notice).</w:t>
      </w:r>
    </w:p>
    <w:p>
      <w:pPr>
        <w:spacing w:after="0" w:line="55" w:lineRule="exact"/>
        <w:rPr>
          <w:rFonts w:ascii="Arial" w:cs="Arial" w:eastAsia="Arial" w:hAnsi="Arial"/>
          <w:sz w:val="12"/>
          <w:szCs w:val="12"/>
          <w:color w:val="auto"/>
        </w:rPr>
      </w:pPr>
    </w:p>
    <w:p>
      <w:pPr>
        <w:ind w:left="840" w:right="919" w:firstLine="285"/>
        <w:spacing w:after="0" w:line="280" w:lineRule="auto"/>
        <w:tabs>
          <w:tab w:leader="none" w:pos="1315" w:val="left"/>
        </w:tabs>
        <w:numPr>
          <w:ilvl w:val="0"/>
          <w:numId w:val="128"/>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44" w:lineRule="exact"/>
        <w:rPr>
          <w:rFonts w:ascii="Arial" w:cs="Arial" w:eastAsia="Arial" w:hAnsi="Arial"/>
          <w:sz w:val="11"/>
          <w:szCs w:val="11"/>
          <w:color w:val="auto"/>
        </w:rPr>
      </w:pPr>
    </w:p>
    <w:p>
      <w:pPr>
        <w:jc w:val="both"/>
        <w:ind w:left="840" w:right="819" w:firstLine="285"/>
        <w:spacing w:after="0" w:line="264" w:lineRule="auto"/>
        <w:tabs>
          <w:tab w:leader="none" w:pos="1315"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t>Assignability</w:t>
      </w:r>
      <w:r>
        <w:rPr>
          <w:rFonts w:ascii="Arial" w:cs="Arial" w:eastAsia="Arial" w:hAnsi="Arial"/>
          <w:sz w:val="12"/>
          <w:szCs w:val="12"/>
          <w:color w:val="auto"/>
        </w:rPr>
        <w:t xml:space="preserve">. This Agreement shall be binding upon, and shall be enforceable by and inure solely to the benefit of, the parties hereto and their respective successors and assigns; </w:t>
      </w:r>
      <w:r>
        <w:rPr>
          <w:rFonts w:ascii="Arial" w:cs="Arial" w:eastAsia="Arial" w:hAnsi="Arial"/>
          <w:sz w:val="12"/>
          <w:szCs w:val="12"/>
          <w:i w:val="1"/>
          <w:iCs w:val="1"/>
          <w:color w:val="auto"/>
        </w:rPr>
        <w:t>provided, however</w:t>
      </w:r>
      <w:r>
        <w:rPr>
          <w:rFonts w:ascii="Arial" w:cs="Arial" w:eastAsia="Arial" w:hAnsi="Arial"/>
          <w:sz w:val="12"/>
          <w:szCs w:val="12"/>
          <w:color w:val="auto"/>
        </w:rPr>
        <w:t>, that neither this Agreement nor any of a party’s rights or obligations hereunder may be assigned or delegated by such party without the prior written consent of the</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101" w:name="page102"/>
    <w:bookmarkEnd w:id="101"/>
    <w:p>
      <w:pPr>
        <w:ind w:left="840" w:right="839"/>
        <w:spacing w:after="0" w:line="29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33" w:lineRule="exact"/>
        <w:rPr>
          <w:sz w:val="20"/>
          <w:szCs w:val="20"/>
          <w:color w:val="auto"/>
        </w:rPr>
      </w:pPr>
    </w:p>
    <w:p>
      <w:pPr>
        <w:ind w:left="840" w:right="919" w:firstLine="285"/>
        <w:spacing w:after="0" w:line="321" w:lineRule="auto"/>
        <w:tabs>
          <w:tab w:leader="none" w:pos="1315" w:val="left"/>
        </w:tabs>
        <w:numPr>
          <w:ilvl w:val="0"/>
          <w:numId w:val="129"/>
        </w:numPr>
        <w:rPr>
          <w:rFonts w:ascii="Arial" w:cs="Arial" w:eastAsia="Arial" w:hAnsi="Arial"/>
          <w:sz w:val="10"/>
          <w:szCs w:val="10"/>
          <w:color w:val="auto"/>
        </w:rPr>
      </w:pPr>
      <w:r>
        <w:rPr>
          <w:rFonts w:ascii="Arial" w:cs="Arial" w:eastAsia="Arial" w:hAnsi="Arial"/>
          <w:sz w:val="10"/>
          <w:szCs w:val="10"/>
          <w:u w:val="single" w:color="auto"/>
          <w:color w:val="auto"/>
        </w:rPr>
        <w:t>No Waivers</w:t>
      </w:r>
      <w:r>
        <w:rPr>
          <w:rFonts w:ascii="Arial" w:cs="Arial" w:eastAsia="Arial" w:hAnsi="Arial"/>
          <w:sz w:val="10"/>
          <w:szCs w:val="10"/>
          <w:color w:val="auto"/>
        </w:rPr>
        <w:t>. No waivers of any breach of this Agreement extended by the Company or Zordich to Stockholder shall be construed as a waiver of any rights or remedies of the Company or Zordich, as applicable, with respect to any other stockholder of Zordich who has executed an agreement substantially in the form of this Agreement with respect to Shares held or subsequently held by such stockholder or with respect to any subsequent breach of the Stockholder or any other such stockholder of Zordich. No waiver of any provisions hereof by any party shall be deemed a waiver of any other provisions hereof by any such party, nor shall any such waiver be deemed a continuing waiver of any provision hereof by such party.</w:t>
      </w:r>
    </w:p>
    <w:p>
      <w:pPr>
        <w:spacing w:after="0" w:line="25" w:lineRule="exact"/>
        <w:rPr>
          <w:rFonts w:ascii="Arial" w:cs="Arial" w:eastAsia="Arial" w:hAnsi="Arial"/>
          <w:sz w:val="10"/>
          <w:szCs w:val="10"/>
          <w:color w:val="auto"/>
        </w:rPr>
      </w:pPr>
    </w:p>
    <w:p>
      <w:pPr>
        <w:ind w:left="840" w:right="879" w:firstLine="285"/>
        <w:spacing w:after="0" w:line="254" w:lineRule="auto"/>
        <w:tabs>
          <w:tab w:leader="none" w:pos="1315"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Applicable Law; Jurisdiction</w:t>
      </w:r>
      <w:r>
        <w:rPr>
          <w:rFonts w:ascii="Arial" w:cs="Arial" w:eastAsia="Arial" w:hAnsi="Arial"/>
          <w:sz w:val="12"/>
          <w:szCs w:val="12"/>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Arial" w:cs="Arial" w:eastAsia="Arial" w:hAnsi="Arial"/>
          <w:sz w:val="12"/>
          <w:szCs w:val="12"/>
          <w:u w:val="single" w:color="auto"/>
          <w:color w:val="auto"/>
        </w:rPr>
        <w:t>Section 19</w:t>
      </w:r>
      <w:r>
        <w:rPr>
          <w:rFonts w:ascii="Arial" w:cs="Arial" w:eastAsia="Arial" w:hAnsi="Arial"/>
          <w:sz w:val="12"/>
          <w:szCs w:val="12"/>
          <w:color w:val="auto"/>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Arial" w:cs="Arial" w:eastAsia="Arial" w:hAnsi="Arial"/>
          <w:sz w:val="12"/>
          <w:szCs w:val="12"/>
          <w:u w:val="single" w:color="auto"/>
          <w:color w:val="auto"/>
        </w:rPr>
        <w:t>Section 15</w:t>
      </w:r>
      <w:r>
        <w:rPr>
          <w:rFonts w:ascii="Arial" w:cs="Arial" w:eastAsia="Arial" w:hAnsi="Arial"/>
          <w:sz w:val="12"/>
          <w:szCs w:val="12"/>
          <w:color w:val="auto"/>
        </w:rPr>
        <w:t xml:space="preserve"> of this Agreement.</w:t>
      </w:r>
    </w:p>
    <w:p>
      <w:pPr>
        <w:spacing w:after="0" w:line="57" w:lineRule="exact"/>
        <w:rPr>
          <w:rFonts w:ascii="Arial" w:cs="Arial" w:eastAsia="Arial" w:hAnsi="Arial"/>
          <w:sz w:val="12"/>
          <w:szCs w:val="12"/>
          <w:color w:val="auto"/>
        </w:rPr>
      </w:pPr>
    </w:p>
    <w:p>
      <w:pPr>
        <w:ind w:left="840" w:right="839" w:firstLine="285"/>
        <w:spacing w:after="0" w:line="277" w:lineRule="auto"/>
        <w:tabs>
          <w:tab w:leader="none" w:pos="1315"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Waiver of Jury Trial</w:t>
      </w:r>
      <w:r>
        <w:rPr>
          <w:rFonts w:ascii="Arial" w:cs="Arial" w:eastAsia="Arial" w:hAnsi="Arial"/>
          <w:sz w:val="12"/>
          <w:szCs w:val="12"/>
          <w:color w:val="auto"/>
        </w:rPr>
        <w:t>. The parties hereto hereby waive any right to trial by jury with respect to any action or proceeding related to or arising out of this Agreement, any document executed in connection herewith and the matters contemplated hereby and thereby.</w:t>
      </w:r>
    </w:p>
    <w:p>
      <w:pPr>
        <w:spacing w:after="0" w:line="42" w:lineRule="exact"/>
        <w:rPr>
          <w:rFonts w:ascii="Arial" w:cs="Arial" w:eastAsia="Arial" w:hAnsi="Arial"/>
          <w:sz w:val="12"/>
          <w:szCs w:val="12"/>
          <w:color w:val="auto"/>
        </w:rPr>
      </w:pPr>
    </w:p>
    <w:p>
      <w:pPr>
        <w:ind w:left="840" w:right="859" w:firstLine="285"/>
        <w:spacing w:after="0" w:line="257" w:lineRule="auto"/>
        <w:tabs>
          <w:tab w:leader="none" w:pos="1315"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No Agreement Until Executed</w:t>
      </w:r>
      <w:r>
        <w:rPr>
          <w:rFonts w:ascii="Arial" w:cs="Arial" w:eastAsia="Arial" w:hAnsi="Arial"/>
          <w:sz w:val="12"/>
          <w:szCs w:val="12"/>
          <w:color w:val="auto"/>
        </w:rPr>
        <w:t>. Irrespective of negotiations among the parties or the exchanging of drafts of this Agreement, this Agreement shall not constitute or be deemed to evidence a contract, agreement, arrangement or understanding between the parties hereto unless and until (a) the Zordich Board has approved, for purposes of any applicable anti-takeover laws and regulations and any applicable provision of the Certificate of Incorporation of Zordich, the Merger Agreement and the transactions contemplated by the Merger Agreement, (b) the Merger Agreement is executed by all parties thereto, and (c) this Agreement is executed by all parties hereto.</w:t>
      </w:r>
    </w:p>
    <w:p>
      <w:pPr>
        <w:spacing w:after="0" w:line="55" w:lineRule="exact"/>
        <w:rPr>
          <w:rFonts w:ascii="Arial" w:cs="Arial" w:eastAsia="Arial" w:hAnsi="Arial"/>
          <w:sz w:val="12"/>
          <w:szCs w:val="12"/>
          <w:color w:val="auto"/>
        </w:rPr>
      </w:pPr>
    </w:p>
    <w:p>
      <w:pPr>
        <w:jc w:val="both"/>
        <w:ind w:left="840" w:right="919" w:firstLine="285"/>
        <w:spacing w:after="0" w:line="264" w:lineRule="auto"/>
        <w:tabs>
          <w:tab w:leader="none" w:pos="1315"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Entire Agreement; Counterparts; Exchanges by Facsimile</w:t>
      </w:r>
      <w:r>
        <w:rPr>
          <w:rFonts w:ascii="Arial" w:cs="Arial" w:eastAsia="Arial" w:hAnsi="Arial"/>
          <w:sz w:val="12"/>
          <w:szCs w:val="12"/>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30" w:right="1440" w:bottom="1440" w:gutter="0" w:footer="0" w:header="0"/>
        </w:sectPr>
      </w:pPr>
    </w:p>
    <w:bookmarkStart w:id="102" w:name="page103"/>
    <w:bookmarkEnd w:id="102"/>
    <w:p>
      <w:pPr>
        <w:jc w:val="both"/>
        <w:ind w:left="840" w:right="91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several counterparts, each of which shall be deemed an original and all of which shall constitute one and the same instrument. The exchange of a fully executed Agreement (in counterparts or otherwise) by all parties by facsimile or electronic transmission via “.pdf’ shall be sufficient to bind the parties to the terms and conditions of this Agreement.</w:t>
      </w:r>
    </w:p>
    <w:p>
      <w:pPr>
        <w:spacing w:after="0" w:line="50" w:lineRule="exact"/>
        <w:rPr>
          <w:sz w:val="20"/>
          <w:szCs w:val="20"/>
          <w:color w:val="auto"/>
        </w:rPr>
      </w:pPr>
    </w:p>
    <w:p>
      <w:pPr>
        <w:ind w:left="840" w:right="939" w:firstLine="285"/>
        <w:spacing w:after="0" w:line="277" w:lineRule="auto"/>
        <w:tabs>
          <w:tab w:leader="none" w:pos="1315" w:val="left"/>
        </w:tabs>
        <w:numPr>
          <w:ilvl w:val="0"/>
          <w:numId w:val="130"/>
        </w:numPr>
        <w:rPr>
          <w:rFonts w:ascii="Arial" w:cs="Arial" w:eastAsia="Arial" w:hAnsi="Arial"/>
          <w:sz w:val="12"/>
          <w:szCs w:val="12"/>
          <w:color w:val="auto"/>
        </w:rPr>
      </w:pPr>
      <w:r>
        <w:rPr>
          <w:rFonts w:ascii="Arial" w:cs="Arial" w:eastAsia="Arial" w:hAnsi="Arial"/>
          <w:sz w:val="12"/>
          <w:szCs w:val="12"/>
          <w:u w:val="single" w:color="auto"/>
          <w:color w:val="auto"/>
        </w:rPr>
        <w:t>Amendment</w:t>
      </w:r>
      <w:r>
        <w:rPr>
          <w:rFonts w:ascii="Arial" w:cs="Arial" w:eastAsia="Arial" w:hAnsi="Arial"/>
          <w:sz w:val="12"/>
          <w:szCs w:val="12"/>
          <w:color w:val="auto"/>
        </w:rPr>
        <w:t>. This Agreement may not be amended, supplemented or modified, and no provisions hereof may be modified or waived, except by an instrument in writing signed on behalf of each party hereto.</w:t>
      </w:r>
    </w:p>
    <w:p>
      <w:pPr>
        <w:spacing w:after="0" w:line="42" w:lineRule="exact"/>
        <w:rPr>
          <w:rFonts w:ascii="Arial" w:cs="Arial" w:eastAsia="Arial" w:hAnsi="Arial"/>
          <w:sz w:val="12"/>
          <w:szCs w:val="12"/>
          <w:color w:val="auto"/>
        </w:rPr>
      </w:pPr>
    </w:p>
    <w:p>
      <w:pPr>
        <w:ind w:left="840" w:right="919" w:firstLine="285"/>
        <w:spacing w:after="0" w:line="264" w:lineRule="auto"/>
        <w:tabs>
          <w:tab w:leader="none" w:pos="1315" w:val="left"/>
        </w:tabs>
        <w:numPr>
          <w:ilvl w:val="0"/>
          <w:numId w:val="130"/>
        </w:numPr>
        <w:rPr>
          <w:rFonts w:ascii="Arial" w:cs="Arial" w:eastAsia="Arial" w:hAnsi="Arial"/>
          <w:sz w:val="12"/>
          <w:szCs w:val="12"/>
          <w:color w:val="auto"/>
        </w:rPr>
      </w:pPr>
      <w:r>
        <w:rPr>
          <w:rFonts w:ascii="Arial" w:cs="Arial" w:eastAsia="Arial" w:hAnsi="Arial"/>
          <w:sz w:val="12"/>
          <w:szCs w:val="12"/>
          <w:u w:val="single" w:color="auto"/>
          <w:color w:val="auto"/>
        </w:rPr>
        <w:t>Definition of Merger Agreement</w:t>
      </w:r>
      <w:r>
        <w:rPr>
          <w:rFonts w:ascii="Arial" w:cs="Arial" w:eastAsia="Arial" w:hAnsi="Arial"/>
          <w:sz w:val="12"/>
          <w:szCs w:val="12"/>
          <w:color w:val="auto"/>
        </w:rPr>
        <w:t>. For purposes of this Agreement, the term “</w:t>
      </w:r>
      <w:r>
        <w:rPr>
          <w:rFonts w:ascii="Arial" w:cs="Arial" w:eastAsia="Arial" w:hAnsi="Arial"/>
          <w:sz w:val="12"/>
          <w:szCs w:val="12"/>
          <w:u w:val="single" w:color="auto"/>
          <w:color w:val="auto"/>
        </w:rPr>
        <w:t>Merger Agreement</w:t>
      </w:r>
      <w:r>
        <w:rPr>
          <w:rFonts w:ascii="Arial" w:cs="Arial" w:eastAsia="Arial" w:hAnsi="Arial"/>
          <w:sz w:val="12"/>
          <w:szCs w:val="12"/>
          <w:color w:val="auto"/>
        </w:rPr>
        <w:t>” may include such agreement as amended or modified as long as such amendments or modifications (a) do not (i) change the form of consideration or (ii) change the Exchange Ratio in a manner adverse to Stockholder, or (b) have been agreed to in writing by Stockholder.</w:t>
      </w:r>
    </w:p>
    <w:p>
      <w:pPr>
        <w:spacing w:after="0" w:line="50" w:lineRule="exact"/>
        <w:rPr>
          <w:rFonts w:ascii="Arial" w:cs="Arial" w:eastAsia="Arial" w:hAnsi="Arial"/>
          <w:sz w:val="12"/>
          <w:szCs w:val="12"/>
          <w:color w:val="auto"/>
        </w:rPr>
      </w:pPr>
    </w:p>
    <w:p>
      <w:pPr>
        <w:ind w:left="1300" w:hanging="175"/>
        <w:spacing w:after="0"/>
        <w:tabs>
          <w:tab w:leader="none" w:pos="1300" w:val="left"/>
        </w:tabs>
        <w:numPr>
          <w:ilvl w:val="0"/>
          <w:numId w:val="130"/>
        </w:numPr>
        <w:rPr>
          <w:rFonts w:ascii="Arial" w:cs="Arial" w:eastAsia="Arial" w:hAnsi="Arial"/>
          <w:sz w:val="12"/>
          <w:szCs w:val="12"/>
          <w:color w:val="auto"/>
        </w:rPr>
      </w:pPr>
      <w:r>
        <w:rPr>
          <w:rFonts w:ascii="Arial" w:cs="Arial" w:eastAsia="Arial" w:hAnsi="Arial"/>
          <w:sz w:val="12"/>
          <w:szCs w:val="12"/>
          <w:u w:val="single" w:color="auto"/>
          <w:color w:val="auto"/>
        </w:rPr>
        <w:t>Construction</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1120" w:right="1119" w:firstLine="288"/>
        <w:spacing w:after="0" w:line="264" w:lineRule="auto"/>
        <w:tabs>
          <w:tab w:leader="none" w:pos="1566" w:val="left"/>
        </w:tabs>
        <w:numPr>
          <w:ilvl w:val="1"/>
          <w:numId w:val="130"/>
        </w:numPr>
        <w:rPr>
          <w:rFonts w:ascii="Arial" w:cs="Arial" w:eastAsia="Arial" w:hAnsi="Arial"/>
          <w:sz w:val="12"/>
          <w:szCs w:val="12"/>
          <w:color w:val="auto"/>
        </w:rPr>
      </w:pPr>
      <w:r>
        <w:rPr>
          <w:rFonts w:ascii="Arial" w:cs="Arial" w:eastAsia="Arial" w:hAnsi="Arial"/>
          <w:sz w:val="12"/>
          <w:szCs w:val="12"/>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50" w:lineRule="exact"/>
        <w:rPr>
          <w:rFonts w:ascii="Arial" w:cs="Arial" w:eastAsia="Arial" w:hAnsi="Arial"/>
          <w:sz w:val="12"/>
          <w:szCs w:val="12"/>
          <w:color w:val="auto"/>
        </w:rPr>
      </w:pPr>
    </w:p>
    <w:p>
      <w:pPr>
        <w:ind w:left="1120" w:right="939" w:firstLine="288"/>
        <w:spacing w:after="0" w:line="277" w:lineRule="auto"/>
        <w:tabs>
          <w:tab w:leader="none" w:pos="1573" w:val="left"/>
        </w:tabs>
        <w:numPr>
          <w:ilvl w:val="1"/>
          <w:numId w:val="130"/>
        </w:numPr>
        <w:rPr>
          <w:rFonts w:ascii="Arial" w:cs="Arial" w:eastAsia="Arial" w:hAnsi="Arial"/>
          <w:sz w:val="12"/>
          <w:szCs w:val="12"/>
          <w:color w:val="auto"/>
        </w:rPr>
      </w:pPr>
      <w:r>
        <w:rPr>
          <w:rFonts w:ascii="Arial" w:cs="Arial" w:eastAsia="Arial" w:hAnsi="Arial"/>
          <w:sz w:val="12"/>
          <w:szCs w:val="12"/>
          <w:color w:val="auto"/>
        </w:rPr>
        <w:t>The parties hereto agree that any rule of construction to the effect that ambiguities are to be resolved against the drafting party shall not be applied in the construction or interpretation of this Agreement.</w:t>
      </w:r>
    </w:p>
    <w:p>
      <w:pPr>
        <w:spacing w:after="0" w:line="42" w:lineRule="exact"/>
        <w:rPr>
          <w:rFonts w:ascii="Arial" w:cs="Arial" w:eastAsia="Arial" w:hAnsi="Arial"/>
          <w:sz w:val="12"/>
          <w:szCs w:val="12"/>
          <w:color w:val="auto"/>
        </w:rPr>
      </w:pPr>
    </w:p>
    <w:p>
      <w:pPr>
        <w:ind w:left="1120" w:right="819" w:firstLine="288"/>
        <w:spacing w:after="0" w:line="277" w:lineRule="auto"/>
        <w:tabs>
          <w:tab w:leader="none" w:pos="1566" w:val="left"/>
        </w:tabs>
        <w:numPr>
          <w:ilvl w:val="1"/>
          <w:numId w:val="130"/>
        </w:numPr>
        <w:rPr>
          <w:rFonts w:ascii="Arial" w:cs="Arial" w:eastAsia="Arial" w:hAnsi="Arial"/>
          <w:sz w:val="12"/>
          <w:szCs w:val="12"/>
          <w:color w:val="auto"/>
        </w:rPr>
      </w:pPr>
      <w:r>
        <w:rPr>
          <w:rFonts w:ascii="Arial" w:cs="Arial" w:eastAsia="Arial" w:hAnsi="Arial"/>
          <w:sz w:val="12"/>
          <w:szCs w:val="12"/>
          <w:color w:val="auto"/>
        </w:rPr>
        <w:t>As used in this Agreement, the words “include” and “including,” and variations thereof, shall not be deemed to be terms of limitation, but rather shall be deemed to be followed by the words “without limitation.”</w:t>
      </w:r>
    </w:p>
    <w:p>
      <w:pPr>
        <w:spacing w:after="0" w:line="42" w:lineRule="exact"/>
        <w:rPr>
          <w:rFonts w:ascii="Arial" w:cs="Arial" w:eastAsia="Arial" w:hAnsi="Arial"/>
          <w:sz w:val="12"/>
          <w:szCs w:val="12"/>
          <w:color w:val="auto"/>
        </w:rPr>
      </w:pPr>
    </w:p>
    <w:p>
      <w:pPr>
        <w:ind w:left="1120" w:right="1219" w:firstLine="288"/>
        <w:spacing w:after="0" w:line="277" w:lineRule="auto"/>
        <w:tabs>
          <w:tab w:leader="none" w:pos="1573" w:val="left"/>
        </w:tabs>
        <w:numPr>
          <w:ilvl w:val="1"/>
          <w:numId w:val="130"/>
        </w:numPr>
        <w:rPr>
          <w:rFonts w:ascii="Arial" w:cs="Arial" w:eastAsia="Arial" w:hAnsi="Arial"/>
          <w:sz w:val="12"/>
          <w:szCs w:val="12"/>
          <w:color w:val="auto"/>
        </w:rPr>
      </w:pPr>
      <w:r>
        <w:rPr>
          <w:rFonts w:ascii="Arial" w:cs="Arial" w:eastAsia="Arial" w:hAnsi="Arial"/>
          <w:sz w:val="12"/>
          <w:szCs w:val="12"/>
          <w:color w:val="auto"/>
        </w:rPr>
        <w:t>Except as otherwise indicated, all references in this Agreement to “Sections,” “Exhibits” and “Schedules” are intended to refer to Sections of this Agreement and Exhibits and Schedules to this Agreement, respectively.</w:t>
      </w:r>
    </w:p>
    <w:p>
      <w:pPr>
        <w:spacing w:after="0" w:line="42" w:lineRule="exact"/>
        <w:rPr>
          <w:rFonts w:ascii="Arial" w:cs="Arial" w:eastAsia="Arial" w:hAnsi="Arial"/>
          <w:sz w:val="12"/>
          <w:szCs w:val="12"/>
          <w:color w:val="auto"/>
        </w:rPr>
      </w:pPr>
    </w:p>
    <w:p>
      <w:pPr>
        <w:ind w:left="1120" w:right="1119" w:firstLine="288"/>
        <w:spacing w:after="0" w:line="277" w:lineRule="auto"/>
        <w:tabs>
          <w:tab w:leader="none" w:pos="1566" w:val="left"/>
        </w:tabs>
        <w:numPr>
          <w:ilvl w:val="1"/>
          <w:numId w:val="130"/>
        </w:numPr>
        <w:rPr>
          <w:rFonts w:ascii="Arial" w:cs="Arial" w:eastAsia="Arial" w:hAnsi="Arial"/>
          <w:sz w:val="12"/>
          <w:szCs w:val="12"/>
          <w:color w:val="auto"/>
        </w:rPr>
      </w:pPr>
      <w:r>
        <w:rPr>
          <w:rFonts w:ascii="Arial" w:cs="Arial" w:eastAsia="Arial" w:hAnsi="Arial"/>
          <w:sz w:val="12"/>
          <w:szCs w:val="12"/>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Remainder of Page has Intentionally Been Left Blank</w:t>
      </w:r>
      <w:r>
        <w:rPr>
          <w:rFonts w:ascii="Arial" w:cs="Arial" w:eastAsia="Arial" w:hAnsi="Arial"/>
          <w:sz w:val="12"/>
          <w:szCs w:val="12"/>
          <w:color w:val="auto"/>
        </w:rPr>
        <w:t>]</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103" w:name="page104"/>
    <w:bookmarkEnd w:id="10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EXECUTED as of the date first above written.</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1"/>
          <w:szCs w:val="11"/>
          <w:color w:val="auto"/>
        </w:rPr>
        <w:t>[STOCKHOLDER]</w:t>
      </w:r>
    </w:p>
    <w:p>
      <w:pPr>
        <w:spacing w:after="0" w:line="162"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-86995</wp:posOffset>
            </wp:positionV>
            <wp:extent cx="164528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15240</wp:posOffset>
            </wp:positionV>
            <wp:extent cx="164528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45285" cy="571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-81280</wp:posOffset>
            </wp:positionV>
            <wp:extent cx="164528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Signature Page to Voting Agreement</w:t>
      </w:r>
    </w:p>
    <w:p>
      <w:pPr>
        <w:sectPr>
          <w:pgSz w:w="11900" w:h="16838" w:orient="portrait"/>
          <w:cols w:equalWidth="0" w:num="1">
            <w:col w:w="9019"/>
          </w:cols>
          <w:pgMar w:left="1440" w:top="230" w:right="1440" w:bottom="1440" w:gutter="0" w:footer="0" w:header="0"/>
        </w:sectPr>
      </w:pPr>
    </w:p>
    <w:bookmarkStart w:id="104" w:name="page105"/>
    <w:bookmarkEnd w:id="104"/>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EXECUTED as of the date first above written.</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ZAFGEN, INC.</w:t>
      </w:r>
    </w:p>
    <w:p>
      <w:pPr>
        <w:spacing w:after="0" w:line="15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-86995</wp:posOffset>
            </wp:positionV>
            <wp:extent cx="164528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15240</wp:posOffset>
            </wp:positionV>
            <wp:extent cx="164528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45285" cy="571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-81280</wp:posOffset>
            </wp:positionV>
            <wp:extent cx="164528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spacing w:after="0" w:line="145"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CHONDRIAL THERAPEUTICS, INC.</w:t>
      </w:r>
    </w:p>
    <w:p>
      <w:pPr>
        <w:spacing w:after="0" w:line="15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-86995</wp:posOffset>
            </wp:positionV>
            <wp:extent cx="164528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15240</wp:posOffset>
            </wp:positionV>
            <wp:extent cx="164528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45285" cy="571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-81280</wp:posOffset>
            </wp:positionV>
            <wp:extent cx="164528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45285" cy="5715"/>
                    </a:xfrm>
                    <a:prstGeom prst="rect">
                      <a:avLst/>
                    </a:prstGeom>
                    <a:noFill/>
                  </pic:spPr>
                </pic:pic>
              </a:graphicData>
            </a:graphic>
          </wp:anchor>
        </w:drawing>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Signature Page to Voting Agreement</w:t>
      </w:r>
    </w:p>
    <w:p>
      <w:pPr>
        <w:sectPr>
          <w:pgSz w:w="11900" w:h="16838" w:orient="portrait"/>
          <w:cols w:equalWidth="0" w:num="1">
            <w:col w:w="9019"/>
          </w:cols>
          <w:pgMar w:left="1440" w:top="230"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1</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040" w:type="dxa"/>
            <w:vAlign w:val="bottom"/>
            <w:vMerge w:val="restart"/>
          </w:tcPr>
          <w:p>
            <w:pPr>
              <w:spacing w:after="0"/>
              <w:rPr>
                <w:sz w:val="20"/>
                <w:szCs w:val="20"/>
                <w:color w:val="auto"/>
              </w:rPr>
            </w:pPr>
            <w:r>
              <w:rPr>
                <w:rFonts w:ascii="Arial" w:cs="Arial" w:eastAsia="Arial" w:hAnsi="Arial"/>
                <w:sz w:val="10"/>
                <w:szCs w:val="10"/>
                <w:b w:val="1"/>
                <w:bCs w:val="1"/>
                <w:color w:val="auto"/>
                <w:w w:val="84"/>
              </w:rPr>
              <w:t>Name, Address and Email Address of Stockholder</w:t>
            </w:r>
          </w:p>
        </w:tc>
        <w:tc>
          <w:tcPr>
            <w:tcW w:w="3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Zordich</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40" w:type="dxa"/>
            <w:vAlign w:val="bottom"/>
            <w:vMerge w:val="continue"/>
          </w:tcPr>
          <w:p>
            <w:pPr>
              <w:spacing w:after="0"/>
              <w:rPr>
                <w:sz w:val="9"/>
                <w:szCs w:val="9"/>
                <w:color w:val="auto"/>
              </w:rPr>
            </w:pPr>
          </w:p>
        </w:tc>
        <w:tc>
          <w:tcPr>
            <w:tcW w:w="3840" w:type="dxa"/>
            <w:vAlign w:val="bottom"/>
          </w:tcPr>
          <w:p>
            <w:pPr>
              <w:spacing w:after="0"/>
              <w:rPr>
                <w:sz w:val="9"/>
                <w:szCs w:val="9"/>
                <w:color w:val="auto"/>
              </w:rPr>
            </w:pPr>
          </w:p>
        </w:tc>
        <w:tc>
          <w:tcPr>
            <w:tcW w:w="280" w:type="dxa"/>
            <w:vAlign w:val="bottom"/>
          </w:tcPr>
          <w:p>
            <w:pPr>
              <w:spacing w:after="0" w:line="105" w:lineRule="exact"/>
              <w:rPr>
                <w:sz w:val="20"/>
                <w:szCs w:val="20"/>
                <w:color w:val="auto"/>
              </w:rPr>
            </w:pPr>
            <w:r>
              <w:rPr>
                <w:rFonts w:ascii="Arial" w:cs="Arial" w:eastAsia="Arial" w:hAnsi="Arial"/>
                <w:sz w:val="10"/>
                <w:szCs w:val="10"/>
                <w:b w:val="1"/>
                <w:bCs w:val="1"/>
                <w:color w:val="auto"/>
                <w:w w:val="77"/>
              </w:rPr>
              <w:t>Shares</w:t>
            </w:r>
          </w:p>
        </w:tc>
        <w:tc>
          <w:tcPr>
            <w:tcW w:w="320" w:type="dxa"/>
            <w:vAlign w:val="bottom"/>
          </w:tcPr>
          <w:p>
            <w:pPr>
              <w:spacing w:after="0"/>
              <w:rPr>
                <w:sz w:val="9"/>
                <w:szCs w:val="9"/>
                <w:color w:val="auto"/>
              </w:rPr>
            </w:pPr>
          </w:p>
        </w:tc>
        <w:tc>
          <w:tcPr>
            <w:tcW w:w="64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Options</w:t>
            </w:r>
          </w:p>
        </w:tc>
        <w:tc>
          <w:tcPr>
            <w:tcW w:w="240" w:type="dxa"/>
            <w:vAlign w:val="bottom"/>
          </w:tcPr>
          <w:p>
            <w:pPr>
              <w:spacing w:after="0" w:line="105" w:lineRule="exact"/>
              <w:rPr>
                <w:sz w:val="20"/>
                <w:szCs w:val="20"/>
                <w:color w:val="auto"/>
              </w:rPr>
            </w:pPr>
            <w:r>
              <w:rPr>
                <w:rFonts w:ascii="Arial" w:cs="Arial" w:eastAsia="Arial" w:hAnsi="Arial"/>
                <w:sz w:val="10"/>
                <w:szCs w:val="10"/>
                <w:b w:val="1"/>
                <w:bCs w:val="1"/>
                <w:color w:val="auto"/>
                <w:w w:val="82"/>
              </w:rPr>
              <w:t>RSUs</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0"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EXHIBIT B</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LOCK-UP AGREEMENT</w:t>
      </w:r>
    </w:p>
    <w:p>
      <w:pPr>
        <w:sectPr>
          <w:pgSz w:w="11900" w:h="16838" w:orient="portrait"/>
          <w:cols w:equalWidth="0" w:num="1">
            <w:col w:w="9019"/>
          </w:cols>
          <w:pgMar w:left="1440" w:top="226" w:right="1440"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LOCK-UP AGREEMENT</w:t>
      </w:r>
    </w:p>
    <w:p>
      <w:pPr>
        <w:spacing w:after="0" w:line="151" w:lineRule="exact"/>
        <w:rPr>
          <w:sz w:val="20"/>
          <w:szCs w:val="20"/>
          <w:color w:val="auto"/>
        </w:rPr>
      </w:pPr>
    </w:p>
    <w:p>
      <w:pPr>
        <w:jc w:val="right"/>
        <w:ind w:right="819"/>
        <w:spacing w:after="0"/>
        <w:rPr>
          <w:sz w:val="20"/>
          <w:szCs w:val="20"/>
          <w:color w:val="auto"/>
        </w:rPr>
      </w:pPr>
      <w:r>
        <w:rPr>
          <w:rFonts w:ascii="Arial" w:cs="Arial" w:eastAsia="Arial" w:hAnsi="Arial"/>
          <w:sz w:val="12"/>
          <w:szCs w:val="12"/>
          <w:color w:val="auto"/>
        </w:rPr>
        <w:t>December 17, 2019</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Zafgen, Inc.</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 Center Plaza, Suite 610</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Boston, Massachusetts 02108</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1"/>
          <w:szCs w:val="11"/>
          <w:color w:val="auto"/>
        </w:rPr>
        <w:t>The undersigned signatory of this lock-up agreement (this “</w:t>
      </w:r>
      <w:r>
        <w:rPr>
          <w:rFonts w:ascii="Arial" w:cs="Arial" w:eastAsia="Arial" w:hAnsi="Arial"/>
          <w:sz w:val="11"/>
          <w:szCs w:val="11"/>
          <w:b w:val="1"/>
          <w:bCs w:val="1"/>
          <w:i w:val="1"/>
          <w:iCs w:val="1"/>
          <w:color w:val="auto"/>
        </w:rPr>
        <w:t>Lock-Up Agreement</w:t>
      </w:r>
      <w:r>
        <w:rPr>
          <w:rFonts w:ascii="Arial" w:cs="Arial" w:eastAsia="Arial" w:hAnsi="Arial"/>
          <w:sz w:val="11"/>
          <w:szCs w:val="11"/>
          <w:color w:val="auto"/>
        </w:rPr>
        <w:t>”) understands that Zafgen, Inc., a Delaware corporation</w:t>
      </w:r>
    </w:p>
    <w:p>
      <w:pPr>
        <w:spacing w:after="0" w:line="27" w:lineRule="exact"/>
        <w:rPr>
          <w:sz w:val="20"/>
          <w:szCs w:val="20"/>
          <w:color w:val="auto"/>
        </w:rPr>
      </w:pPr>
    </w:p>
    <w:p>
      <w:pPr>
        <w:ind w:left="840" w:right="919"/>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Zordich</w:t>
      </w:r>
      <w:r>
        <w:rPr>
          <w:rFonts w:ascii="Arial" w:cs="Arial" w:eastAsia="Arial" w:hAnsi="Arial"/>
          <w:sz w:val="12"/>
          <w:szCs w:val="12"/>
          <w:color w:val="auto"/>
        </w:rPr>
        <w:t>”), has entered into an Agreement and Plan of Merger, dated as of December 17, 2019 (as the same may be amended from time to time, the “</w:t>
      </w:r>
      <w:r>
        <w:rPr>
          <w:rFonts w:ascii="Arial" w:cs="Arial" w:eastAsia="Arial" w:hAnsi="Arial"/>
          <w:sz w:val="12"/>
          <w:szCs w:val="12"/>
          <w:b w:val="1"/>
          <w:bCs w:val="1"/>
          <w:i w:val="1"/>
          <w:iCs w:val="1"/>
          <w:color w:val="auto"/>
        </w:rPr>
        <w:t>Merger Agreement</w:t>
      </w:r>
      <w:r>
        <w:rPr>
          <w:rFonts w:ascii="Arial" w:cs="Arial" w:eastAsia="Arial" w:hAnsi="Arial"/>
          <w:sz w:val="12"/>
          <w:szCs w:val="12"/>
          <w:color w:val="auto"/>
        </w:rPr>
        <w:t>”) with Zordich Merger Sub, Inc., a Delaware corporation and a wholly owned subsidiary of Zordich, and Chondrial Therapeutics, Inc., a Delaware corporation. Capitalized terms used but not otherwise defined herein shall have the respective meanings ascribed to such terms in the Merger Agreement.</w:t>
      </w:r>
    </w:p>
    <w:p>
      <w:pPr>
        <w:spacing w:after="0" w:line="129" w:lineRule="exact"/>
        <w:rPr>
          <w:sz w:val="20"/>
          <w:szCs w:val="20"/>
          <w:color w:val="auto"/>
        </w:rPr>
      </w:pPr>
    </w:p>
    <w:p>
      <w:pPr>
        <w:ind w:left="840" w:right="859" w:firstLine="295"/>
        <w:spacing w:after="0" w:line="290" w:lineRule="auto"/>
        <w:rPr>
          <w:sz w:val="20"/>
          <w:szCs w:val="20"/>
          <w:color w:val="auto"/>
        </w:rPr>
      </w:pPr>
      <w:r>
        <w:rPr>
          <w:rFonts w:ascii="Arial" w:cs="Arial" w:eastAsia="Arial" w:hAnsi="Arial"/>
          <w:sz w:val="11"/>
          <w:szCs w:val="11"/>
          <w:color w:val="auto"/>
        </w:rPr>
        <w:t>As a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Zordich, the undersigned will not, during the period commencing upon the Closing and ending on the date that is 180 days after the Closing Date (the “</w:t>
      </w:r>
      <w:r>
        <w:rPr>
          <w:rFonts w:ascii="Arial" w:cs="Arial" w:eastAsia="Arial" w:hAnsi="Arial"/>
          <w:sz w:val="11"/>
          <w:szCs w:val="11"/>
          <w:b w:val="1"/>
          <w:bCs w:val="1"/>
          <w:i w:val="1"/>
          <w:iCs w:val="1"/>
          <w:color w:val="auto"/>
        </w:rPr>
        <w:t>Restricted Period</w:t>
      </w:r>
      <w:r>
        <w:rPr>
          <w:rFonts w:ascii="Arial" w:cs="Arial" w:eastAsia="Arial" w:hAnsi="Arial"/>
          <w:sz w:val="11"/>
          <w:szCs w:val="11"/>
          <w:color w:val="auto"/>
        </w:rPr>
        <w:t>”):</w:t>
      </w:r>
    </w:p>
    <w:p>
      <w:pPr>
        <w:spacing w:after="0" w:line="48" w:lineRule="exact"/>
        <w:rPr>
          <w:sz w:val="20"/>
          <w:szCs w:val="20"/>
          <w:color w:val="auto"/>
        </w:rPr>
      </w:pPr>
    </w:p>
    <w:p>
      <w:pPr>
        <w:ind w:left="1780" w:right="939" w:hanging="290"/>
        <w:spacing w:after="0" w:line="314" w:lineRule="auto"/>
        <w:tabs>
          <w:tab w:leader="none" w:pos="1780" w:val="left"/>
        </w:tabs>
        <w:numPr>
          <w:ilvl w:val="0"/>
          <w:numId w:val="131"/>
        </w:numPr>
        <w:rPr>
          <w:rFonts w:ascii="Arial" w:cs="Arial" w:eastAsia="Arial" w:hAnsi="Arial"/>
          <w:sz w:val="10"/>
          <w:szCs w:val="10"/>
          <w:color w:val="auto"/>
        </w:rPr>
      </w:pPr>
      <w:r>
        <w:rPr>
          <w:rFonts w:ascii="Arial" w:cs="Arial" w:eastAsia="Arial" w:hAnsi="Arial"/>
          <w:sz w:val="10"/>
          <w:szCs w:val="10"/>
          <w:color w:val="auto"/>
        </w:rPr>
        <w:t>offer, pledge, sell, contract to sell, sell any option or contract to purchase, purchase any option or contract to sell, grant any option, right or warrant to purchase, or otherwise transfer or dispose of, directly or indirectly, any shares of Zordich Common Stock or any securities convertible into or exercisable or exchangeable for Zordich Common Stock (including without limitation, Zordich Common Stock or such other securities which may be deemed to be beneficially owned by the undersigned in accordance with the rules and regulations of the SEC and securities of Zordich which may be issued upon exercise of a stock option or warrant or settlement of a restricted stock unit (“</w:t>
      </w:r>
      <w:r>
        <w:rPr>
          <w:rFonts w:ascii="Arial" w:cs="Arial" w:eastAsia="Arial" w:hAnsi="Arial"/>
          <w:sz w:val="10"/>
          <w:szCs w:val="10"/>
          <w:b w:val="1"/>
          <w:bCs w:val="1"/>
          <w:i w:val="1"/>
          <w:iCs w:val="1"/>
          <w:color w:val="auto"/>
        </w:rPr>
        <w:t>RSU</w:t>
      </w:r>
      <w:r>
        <w:rPr>
          <w:rFonts w:ascii="Arial" w:cs="Arial" w:eastAsia="Arial" w:hAnsi="Arial"/>
          <w:sz w:val="10"/>
          <w:szCs w:val="10"/>
          <w:color w:val="auto"/>
        </w:rPr>
        <w:t>”)) that are currently or hereafter owned by the undersigned (collectively, the “</w:t>
      </w:r>
      <w:r>
        <w:rPr>
          <w:rFonts w:ascii="Arial" w:cs="Arial" w:eastAsia="Arial" w:hAnsi="Arial"/>
          <w:sz w:val="10"/>
          <w:szCs w:val="10"/>
          <w:b w:val="1"/>
          <w:bCs w:val="1"/>
          <w:i w:val="1"/>
          <w:iCs w:val="1"/>
          <w:color w:val="auto"/>
        </w:rPr>
        <w:t>Undersigned’s Shares</w:t>
      </w:r>
      <w:r>
        <w:rPr>
          <w:rFonts w:ascii="Arial" w:cs="Arial" w:eastAsia="Arial" w:hAnsi="Arial"/>
          <w:sz w:val="10"/>
          <w:szCs w:val="10"/>
          <w:color w:val="auto"/>
        </w:rPr>
        <w:t>”), or publicly disclose the intention to make any such offer, sale, pledge, grant, transfer or disposition;</w:t>
      </w:r>
    </w:p>
    <w:p>
      <w:pPr>
        <w:spacing w:after="0" w:line="39" w:lineRule="exact"/>
        <w:rPr>
          <w:rFonts w:ascii="Arial" w:cs="Arial" w:eastAsia="Arial" w:hAnsi="Arial"/>
          <w:sz w:val="10"/>
          <w:szCs w:val="10"/>
          <w:color w:val="auto"/>
        </w:rPr>
      </w:pPr>
    </w:p>
    <w:p>
      <w:pPr>
        <w:ind w:left="1780" w:right="919" w:hanging="290"/>
        <w:spacing w:after="0" w:line="299" w:lineRule="auto"/>
        <w:tabs>
          <w:tab w:leader="none" w:pos="178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Zordich Common Stock or such other securities, in cash or otherwise; or</w:t>
      </w:r>
    </w:p>
    <w:p>
      <w:pPr>
        <w:spacing w:after="0" w:line="41" w:lineRule="exact"/>
        <w:rPr>
          <w:rFonts w:ascii="Arial" w:cs="Arial" w:eastAsia="Arial" w:hAnsi="Arial"/>
          <w:sz w:val="11"/>
          <w:szCs w:val="11"/>
          <w:color w:val="auto"/>
        </w:rPr>
      </w:pPr>
    </w:p>
    <w:p>
      <w:pPr>
        <w:ind w:left="1780" w:right="959" w:hanging="290"/>
        <w:spacing w:after="0" w:line="277" w:lineRule="auto"/>
        <w:tabs>
          <w:tab w:leader="none" w:pos="17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make any demand for or exercise any right with respect to the registration of any shares of Zordich Common Stock or any security convertible into or exercisable or exchangeable for Zordich Common Stock.</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restrictions and obligations contemplated by this Lock-Up Agreement shall not apply to:</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(a) transfers of the Undersigned’s Shares:</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108" w:name="page109"/>
    <w:bookmarkEnd w:id="108"/>
    <w:p>
      <w:pPr>
        <w:ind w:left="1780" w:right="839" w:hanging="290"/>
        <w:spacing w:after="0" w:line="284" w:lineRule="auto"/>
        <w:tabs>
          <w:tab w:leader="none" w:pos="1780" w:val="left"/>
        </w:tabs>
        <w:numPr>
          <w:ilvl w:val="0"/>
          <w:numId w:val="13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if the undersigned is a </w:t>
      </w:r>
      <w:r>
        <w:rPr>
          <w:rFonts w:ascii="Arial" w:cs="Arial" w:eastAsia="Arial" w:hAnsi="Arial"/>
          <w:sz w:val="11"/>
          <w:szCs w:val="11"/>
          <w:u w:val="single" w:color="auto"/>
          <w:color w:val="auto"/>
        </w:rPr>
        <w:t>natural person</w:t>
      </w:r>
      <w:r>
        <w:rPr>
          <w:rFonts w:ascii="Arial" w:cs="Arial" w:eastAsia="Arial" w:hAnsi="Arial"/>
          <w:sz w:val="11"/>
          <w:szCs w:val="11"/>
          <w:color w:val="auto"/>
        </w:rPr>
        <w:t>, (A) to any person related to the undersigned by blood or adoption who is an immediate family member of the undersigned, or by marriage or domestic partnership (a “</w:t>
      </w:r>
      <w:r>
        <w:rPr>
          <w:rFonts w:ascii="Arial" w:cs="Arial" w:eastAsia="Arial" w:hAnsi="Arial"/>
          <w:sz w:val="11"/>
          <w:szCs w:val="11"/>
          <w:b w:val="1"/>
          <w:bCs w:val="1"/>
          <w:i w:val="1"/>
          <w:iCs w:val="1"/>
          <w:color w:val="auto"/>
        </w:rPr>
        <w:t>Family Member</w:t>
      </w:r>
      <w:r>
        <w:rPr>
          <w:rFonts w:ascii="Arial" w:cs="Arial" w:eastAsia="Arial" w:hAnsi="Arial"/>
          <w:sz w:val="11"/>
          <w:szCs w:val="11"/>
          <w:color w:val="auto"/>
        </w:rPr>
        <w:t>”), or to a trust formed for the benefit of the undersigned or any of the undersigned’s Family Members, (B) to the undersigned’s estate, following the death of the undersigned, by will, intestacy or other operation of law, (C) as a bona fide gift to a charitable organization,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49" w:lineRule="exact"/>
        <w:rPr>
          <w:rFonts w:ascii="Arial" w:cs="Arial" w:eastAsia="Arial" w:hAnsi="Arial"/>
          <w:sz w:val="11"/>
          <w:szCs w:val="11"/>
          <w:color w:val="auto"/>
        </w:rPr>
      </w:pPr>
    </w:p>
    <w:p>
      <w:pPr>
        <w:ind w:left="1780" w:right="899" w:hanging="290"/>
        <w:spacing w:after="0" w:line="256" w:lineRule="auto"/>
        <w:tabs>
          <w:tab w:leader="none" w:pos="17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 xml:space="preserve">if the undersigned is a </w:t>
      </w:r>
      <w:r>
        <w:rPr>
          <w:rFonts w:ascii="Arial" w:cs="Arial" w:eastAsia="Arial" w:hAnsi="Arial"/>
          <w:sz w:val="12"/>
          <w:szCs w:val="12"/>
          <w:u w:val="single" w:color="auto"/>
          <w:color w:val="auto"/>
        </w:rPr>
        <w:t>corporation, partnership or other business entity</w:t>
      </w:r>
      <w:r>
        <w:rPr>
          <w:rFonts w:ascii="Arial" w:cs="Arial" w:eastAsia="Arial" w:hAnsi="Arial"/>
          <w:sz w:val="12"/>
          <w:szCs w:val="12"/>
          <w:color w:val="auto"/>
        </w:rPr>
        <w:t>, (A) to another corporation, partnership or other business entity that is an affiliate (as defined under Rule 12b-2 of the Exchange Act) of the undersigned, including investment funds or other entities under common control or management with the undersigned, (B) as a distribution or dividend to equity holders (including, without limitation, general or limited partners and members) of the undersigned (including upon the liquidation and dissolution of the undersigned pursuant to a plan of liquidation approved by the undersigned’s equity holders) or (C) as a bona fide gift to a charitable organization; or</w:t>
      </w:r>
    </w:p>
    <w:p>
      <w:pPr>
        <w:spacing w:after="0" w:line="64" w:lineRule="exact"/>
        <w:rPr>
          <w:rFonts w:ascii="Arial" w:cs="Arial" w:eastAsia="Arial" w:hAnsi="Arial"/>
          <w:sz w:val="12"/>
          <w:szCs w:val="12"/>
          <w:color w:val="auto"/>
        </w:rPr>
      </w:pPr>
    </w:p>
    <w:p>
      <w:pPr>
        <w:ind w:left="1780" w:hanging="290"/>
        <w:spacing w:after="0"/>
        <w:tabs>
          <w:tab w:leader="none" w:pos="17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 xml:space="preserve">if the undersigned is a </w:t>
      </w:r>
      <w:r>
        <w:rPr>
          <w:rFonts w:ascii="Arial" w:cs="Arial" w:eastAsia="Arial" w:hAnsi="Arial"/>
          <w:sz w:val="12"/>
          <w:szCs w:val="12"/>
          <w:u w:val="single" w:color="auto"/>
          <w:color w:val="auto"/>
        </w:rPr>
        <w:t>trust</w:t>
      </w:r>
      <w:r>
        <w:rPr>
          <w:rFonts w:ascii="Arial" w:cs="Arial" w:eastAsia="Arial" w:hAnsi="Arial"/>
          <w:sz w:val="12"/>
          <w:szCs w:val="12"/>
          <w:color w:val="auto"/>
        </w:rPr>
        <w:t>, to any grantors or beneficiaries of the trust;</w:t>
      </w:r>
    </w:p>
    <w:p>
      <w:pPr>
        <w:spacing w:after="0" w:line="151" w:lineRule="exact"/>
        <w:rPr>
          <w:sz w:val="20"/>
          <w:szCs w:val="20"/>
          <w:color w:val="auto"/>
        </w:rPr>
      </w:pPr>
    </w:p>
    <w:p>
      <w:pPr>
        <w:ind w:left="840" w:right="859"/>
        <w:spacing w:after="0" w:line="264" w:lineRule="auto"/>
        <w:rPr>
          <w:sz w:val="20"/>
          <w:szCs w:val="20"/>
          <w:color w:val="auto"/>
        </w:rPr>
      </w:pPr>
      <w:r>
        <w:rPr>
          <w:rFonts w:ascii="Arial" w:cs="Arial" w:eastAsia="Arial" w:hAnsi="Arial"/>
          <w:sz w:val="12"/>
          <w:szCs w:val="12"/>
          <w:color w:val="auto"/>
        </w:rPr>
        <w:t>provided that, in the case of any transfer or distribution pursuant to this clause (a), such transfer is not for value and each donee, heir, beneficiary or other transferee or distributee shall sign and deliver to Zordich a lock-up agreement in the form of this Lock-Up Agreement with respect to the shares of Zordich Common Stock or such other securities that have been so transferred or distributed;</w:t>
      </w:r>
    </w:p>
    <w:p>
      <w:pPr>
        <w:spacing w:after="0" w:line="50" w:lineRule="exact"/>
        <w:rPr>
          <w:sz w:val="20"/>
          <w:szCs w:val="20"/>
          <w:color w:val="auto"/>
        </w:rPr>
      </w:pPr>
    </w:p>
    <w:p>
      <w:pPr>
        <w:ind w:left="840" w:right="899" w:firstLine="285"/>
        <w:spacing w:after="0" w:line="286" w:lineRule="auto"/>
        <w:tabs>
          <w:tab w:leader="none" w:pos="1305" w:val="left"/>
        </w:tabs>
        <w:numPr>
          <w:ilvl w:val="0"/>
          <w:numId w:val="133"/>
        </w:numPr>
        <w:rPr>
          <w:rFonts w:ascii="Arial" w:cs="Arial" w:eastAsia="Arial" w:hAnsi="Arial"/>
          <w:sz w:val="11"/>
          <w:szCs w:val="11"/>
          <w:color w:val="auto"/>
        </w:rPr>
      </w:pPr>
      <w:r>
        <w:rPr>
          <w:rFonts w:ascii="Arial" w:cs="Arial" w:eastAsia="Arial" w:hAnsi="Arial"/>
          <w:sz w:val="11"/>
          <w:szCs w:val="11"/>
          <w:color w:val="auto"/>
        </w:rPr>
        <w:t xml:space="preserve">the exercise of an option (including a net or cashless exercise of an option) to purchase shares of Zordich Common Stock, and any related transfer of shares of Zordich Common Stock to Zordich for the purpose of paying the exercise price of such options or for paying taxes (including estimated taxes) due as a result of the exercise of such options (or the disposition to Zordich of any shares of restricted stock granted pursuant to the terms of any employee benefit plan or restricted stock purchase agreement); </w:t>
      </w:r>
      <w:r>
        <w:rPr>
          <w:rFonts w:ascii="Arial" w:cs="Arial" w:eastAsia="Arial" w:hAnsi="Arial"/>
          <w:sz w:val="11"/>
          <w:szCs w:val="11"/>
          <w:i w:val="1"/>
          <w:iCs w:val="1"/>
          <w:u w:val="single" w:color="auto"/>
          <w:color w:val="auto"/>
        </w:rPr>
        <w:t>provided that</w:t>
      </w:r>
      <w:r>
        <w:rPr>
          <w:rFonts w:ascii="Arial" w:cs="Arial" w:eastAsia="Arial" w:hAnsi="Arial"/>
          <w:sz w:val="11"/>
          <w:szCs w:val="11"/>
          <w:color w:val="auto"/>
        </w:rPr>
        <w:t>, for the avoidance of doubt, the underlying shares of Zordich Common Stock shall continue to be subject to the restrictions on transfer set forth in this Lock-Up Agreement;</w:t>
      </w:r>
    </w:p>
    <w:p>
      <w:pPr>
        <w:spacing w:after="0" w:line="40" w:lineRule="exact"/>
        <w:rPr>
          <w:rFonts w:ascii="Arial" w:cs="Arial" w:eastAsia="Arial" w:hAnsi="Arial"/>
          <w:sz w:val="11"/>
          <w:szCs w:val="11"/>
          <w:color w:val="auto"/>
        </w:rPr>
      </w:pPr>
    </w:p>
    <w:p>
      <w:pPr>
        <w:ind w:left="840" w:right="879" w:firstLine="285"/>
        <w:spacing w:after="0" w:line="264" w:lineRule="auto"/>
        <w:tabs>
          <w:tab w:leader="none" w:pos="129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 xml:space="preserve">transfers for the net settlement of RSUs settled in Zordich Common Stock to pay any tax withholding obligations; </w:t>
      </w:r>
      <w:r>
        <w:rPr>
          <w:rFonts w:ascii="Arial" w:cs="Arial" w:eastAsia="Arial" w:hAnsi="Arial"/>
          <w:sz w:val="12"/>
          <w:szCs w:val="12"/>
          <w:i w:val="1"/>
          <w:iCs w:val="1"/>
          <w:u w:val="single" w:color="auto"/>
          <w:color w:val="auto"/>
        </w:rPr>
        <w:t>provided that</w:t>
      </w:r>
      <w:r>
        <w:rPr>
          <w:rFonts w:ascii="Arial" w:cs="Arial" w:eastAsia="Arial" w:hAnsi="Arial"/>
          <w:sz w:val="12"/>
          <w:szCs w:val="12"/>
          <w:color w:val="auto"/>
        </w:rPr>
        <w:t>, for the avoidance of doubt, the underlying shares of Zordich Common Stock shall continue to be subject to the restrictions on transfer set forth in this Lock-Up Agreement;</w:t>
      </w:r>
    </w:p>
    <w:p>
      <w:pPr>
        <w:spacing w:after="0" w:line="50" w:lineRule="exact"/>
        <w:rPr>
          <w:rFonts w:ascii="Arial" w:cs="Arial" w:eastAsia="Arial" w:hAnsi="Arial"/>
          <w:sz w:val="12"/>
          <w:szCs w:val="12"/>
          <w:color w:val="auto"/>
        </w:rPr>
      </w:pPr>
    </w:p>
    <w:p>
      <w:pPr>
        <w:ind w:left="840" w:right="899" w:firstLine="285"/>
        <w:spacing w:after="0" w:line="277" w:lineRule="auto"/>
        <w:tabs>
          <w:tab w:leader="none" w:pos="1305" w:val="left"/>
        </w:tabs>
        <w:numPr>
          <w:ilvl w:val="0"/>
          <w:numId w:val="133"/>
        </w:numPr>
        <w:rPr>
          <w:rFonts w:ascii="Arial" w:cs="Arial" w:eastAsia="Arial" w:hAnsi="Arial"/>
          <w:sz w:val="12"/>
          <w:szCs w:val="12"/>
          <w:color w:val="auto"/>
        </w:rPr>
      </w:pPr>
      <w:r>
        <w:rPr>
          <w:rFonts w:ascii="Arial" w:cs="Arial" w:eastAsia="Arial" w:hAnsi="Arial"/>
          <w:sz w:val="12"/>
          <w:szCs w:val="12"/>
          <w:color w:val="auto"/>
        </w:rPr>
        <w:t xml:space="preserve">the establishment of a trading plan pursuant to Rule 10b5-1 under the Exchange Act for the transfer of Zordich Common Stock; </w:t>
      </w:r>
      <w:r>
        <w:rPr>
          <w:rFonts w:ascii="Arial" w:cs="Arial" w:eastAsia="Arial" w:hAnsi="Arial"/>
          <w:sz w:val="12"/>
          <w:szCs w:val="12"/>
          <w:i w:val="1"/>
          <w:iCs w:val="1"/>
          <w:u w:val="single" w:color="auto"/>
          <w:color w:val="auto"/>
        </w:rPr>
        <w:t>provided that</w:t>
      </w:r>
      <w:r>
        <w:rPr>
          <w:rFonts w:ascii="Arial" w:cs="Arial" w:eastAsia="Arial" w:hAnsi="Arial"/>
          <w:sz w:val="12"/>
          <w:szCs w:val="12"/>
          <w:color w:val="auto"/>
        </w:rPr>
        <w:t xml:space="preserve"> such plan does not provide for any transfers of Zordich Common Stock during the Restricted Period; or</w:t>
      </w:r>
    </w:p>
    <w:p>
      <w:pPr>
        <w:spacing w:after="0" w:line="42" w:lineRule="exact"/>
        <w:rPr>
          <w:rFonts w:ascii="Arial" w:cs="Arial" w:eastAsia="Arial" w:hAnsi="Arial"/>
          <w:sz w:val="12"/>
          <w:szCs w:val="12"/>
          <w:color w:val="auto"/>
        </w:rPr>
      </w:pPr>
    </w:p>
    <w:p>
      <w:pPr>
        <w:ind w:left="1280" w:hanging="155"/>
        <w:spacing w:after="0"/>
        <w:tabs>
          <w:tab w:leader="none" w:pos="128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transfers by the undersigned of shares of Zordich Common Stock purchased by the undersigned on the open market following the Closing</w:t>
      </w:r>
    </w:p>
    <w:p>
      <w:pPr>
        <w:spacing w:after="0" w:line="26" w:lineRule="exact"/>
        <w:rPr>
          <w:rFonts w:ascii="Arial" w:cs="Arial" w:eastAsia="Arial" w:hAnsi="Arial"/>
          <w:sz w:val="11"/>
          <w:szCs w:val="11"/>
          <w:color w:val="auto"/>
        </w:rPr>
      </w:pPr>
    </w:p>
    <w:p>
      <w:pPr>
        <w:ind w:left="840"/>
        <w:spacing w:after="0"/>
        <w:rPr>
          <w:rFonts w:ascii="Arial" w:cs="Arial" w:eastAsia="Arial" w:hAnsi="Arial"/>
          <w:sz w:val="11"/>
          <w:szCs w:val="11"/>
          <w:color w:val="auto"/>
        </w:rPr>
      </w:pPr>
      <w:r>
        <w:rPr>
          <w:rFonts w:ascii="Arial" w:cs="Arial" w:eastAsia="Arial" w:hAnsi="Arial"/>
          <w:sz w:val="12"/>
          <w:szCs w:val="12"/>
          <w:color w:val="auto"/>
        </w:rPr>
        <w:t>Date;</w:t>
      </w:r>
    </w:p>
    <w:p>
      <w:pPr>
        <w:spacing w:after="0" w:line="142" w:lineRule="exact"/>
        <w:rPr>
          <w:sz w:val="20"/>
          <w:szCs w:val="20"/>
          <w:color w:val="auto"/>
        </w:rPr>
      </w:pPr>
    </w:p>
    <w:p>
      <w:pPr>
        <w:ind w:left="840" w:right="839"/>
        <w:spacing w:after="0" w:line="260" w:lineRule="auto"/>
        <w:rPr>
          <w:sz w:val="20"/>
          <w:szCs w:val="20"/>
          <w:color w:val="auto"/>
        </w:rPr>
      </w:pPr>
      <w:r>
        <w:rPr>
          <w:rFonts w:ascii="Arial" w:cs="Arial" w:eastAsia="Arial" w:hAnsi="Arial"/>
          <w:sz w:val="12"/>
          <w:szCs w:val="12"/>
          <w:color w:val="auto"/>
        </w:rPr>
        <w:t xml:space="preserve">and </w:t>
      </w:r>
      <w:r>
        <w:rPr>
          <w:rFonts w:ascii="Arial" w:cs="Arial" w:eastAsia="Arial" w:hAnsi="Arial"/>
          <w:sz w:val="12"/>
          <w:szCs w:val="12"/>
          <w:i w:val="1"/>
          <w:iCs w:val="1"/>
          <w:u w:val="single" w:color="auto"/>
          <w:color w:val="auto"/>
        </w:rPr>
        <w:t>provided, further</w:t>
      </w:r>
      <w:r>
        <w:rPr>
          <w:rFonts w:ascii="Arial" w:cs="Arial" w:eastAsia="Arial" w:hAnsi="Arial"/>
          <w:sz w:val="12"/>
          <w:szCs w:val="12"/>
          <w:color w:val="auto"/>
        </w:rPr>
        <w:t>, that, with respect to each of (a), (b), (c) and (d) above, no filing by any party (including any donor, donee, transferor, transferee, distributor or distributee) under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109" w:name="page110"/>
    <w:bookmarkEnd w:id="109"/>
    <w:p>
      <w:pPr>
        <w:ind w:left="840" w:right="83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under the Exchange Act in connection with the exercise of an option to purchase Zordich Common Stock following such individual’s termination of employment with Zordich that would otherwise expire during the Restricted Period, provided that reasonable notice shall be provided to Zordich prior to any such filing).</w:t>
      </w:r>
    </w:p>
    <w:p>
      <w:pPr>
        <w:spacing w:after="0" w:line="122" w:lineRule="exact"/>
        <w:rPr>
          <w:sz w:val="20"/>
          <w:szCs w:val="20"/>
          <w:color w:val="auto"/>
        </w:rPr>
      </w:pPr>
    </w:p>
    <w:p>
      <w:pPr>
        <w:ind w:left="840" w:right="899" w:firstLine="295"/>
        <w:spacing w:after="0" w:line="317" w:lineRule="auto"/>
        <w:rPr>
          <w:sz w:val="20"/>
          <w:szCs w:val="20"/>
          <w:color w:val="auto"/>
        </w:rPr>
      </w:pPr>
      <w:r>
        <w:rPr>
          <w:rFonts w:ascii="Arial" w:cs="Arial" w:eastAsia="Arial" w:hAnsi="Arial"/>
          <w:sz w:val="10"/>
          <w:szCs w:val="10"/>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Zordich. In furtherance of the foregoing, the undersigned agrees that Zordich and any duly appointed transfer agent for the registration or transfer of the securities described herein are hereby authorized to decline to make any transfer of securities if such transfer would constitute a violation or breach of this Lock-Up Agreement. Zordich may cause the legend set forth below, or a legend substantially equivalent thereto, to be placed upon any certificate(s) or other documents, ledgers or instruments evidencing the undersigned’s ownership of Zordich Common Stock:</w:t>
      </w:r>
    </w:p>
    <w:p>
      <w:pPr>
        <w:spacing w:after="0" w:line="28" w:lineRule="exact"/>
        <w:rPr>
          <w:sz w:val="20"/>
          <w:szCs w:val="20"/>
          <w:color w:val="auto"/>
        </w:rPr>
      </w:pPr>
    </w:p>
    <w:p>
      <w:pPr>
        <w:ind w:left="1120" w:right="1059"/>
        <w:spacing w:after="0" w:line="324" w:lineRule="auto"/>
        <w:rPr>
          <w:sz w:val="20"/>
          <w:szCs w:val="20"/>
          <w:color w:val="auto"/>
        </w:rPr>
      </w:pPr>
      <w:r>
        <w:rPr>
          <w:rFonts w:ascii="Arial" w:cs="Arial" w:eastAsia="Arial" w:hAnsi="Arial"/>
          <w:sz w:val="11"/>
          <w:szCs w:val="11"/>
          <w:color w:val="auto"/>
        </w:rPr>
        <w:t>THE SHARES REPRESENTED BY THIS CERTIFICATE ARE SUBJECT TO AND MAY ONLY BE TRANSFERRED IN COMPLIANCE WITH A LOCK-UP AGREEMENT, A COPY OF WHICH IS ON FILE AT THE PRINCIPAL OFFICE OF THE COMPANY.</w:t>
      </w:r>
    </w:p>
    <w:p>
      <w:pPr>
        <w:spacing w:after="0" w:line="92" w:lineRule="exact"/>
        <w:rPr>
          <w:sz w:val="20"/>
          <w:szCs w:val="20"/>
          <w:color w:val="auto"/>
        </w:rPr>
      </w:pPr>
    </w:p>
    <w:p>
      <w:pPr>
        <w:jc w:val="both"/>
        <w:ind w:left="840" w:right="1119" w:firstLine="295"/>
        <w:spacing w:after="0" w:line="264" w:lineRule="auto"/>
        <w:rPr>
          <w:sz w:val="20"/>
          <w:szCs w:val="20"/>
          <w:color w:val="auto"/>
        </w:rPr>
      </w:pPr>
      <w:r>
        <w:rPr>
          <w:rFonts w:ascii="Arial" w:cs="Arial" w:eastAsia="Arial" w:hAnsi="Arial"/>
          <w:sz w:val="12"/>
          <w:szCs w:val="12"/>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22" w:lineRule="exact"/>
        <w:rPr>
          <w:sz w:val="20"/>
          <w:szCs w:val="20"/>
          <w:color w:val="auto"/>
        </w:rPr>
      </w:pPr>
    </w:p>
    <w:p>
      <w:pPr>
        <w:ind w:left="840" w:right="1039" w:firstLine="295"/>
        <w:spacing w:after="0" w:line="264" w:lineRule="auto"/>
        <w:rPr>
          <w:sz w:val="20"/>
          <w:szCs w:val="20"/>
          <w:color w:val="auto"/>
        </w:rPr>
      </w:pPr>
      <w:r>
        <w:rPr>
          <w:rFonts w:ascii="Arial" w:cs="Arial" w:eastAsia="Arial" w:hAnsi="Arial"/>
          <w:sz w:val="12"/>
          <w:szCs w:val="12"/>
          <w:color w:val="auto"/>
        </w:rPr>
        <w:t>The undersigned understands that if the Merger Agreement is terminated for any reason, the undersigned shall be released from all obligations under this Lock-Up Agreement. The undersigned understands that Zordich is proceeding with the Contemplated Transactions in reliance upon this Lock-Up Agreement.</w:t>
      </w:r>
    </w:p>
    <w:p>
      <w:pPr>
        <w:spacing w:after="0" w:line="122" w:lineRule="exact"/>
        <w:rPr>
          <w:sz w:val="20"/>
          <w:szCs w:val="20"/>
          <w:color w:val="auto"/>
        </w:rPr>
      </w:pPr>
    </w:p>
    <w:p>
      <w:pPr>
        <w:ind w:left="840" w:right="879" w:firstLine="295"/>
        <w:spacing w:after="0" w:line="282" w:lineRule="auto"/>
        <w:rPr>
          <w:sz w:val="20"/>
          <w:szCs w:val="20"/>
          <w:color w:val="auto"/>
        </w:rPr>
      </w:pPr>
      <w:r>
        <w:rPr>
          <w:rFonts w:ascii="Arial" w:cs="Arial" w:eastAsia="Arial" w:hAnsi="Arial"/>
          <w:sz w:val="11"/>
          <w:szCs w:val="11"/>
          <w:color w:val="auto"/>
        </w:rPr>
        <w:t>Any and all remedies herein expressly conferred upon Zordich will be deemed cumulative with and not exclusive of any other remedy conferred hereby, or by law or equity, and the exercise by Zordich of any one remedy will not preclude the exercise of any other remedy. The undersigned agrees that irreparable damage would occur to Zordich in the event that any provision of this Lock-Up Agreement were not performed in accordance with its specific terms or were otherwise breached. It is accordingly agreed that Zordich shall be entitled to an injunction or injunctions to prevent breaches of this Lock-Up Agreement and to enforce specifically the terms and provisions hereof in any court of the United States or any state having jurisdiction, this being in addition to any other remedy to which Zordich is entitled at law or in equity, and the undersigned waives any bond, surety or other security that might be required of Zordich with respect thereto.</w:t>
      </w:r>
    </w:p>
    <w:p>
      <w:pPr>
        <w:spacing w:after="0" w:line="115" w:lineRule="exact"/>
        <w:rPr>
          <w:sz w:val="20"/>
          <w:szCs w:val="20"/>
          <w:color w:val="auto"/>
        </w:rPr>
      </w:pPr>
    </w:p>
    <w:p>
      <w:pPr>
        <w:ind w:left="840" w:right="1079" w:firstLine="295"/>
        <w:spacing w:after="0" w:line="324" w:lineRule="auto"/>
        <w:rPr>
          <w:sz w:val="20"/>
          <w:szCs w:val="20"/>
          <w:color w:val="auto"/>
        </w:rPr>
      </w:pPr>
      <w:r>
        <w:rPr>
          <w:rFonts w:ascii="Arial" w:cs="Arial" w:eastAsia="Arial" w:hAnsi="Arial"/>
          <w:sz w:val="11"/>
          <w:szCs w:val="11"/>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92" w:lineRule="exact"/>
        <w:rPr>
          <w:sz w:val="20"/>
          <w:szCs w:val="20"/>
          <w:color w:val="auto"/>
        </w:rPr>
      </w:pPr>
    </w:p>
    <w:p>
      <w:pPr>
        <w:ind w:left="840" w:right="839" w:firstLine="295"/>
        <w:spacing w:after="0" w:line="299" w:lineRule="auto"/>
        <w:rPr>
          <w:sz w:val="20"/>
          <w:szCs w:val="20"/>
          <w:color w:val="auto"/>
        </w:rPr>
      </w:pPr>
      <w:r>
        <w:rPr>
          <w:rFonts w:ascii="Arial" w:cs="Arial" w:eastAsia="Arial" w:hAnsi="Arial"/>
          <w:sz w:val="11"/>
          <w:szCs w:val="11"/>
          <w:color w:val="auto"/>
        </w:rPr>
        <w:t>This Lock-Up Agreement may be executed in several counterparts, each of which shall be deemed an original and all of which shall constitute one and the same instrument. The exchange of a fully executed Lock-Up Agreement (in counterparts or otherwise) by Zordich and the undersigned by facsimile or electronic transmission in .pdf format shall be sufficient to bind such parties to the terms and conditions of this Lock-Up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 Follows)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110" w:name="page111"/>
    <w:bookmarkEnd w:id="110"/>
    <w:p>
      <w:pPr>
        <w:jc w:val="center"/>
        <w:ind w:right="-3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Very truly yours,</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-6985</wp:posOffset>
            </wp:positionV>
            <wp:extent cx="78295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2955" cy="5715"/>
                    </a:xfrm>
                    <a:prstGeom prst="rect">
                      <a:avLst/>
                    </a:prstGeom>
                    <a:noFill/>
                  </pic:spPr>
                </pic:pic>
              </a:graphicData>
            </a:graphic>
          </wp:anchor>
        </w:drawing>
      </w:r>
    </w:p>
    <w:p>
      <w:pPr>
        <w:spacing w:after="0" w:line="131" w:lineRule="exact"/>
        <w:rPr>
          <w:sz w:val="20"/>
          <w:szCs w:val="20"/>
          <w:color w:val="auto"/>
        </w:rPr>
      </w:pPr>
    </w:p>
    <w:p>
      <w:pPr>
        <w:jc w:val="right"/>
        <w:ind w:right="3439"/>
        <w:spacing w:after="0"/>
        <w:rPr>
          <w:sz w:val="20"/>
          <w:szCs w:val="20"/>
          <w:color w:val="auto"/>
        </w:rPr>
      </w:pPr>
      <w:r>
        <w:rPr>
          <w:rFonts w:ascii="Arial" w:cs="Arial" w:eastAsia="Arial" w:hAnsi="Arial"/>
          <w:sz w:val="12"/>
          <w:szCs w:val="12"/>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193040</wp:posOffset>
            </wp:positionV>
            <wp:extent cx="248793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7930" cy="57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380"/>
        <w:spacing w:after="0"/>
        <w:rPr>
          <w:sz w:val="20"/>
          <w:szCs w:val="20"/>
          <w:color w:val="auto"/>
        </w:rPr>
      </w:pPr>
      <w:r>
        <w:rPr>
          <w:rFonts w:ascii="Arial" w:cs="Arial" w:eastAsia="Arial" w:hAnsi="Arial"/>
          <w:sz w:val="11"/>
          <w:szCs w:val="11"/>
          <w:color w:val="auto"/>
        </w:rPr>
        <w:t>Signature (for entities):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9525</wp:posOffset>
            </wp:positionV>
            <wp:extent cx="228155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81555" cy="5715"/>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10160</wp:posOffset>
            </wp:positionV>
            <wp:extent cx="20066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06600" cy="5715"/>
                    </a:xfrm>
                    <a:prstGeom prst="rect">
                      <a:avLst/>
                    </a:prstGeom>
                    <a:noFill/>
                  </pic:spPr>
                </pic:pic>
              </a:graphicData>
            </a:graphic>
          </wp:anchor>
        </w:drawing>
        <w:drawing>
          <wp:anchor simplePos="0" relativeHeight="251657728" behindDoc="1" locked="0" layoutInCell="0" allowOverlap="1">
            <wp:simplePos x="0" y="0"/>
            <wp:positionH relativeFrom="column">
              <wp:posOffset>3199130</wp:posOffset>
            </wp:positionH>
            <wp:positionV relativeFrom="paragraph">
              <wp:posOffset>-86995</wp:posOffset>
            </wp:positionV>
            <wp:extent cx="20066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06600" cy="5715"/>
                    </a:xfrm>
                    <a:prstGeom prst="rect">
                      <a:avLst/>
                    </a:prstGeom>
                    <a:noFill/>
                  </pic:spPr>
                </pic:pic>
              </a:graphicData>
            </a:graphic>
          </wp:anchor>
        </w:drawing>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Accepted and Agreed by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Zafgen, Inc.:</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9525</wp:posOffset>
            </wp:positionV>
            <wp:extent cx="17424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42440" cy="571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10160</wp:posOffset>
            </wp:positionV>
            <wp:extent cx="14789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78915" cy="571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-86995</wp:posOffset>
            </wp:positionV>
            <wp:extent cx="14789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78915" cy="571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Lock-up Agreement]</w:t>
      </w:r>
    </w:p>
    <w:p>
      <w:pPr>
        <w:sectPr>
          <w:pgSz w:w="11900" w:h="16838" w:orient="portrait"/>
          <w:cols w:equalWidth="0" w:num="1">
            <w:col w:w="9019"/>
          </w:cols>
          <w:pgMar w:left="1440" w:top="230" w:right="1440" w:bottom="1440" w:gutter="0" w:footer="0" w:header="0"/>
        </w:sectPr>
      </w:pPr>
    </w:p>
    <w:bookmarkStart w:id="111" w:name="page112"/>
    <w:bookmarkEnd w:id="111"/>
    <w:p>
      <w:pPr>
        <w:jc w:val="right"/>
        <w:ind w:right="81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224155</wp:posOffset>
            </wp:positionV>
            <wp:extent cx="3233420" cy="533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3420"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Zafgen and Chondrial Therapeutics Announce Definitive Merger Agreement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Creates clinical-stage company focused on the development of novel protein replacement therapies for rare diseases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Chondrial Therapeutics’ lead asset, CTI-1601, currently being evaluated in Phase 1 clinical trial for Friedreich’s ataxia</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Companies to host conference call today at 8:30 a.m. ET</w:t>
      </w:r>
    </w:p>
    <w:p>
      <w:pPr>
        <w:spacing w:after="0" w:line="147" w:lineRule="exact"/>
        <w:rPr>
          <w:sz w:val="20"/>
          <w:szCs w:val="20"/>
          <w:color w:val="auto"/>
        </w:rPr>
      </w:pPr>
    </w:p>
    <w:p>
      <w:pPr>
        <w:jc w:val="both"/>
        <w:ind w:left="840" w:right="839"/>
        <w:spacing w:after="0" w:line="293" w:lineRule="auto"/>
        <w:rPr>
          <w:sz w:val="20"/>
          <w:szCs w:val="20"/>
          <w:color w:val="auto"/>
        </w:rPr>
      </w:pPr>
      <w:r>
        <w:rPr>
          <w:rFonts w:ascii="Arial" w:cs="Arial" w:eastAsia="Arial" w:hAnsi="Arial"/>
          <w:sz w:val="11"/>
          <w:szCs w:val="11"/>
          <w:b w:val="1"/>
          <w:bCs w:val="1"/>
          <w:color w:val="auto"/>
        </w:rPr>
        <w:t xml:space="preserve">Boston, MA, and Bala Cynwyd, PA, December 18, 2019 </w:t>
      </w:r>
      <w:r>
        <w:rPr>
          <w:rFonts w:ascii="Arial" w:cs="Arial" w:eastAsia="Arial" w:hAnsi="Arial"/>
          <w:sz w:val="11"/>
          <w:szCs w:val="11"/>
          <w:color w:val="auto"/>
        </w:rPr>
        <w:t>– Zafgen, Inc. (Nasdaq:ZFGN) and Chondrial Therapeutics, Inc., today announced they have</w:t>
      </w:r>
      <w:r>
        <w:rPr>
          <w:rFonts w:ascii="Arial" w:cs="Arial" w:eastAsia="Arial" w:hAnsi="Arial"/>
          <w:sz w:val="11"/>
          <w:szCs w:val="11"/>
          <w:b w:val="1"/>
          <w:bCs w:val="1"/>
          <w:color w:val="auto"/>
        </w:rPr>
        <w:t xml:space="preserve"> </w:t>
      </w:r>
      <w:r>
        <w:rPr>
          <w:rFonts w:ascii="Arial" w:cs="Arial" w:eastAsia="Arial" w:hAnsi="Arial"/>
          <w:sz w:val="11"/>
          <w:szCs w:val="11"/>
          <w:color w:val="auto"/>
        </w:rPr>
        <w:t>entered into a definitive merger agreement under which Chondrial will become a wholly-owned subsidiary of Zafgen and the stockholders of Chondrial Therapeutics will become the majority owners of Zafgen’s outstanding common stock upon the close of the merger. The proposed merger will result in a combined publicly traded, clinical-stage biopharmaceutical company operating under a new name, Larimar Therapeutics, Inc.</w:t>
      </w:r>
    </w:p>
    <w:p>
      <w:pPr>
        <w:spacing w:after="0" w:line="109" w:lineRule="exact"/>
        <w:rPr>
          <w:sz w:val="20"/>
          <w:szCs w:val="20"/>
          <w:color w:val="auto"/>
        </w:rPr>
      </w:pPr>
    </w:p>
    <w:p>
      <w:pPr>
        <w:ind w:left="840" w:right="879"/>
        <w:spacing w:after="0" w:line="284" w:lineRule="auto"/>
        <w:rPr>
          <w:sz w:val="20"/>
          <w:szCs w:val="20"/>
          <w:color w:val="auto"/>
        </w:rPr>
      </w:pPr>
      <w:r>
        <w:rPr>
          <w:rFonts w:ascii="Arial" w:cs="Arial" w:eastAsia="Arial" w:hAnsi="Arial"/>
          <w:sz w:val="11"/>
          <w:szCs w:val="11"/>
          <w:color w:val="auto"/>
        </w:rPr>
        <w:t>“We are incredibly pleased to announce this proposed merger, as, once completed, we anticipate it will provide significant resources to advance CTI-1601, our novel therapeutic being developed for patients with Friedreich’s ataxia and expand our efforts on the development of additional potential treatments for other rare diseases,” said Carole Ben-Maimon, M.D., President and Chief Executive Officer of Chondrial Therapeutics. “Our current programs are based on our proprietary novel protein replacement therapy platform, which includes a cell penetrating peptide technology that allows the intracellular delivery of bioactive cargos. With this strong scientific foundation and company evolution, we believe we are well positioned to address complex rare diseases where patients are in need of innovative treatments.”</w:t>
      </w:r>
    </w:p>
    <w:p>
      <w:pPr>
        <w:spacing w:after="0" w:line="113" w:lineRule="exact"/>
        <w:rPr>
          <w:sz w:val="20"/>
          <w:szCs w:val="20"/>
          <w:color w:val="auto"/>
        </w:rPr>
      </w:pPr>
    </w:p>
    <w:p>
      <w:pPr>
        <w:ind w:left="840" w:right="1059"/>
        <w:spacing w:after="0" w:line="290" w:lineRule="auto"/>
        <w:rPr>
          <w:sz w:val="20"/>
          <w:szCs w:val="20"/>
          <w:color w:val="auto"/>
        </w:rPr>
      </w:pPr>
      <w:r>
        <w:rPr>
          <w:rFonts w:ascii="Arial" w:cs="Arial" w:eastAsia="Arial" w:hAnsi="Arial"/>
          <w:sz w:val="11"/>
          <w:szCs w:val="11"/>
          <w:color w:val="auto"/>
        </w:rPr>
        <w:t>Chondrial Therapeutics’ lead asset, CTI-1601, is in clinical development for the treatment of Friedreich’s ataxia (FA), a progressive and irreversible mitochondrial disease caused by a genetic defect resulting in abnormally low amounts of frataxin (FXN). FA typically presents in childhood or adolescence and leads to devastating symptoms and early death. The company believes there are approximately 15,000 patients in the U.S and E.U. Currently, there are no cures and no therapies that can modify the course of the disease.</w:t>
      </w:r>
    </w:p>
    <w:p>
      <w:pPr>
        <w:spacing w:after="0" w:line="111" w:lineRule="exact"/>
        <w:rPr>
          <w:sz w:val="20"/>
          <w:szCs w:val="20"/>
          <w:color w:val="auto"/>
        </w:rPr>
      </w:pPr>
    </w:p>
    <w:p>
      <w:pPr>
        <w:ind w:left="840" w:right="859"/>
        <w:spacing w:after="0" w:line="299" w:lineRule="auto"/>
        <w:rPr>
          <w:sz w:val="20"/>
          <w:szCs w:val="20"/>
          <w:color w:val="auto"/>
        </w:rPr>
      </w:pPr>
      <w:r>
        <w:rPr>
          <w:rFonts w:ascii="Arial" w:cs="Arial" w:eastAsia="Arial" w:hAnsi="Arial"/>
          <w:sz w:val="11"/>
          <w:szCs w:val="11"/>
          <w:color w:val="auto"/>
        </w:rPr>
        <w:t>“After a thorough evaluation of strategic alternatives, the Board of Directors of Zafgen believes that this merger represents the highest-potential value creation opportunity for Zafgen stockholders,” said Jeffrey Hatfield, Chief Executive Officer, Zafgen. “We are excited about the prospects for Chondrial Therapeutics and its work to improve the lives of young patients with rare diseases, which aligns with our own values and mission.”</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9019"/>
          </w:cols>
          <w:pgMar w:left="1440" w:top="126" w:right="1440" w:bottom="1440" w:gutter="0" w:footer="0" w:header="0"/>
        </w:sectPr>
      </w:pPr>
    </w:p>
    <w:bookmarkStart w:id="112" w:name="page113"/>
    <w:bookmarkEnd w:id="112"/>
    <w:p>
      <w:pPr>
        <w:ind w:left="840" w:right="95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Chondrial Therapeutics separately announced today that Phase 1 dosing in patients began this month and that CTI-1601 has received Rare Pediatric Disease (RPD) Designation and Fast Track Designation from the U.S. Food and Drug Administration (FDA). Topline results from the Phase 1 clinical program are expected by the end of 2020.</w:t>
      </w:r>
    </w:p>
    <w:p>
      <w:pPr>
        <w:spacing w:after="0" w:line="122" w:lineRule="exact"/>
        <w:rPr>
          <w:sz w:val="20"/>
          <w:szCs w:val="20"/>
          <w:color w:val="auto"/>
        </w:rPr>
      </w:pPr>
    </w:p>
    <w:p>
      <w:pPr>
        <w:ind w:left="840" w:right="979"/>
        <w:spacing w:after="0" w:line="260" w:lineRule="auto"/>
        <w:rPr>
          <w:sz w:val="20"/>
          <w:szCs w:val="20"/>
          <w:color w:val="auto"/>
        </w:rPr>
      </w:pPr>
      <w:r>
        <w:rPr>
          <w:rFonts w:ascii="Arial" w:cs="Arial" w:eastAsia="Arial" w:hAnsi="Arial"/>
          <w:sz w:val="12"/>
          <w:szCs w:val="12"/>
          <w:color w:val="auto"/>
        </w:rPr>
        <w:t>“Having advanced Chondrial’s novel therapy for Friedreich’s ataxia from the lab to the clinic, we are extremely pleased to join forces with Zafgen for the next phase of the company’s development,” said Jonathan Leff, Partner, Deerfield Management and a Director of Chondrial. “With the financial resources and team in place, we look forward to employing Chondrial’s product engine and platform technology to benefit patients suffering from Friedreich’s ataxia as well as other serious diseases.”</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CTI-1601</w:t>
      </w:r>
    </w:p>
    <w:p>
      <w:pPr>
        <w:spacing w:after="0" w:line="83" w:lineRule="exact"/>
        <w:rPr>
          <w:sz w:val="20"/>
          <w:szCs w:val="20"/>
          <w:color w:val="auto"/>
        </w:rPr>
      </w:pPr>
    </w:p>
    <w:p>
      <w:pPr>
        <w:ind w:left="840" w:right="1239"/>
        <w:spacing w:after="0" w:line="299" w:lineRule="auto"/>
        <w:rPr>
          <w:sz w:val="20"/>
          <w:szCs w:val="20"/>
          <w:color w:val="auto"/>
        </w:rPr>
      </w:pPr>
      <w:r>
        <w:rPr>
          <w:rFonts w:ascii="Arial" w:cs="Arial" w:eastAsia="Arial" w:hAnsi="Arial"/>
          <w:sz w:val="11"/>
          <w:szCs w:val="11"/>
          <w:color w:val="auto"/>
        </w:rPr>
        <w:t>CTI-1601 is comprised of human FXN bound to a carrier peptide. CTI-1601 was designed to cross both the cell membrane and mitochondrial membranes. After processing, mature human frataxin is intended to remain within the mitochondria to function. Nonclinical studies have shown promising results in several models of the disease, including heart, brain and muscle function, and overall survival.</w:t>
      </w:r>
    </w:p>
    <w:p>
      <w:pPr>
        <w:spacing w:after="0" w:line="105" w:lineRule="exact"/>
        <w:rPr>
          <w:sz w:val="20"/>
          <w:szCs w:val="20"/>
          <w:color w:val="auto"/>
        </w:rPr>
      </w:pPr>
    </w:p>
    <w:p>
      <w:pPr>
        <w:ind w:left="840" w:right="1119"/>
        <w:spacing w:after="0" w:line="277" w:lineRule="auto"/>
        <w:rPr>
          <w:sz w:val="20"/>
          <w:szCs w:val="20"/>
          <w:color w:val="auto"/>
        </w:rPr>
      </w:pPr>
      <w:r>
        <w:rPr>
          <w:rFonts w:ascii="Arial" w:cs="Arial" w:eastAsia="Arial" w:hAnsi="Arial"/>
          <w:sz w:val="12"/>
          <w:szCs w:val="12"/>
          <w:color w:val="auto"/>
        </w:rPr>
        <w:t>Beyond CTI-1601, Chondrial Therapeutics plans to use its protein replacement therapy platform to design other fusion proteins to target additional orphan diseases characterized by deficiencies in intracellular bioactive compounds.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the Proposed Merger</w:t>
      </w:r>
    </w:p>
    <w:p>
      <w:pPr>
        <w:spacing w:after="0" w:line="83" w:lineRule="exact"/>
        <w:rPr>
          <w:sz w:val="20"/>
          <w:szCs w:val="20"/>
          <w:color w:val="auto"/>
        </w:rPr>
      </w:pPr>
    </w:p>
    <w:p>
      <w:pPr>
        <w:ind w:left="840" w:right="899"/>
        <w:spacing w:after="0" w:line="328" w:lineRule="auto"/>
        <w:rPr>
          <w:sz w:val="20"/>
          <w:szCs w:val="20"/>
          <w:color w:val="auto"/>
        </w:rPr>
      </w:pPr>
      <w:r>
        <w:rPr>
          <w:rFonts w:ascii="Arial" w:cs="Arial" w:eastAsia="Arial" w:hAnsi="Arial"/>
          <w:sz w:val="10"/>
          <w:szCs w:val="10"/>
          <w:color w:val="auto"/>
        </w:rPr>
        <w:t>Under the terms of the merger agreement, stockholders of Chondrial will receive shares of newly issued Zafgen common shares in a private placement. Chondrial stockholders are expected to own approximately 60% of the combined company and current Zafgen stockholders will own approximately 40% of the combined company. The percentage of the combined company that Chondrial’s stockholders will own as of the close of the transaction is subject to adjustment based on the amount of Zafgen’s net cash at the closing date, among other adjustments as described in the merger agreement.</w:t>
      </w:r>
    </w:p>
    <w:p>
      <w:pPr>
        <w:spacing w:after="0" w:line="94" w:lineRule="exact"/>
        <w:rPr>
          <w:sz w:val="20"/>
          <w:szCs w:val="20"/>
          <w:color w:val="auto"/>
        </w:rPr>
      </w:pPr>
    </w:p>
    <w:p>
      <w:pPr>
        <w:ind w:left="840" w:right="839"/>
        <w:spacing w:after="0" w:line="256" w:lineRule="auto"/>
        <w:rPr>
          <w:sz w:val="20"/>
          <w:szCs w:val="20"/>
          <w:color w:val="auto"/>
        </w:rPr>
      </w:pPr>
      <w:r>
        <w:rPr>
          <w:rFonts w:ascii="Arial" w:cs="Arial" w:eastAsia="Arial" w:hAnsi="Arial"/>
          <w:sz w:val="12"/>
          <w:szCs w:val="12"/>
          <w:color w:val="auto"/>
        </w:rPr>
        <w:t>Upon closing of the transaction, Zafgen will be renamed Larimar Therapeutics, Inc. and will be headquartered in Bala Cynwyd, Pennsylvania. Carole Ben-Maimon, M.D. will serve as President and Chief Executive Officer of the combined company. The merger agreement provides that the Board of Directors of the combined company will be comprised of Peter Barrett, Ph.D., Carole Ben-Maimon, M.D., Thomas Daniel, M.D., Thomas Hamilton, Jonathan Leff, Frank Thomas, and one designee of Deerfield Management. The merger agreement has been unanimously approved by the Board of Directors of each company. The transaction is expected to close in the first half of 2020, subject to approvals by stockholders of each company and other customary closing conditions.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113" w:name="page114"/>
    <w:bookmarkEnd w:id="113"/>
    <w:p>
      <w:pPr>
        <w:ind w:left="8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MTS Health Partners, L.P. is serving as the exclusive financial advisor to Zafgen and Goodwin Procter LLP is serving as legal counsel to Zafgen.</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McCarter &amp; English, LLP is serving as legal counsel to Chondrial.</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 Information</w:t>
      </w:r>
    </w:p>
    <w:p>
      <w:pPr>
        <w:spacing w:after="0" w:line="83" w:lineRule="exact"/>
        <w:rPr>
          <w:sz w:val="20"/>
          <w:szCs w:val="20"/>
          <w:color w:val="auto"/>
        </w:rPr>
      </w:pPr>
    </w:p>
    <w:p>
      <w:pPr>
        <w:ind w:left="840" w:right="859"/>
        <w:spacing w:after="0" w:line="256" w:lineRule="auto"/>
        <w:rPr>
          <w:sz w:val="20"/>
          <w:szCs w:val="20"/>
          <w:color w:val="auto"/>
        </w:rPr>
      </w:pPr>
      <w:r>
        <w:rPr>
          <w:rFonts w:ascii="Arial" w:cs="Arial" w:eastAsia="Arial" w:hAnsi="Arial"/>
          <w:sz w:val="12"/>
          <w:szCs w:val="12"/>
          <w:color w:val="auto"/>
        </w:rPr>
        <w:t>Zafgen and Chondrial Therapeutics will host an investor conference call today, December 18, 2019, at 8:30 a.m., Eastern Time, to discuss the merger as well as other forward-looking information. Investors and other interested parties may participate by dialing (844) 824-7428 in the United States or (973) 500-2177 outside the United States and referencing conference ID number 5688136. The call will also be webcast live on the Company’s website at https://zafgen.gcs-web.com/events-and-presentations. A replay of this conference call will be available beginning at 11:30 a.m. ET on December 18, 2019 through December 25, 2019 by dialing (855) 859-2056 in the United States or (404) 537-3406 outside the United States. To access the replay please provide Conference ID number 5688136.</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Zafgen</w:t>
      </w:r>
    </w:p>
    <w:p>
      <w:pPr>
        <w:spacing w:after="0" w:line="83" w:lineRule="exact"/>
        <w:rPr>
          <w:sz w:val="20"/>
          <w:szCs w:val="20"/>
          <w:color w:val="auto"/>
        </w:rPr>
      </w:pPr>
    </w:p>
    <w:p>
      <w:pPr>
        <w:ind w:left="840" w:right="999"/>
        <w:spacing w:after="0" w:line="277" w:lineRule="auto"/>
        <w:rPr>
          <w:sz w:val="20"/>
          <w:szCs w:val="20"/>
          <w:color w:val="auto"/>
        </w:rPr>
      </w:pPr>
      <w:r>
        <w:rPr>
          <w:rFonts w:ascii="Arial" w:cs="Arial" w:eastAsia="Arial" w:hAnsi="Arial"/>
          <w:sz w:val="12"/>
          <w:szCs w:val="12"/>
          <w:color w:val="auto"/>
        </w:rPr>
        <w:t>Zafgen (Nasdaq:ZFGN) is a biopharmaceutical company that has leveraged its proprietary MetAP2 biology platform to pioneer the study of MetAP2 inhibitors in both common and rare metabolic disorders. Learn more at www.zafgen.com.</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Chondrial Therapeutics</w:t>
      </w:r>
    </w:p>
    <w:p>
      <w:pPr>
        <w:spacing w:after="0" w:line="83" w:lineRule="exact"/>
        <w:rPr>
          <w:sz w:val="20"/>
          <w:szCs w:val="20"/>
          <w:color w:val="auto"/>
        </w:rPr>
      </w:pPr>
    </w:p>
    <w:p>
      <w:pPr>
        <w:ind w:left="840" w:right="979"/>
        <w:spacing w:after="0" w:line="290" w:lineRule="auto"/>
        <w:rPr>
          <w:sz w:val="20"/>
          <w:szCs w:val="20"/>
          <w:color w:val="auto"/>
        </w:rPr>
      </w:pPr>
      <w:r>
        <w:rPr>
          <w:rFonts w:ascii="Arial" w:cs="Arial" w:eastAsia="Arial" w:hAnsi="Arial"/>
          <w:sz w:val="11"/>
          <w:szCs w:val="11"/>
          <w:color w:val="auto"/>
        </w:rPr>
        <w:t>Chondrial Therapeutics is a clinical-stage biotechnology company focused on the treatment of complex rare diseases. The company’s lead compound, CTI-1601, is currently being evaluated in a Phase 1 clinical program as a potential treatment for Friedreich’s ataxia, a rare and progressive genetic disease. Chondrial Therapeutics also plans to use its protein replacement therapy platform to design other fusion proteins to target additional orphan diseases characterized by deficiencies in intracellular bioactive compounds. Learn more at www.chondrialtherapeutics.com.</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about the Proposed Merger and Where to Find It</w:t>
      </w:r>
    </w:p>
    <w:p>
      <w:pPr>
        <w:spacing w:after="0" w:line="83" w:lineRule="exact"/>
        <w:rPr>
          <w:sz w:val="20"/>
          <w:szCs w:val="20"/>
          <w:color w:val="auto"/>
        </w:rPr>
      </w:pPr>
    </w:p>
    <w:p>
      <w:pPr>
        <w:ind w:left="840" w:right="839"/>
        <w:spacing w:after="0" w:line="311" w:lineRule="auto"/>
        <w:rPr>
          <w:sz w:val="20"/>
          <w:szCs w:val="20"/>
          <w:color w:val="auto"/>
        </w:rPr>
      </w:pPr>
      <w:r>
        <w:rPr>
          <w:rFonts w:ascii="Arial" w:cs="Arial" w:eastAsia="Arial" w:hAnsi="Arial"/>
          <w:sz w:val="10"/>
          <w:szCs w:val="10"/>
          <w:color w:val="auto"/>
        </w:rPr>
        <w:t>This communication relates to the proposed merger transaction involving Zafgen, Inc. (“Zafgen”) and Chondrial Therapeutics, Inc. (“Chondrial”) and may be deemed to be solicitation material in respect of the proposed merger involving Zafgen and Chondrial. In connection with the proposed merger, Zafgen intends to file relevant materials with the Securities and Exchange Commission (the “</w:t>
      </w:r>
      <w:r>
        <w:rPr>
          <w:rFonts w:ascii="Arial" w:cs="Arial" w:eastAsia="Arial" w:hAnsi="Arial"/>
          <w:sz w:val="10"/>
          <w:szCs w:val="10"/>
          <w:u w:val="single" w:color="auto"/>
          <w:color w:val="auto"/>
        </w:rPr>
        <w:t>SEC</w:t>
      </w:r>
      <w:r>
        <w:rPr>
          <w:rFonts w:ascii="Arial" w:cs="Arial" w:eastAsia="Arial" w:hAnsi="Arial"/>
          <w:sz w:val="10"/>
          <w:szCs w:val="10"/>
          <w:color w:val="auto"/>
        </w:rPr>
        <w:t xml:space="preserve">”), including a proxy statement relating to the approval of the merger agreement. </w:t>
      </w:r>
      <w:r>
        <w:rPr>
          <w:rFonts w:ascii="Arial" w:cs="Arial" w:eastAsia="Arial" w:hAnsi="Arial"/>
          <w:sz w:val="10"/>
          <w:szCs w:val="10"/>
          <w:i w:val="1"/>
          <w:iCs w:val="1"/>
          <w:color w:val="auto"/>
        </w:rPr>
        <w:t>Investors and security holders of Zafgen are urged to read these materials when they become available because they will</w:t>
      </w:r>
      <w:r>
        <w:rPr>
          <w:rFonts w:ascii="Arial" w:cs="Arial" w:eastAsia="Arial" w:hAnsi="Arial"/>
          <w:sz w:val="10"/>
          <w:szCs w:val="10"/>
          <w:color w:val="auto"/>
        </w:rPr>
        <w:t xml:space="preserve"> </w:t>
      </w:r>
      <w:r>
        <w:rPr>
          <w:rFonts w:ascii="Arial" w:cs="Arial" w:eastAsia="Arial" w:hAnsi="Arial"/>
          <w:sz w:val="10"/>
          <w:szCs w:val="10"/>
          <w:i w:val="1"/>
          <w:iCs w:val="1"/>
          <w:color w:val="auto"/>
        </w:rPr>
        <w:t>contain important information about Zafgen, Chondrial and the proposed merger</w:t>
      </w:r>
      <w:r>
        <w:rPr>
          <w:rFonts w:ascii="Arial" w:cs="Arial" w:eastAsia="Arial" w:hAnsi="Arial"/>
          <w:sz w:val="10"/>
          <w:szCs w:val="10"/>
          <w:color w:val="auto"/>
        </w:rPr>
        <w:t>. The proxy statement and other relevant materials (when they become</w:t>
      </w:r>
      <w:r>
        <w:rPr>
          <w:rFonts w:ascii="Arial" w:cs="Arial" w:eastAsia="Arial" w:hAnsi="Arial"/>
          <w:sz w:val="10"/>
          <w:szCs w:val="10"/>
          <w:i w:val="1"/>
          <w:iCs w:val="1"/>
          <w:color w:val="auto"/>
        </w:rPr>
        <w:t xml:space="preserve"> </w:t>
      </w:r>
      <w:r>
        <w:rPr>
          <w:rFonts w:ascii="Arial" w:cs="Arial" w:eastAsia="Arial" w:hAnsi="Arial"/>
          <w:sz w:val="10"/>
          <w:szCs w:val="10"/>
          <w:color w:val="auto"/>
        </w:rPr>
        <w:t>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114" w:name="page115"/>
    <w:bookmarkEnd w:id="114"/>
    <w:p>
      <w:pPr>
        <w:ind w:left="840" w:right="89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the Solicitation</w:t>
      </w:r>
    </w:p>
    <w:p>
      <w:pPr>
        <w:spacing w:after="0" w:line="83" w:lineRule="exact"/>
        <w:rPr>
          <w:sz w:val="20"/>
          <w:szCs w:val="20"/>
          <w:color w:val="auto"/>
        </w:rPr>
      </w:pPr>
    </w:p>
    <w:p>
      <w:pPr>
        <w:ind w:left="840" w:right="839"/>
        <w:spacing w:after="0" w:line="256" w:lineRule="auto"/>
        <w:rPr>
          <w:sz w:val="20"/>
          <w:szCs w:val="20"/>
          <w:color w:val="auto"/>
        </w:rPr>
      </w:pPr>
      <w:r>
        <w:rPr>
          <w:rFonts w:ascii="Arial" w:cs="Arial" w:eastAsia="Arial" w:hAnsi="Arial"/>
          <w:sz w:val="12"/>
          <w:szCs w:val="12"/>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Zafgen Forward-Looking Information is Subject to Risks and Uncertainty</w:t>
      </w:r>
    </w:p>
    <w:p>
      <w:pPr>
        <w:spacing w:after="0" w:line="83" w:lineRule="exact"/>
        <w:rPr>
          <w:sz w:val="20"/>
          <w:szCs w:val="20"/>
          <w:color w:val="auto"/>
        </w:rPr>
      </w:pPr>
    </w:p>
    <w:p>
      <w:pPr>
        <w:ind w:left="840" w:right="819"/>
        <w:spacing w:after="0" w:line="277" w:lineRule="auto"/>
        <w:rPr>
          <w:sz w:val="20"/>
          <w:szCs w:val="20"/>
          <w:color w:val="auto"/>
        </w:rPr>
      </w:pPr>
      <w:r>
        <w:rPr>
          <w:rFonts w:ascii="Arial" w:cs="Arial" w:eastAsia="Arial" w:hAnsi="Arial"/>
          <w:sz w:val="11"/>
          <w:szCs w:val="11"/>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115" w:name="page116"/>
    <w:bookmarkEnd w:id="115"/>
    <w:p>
      <w:pPr>
        <w:ind w:left="840" w:right="819"/>
        <w:spacing w:after="0" w:line="253"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Quarterly Report on Form 10-Q for the quarter ended September 30,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Media/Investor Relations Contacts</w:t>
      </w:r>
      <w:r>
        <w:rPr>
          <w:rFonts w:ascii="Arial" w:cs="Arial" w:eastAsia="Arial" w:hAnsi="Arial"/>
          <w:sz w:val="12"/>
          <w:szCs w:val="12"/>
          <w:color w:val="auto"/>
        </w:rPr>
        <w: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Zafgen, Inc.</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Patricia Allen</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617-648-9792</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Media</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Krystle Gibbs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krystle@tenbridgecommunications.com</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508-479-6358</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Investors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John Woolford</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john.woolford@westwicke.com</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443-213-0506</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ind w:right="819"/>
        <w:spacing w:after="0"/>
        <w:rPr>
          <w:sz w:val="20"/>
          <w:szCs w:val="20"/>
          <w:color w:val="auto"/>
        </w:rPr>
      </w:pPr>
      <w:r>
        <w:rPr>
          <w:rFonts w:ascii="Arial" w:cs="Arial" w:eastAsia="Arial" w:hAnsi="Arial"/>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224155</wp:posOffset>
            </wp:positionV>
            <wp:extent cx="1393190" cy="429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93190" cy="42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Chondrial Therapeutics Announces Dosing of First Patients in Phase 1 Clinical Program of CTI-1601 for Treatment of Friedreich’s Ataxia</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CTI-1601 granted Rare Pediatric Disease Designation and Fast Track Designation by U.S. FDA</w:t>
      </w:r>
    </w:p>
    <w:p>
      <w:pPr>
        <w:spacing w:after="0" w:line="147" w:lineRule="exact"/>
        <w:rPr>
          <w:sz w:val="20"/>
          <w:szCs w:val="20"/>
          <w:color w:val="auto"/>
        </w:rPr>
      </w:pPr>
    </w:p>
    <w:p>
      <w:pPr>
        <w:ind w:left="840" w:right="879"/>
        <w:spacing w:after="0" w:line="262" w:lineRule="auto"/>
        <w:rPr>
          <w:sz w:val="20"/>
          <w:szCs w:val="20"/>
          <w:color w:val="auto"/>
        </w:rPr>
      </w:pPr>
      <w:r>
        <w:rPr>
          <w:rFonts w:ascii="Arial" w:cs="Arial" w:eastAsia="Arial" w:hAnsi="Arial"/>
          <w:sz w:val="12"/>
          <w:szCs w:val="12"/>
          <w:b w:val="1"/>
          <w:bCs w:val="1"/>
          <w:color w:val="auto"/>
        </w:rPr>
        <w:t xml:space="preserve">BALA CYNWYD, PA – December 18, 2019 </w:t>
      </w:r>
      <w:r>
        <w:rPr>
          <w:rFonts w:ascii="Arial" w:cs="Arial" w:eastAsia="Arial" w:hAnsi="Arial"/>
          <w:sz w:val="12"/>
          <w:szCs w:val="12"/>
          <w:color w:val="auto"/>
        </w:rPr>
        <w:t>– Chondrial Therapeutics, a clinical-stage biotechnology company focused on developing treatments for</w:t>
      </w:r>
      <w:r>
        <w:rPr>
          <w:rFonts w:ascii="Arial" w:cs="Arial" w:eastAsia="Arial" w:hAnsi="Arial"/>
          <w:sz w:val="12"/>
          <w:szCs w:val="12"/>
          <w:b w:val="1"/>
          <w:bCs w:val="1"/>
          <w:color w:val="auto"/>
        </w:rPr>
        <w:t xml:space="preserve"> </w:t>
      </w:r>
      <w:r>
        <w:rPr>
          <w:rFonts w:ascii="Arial" w:cs="Arial" w:eastAsia="Arial" w:hAnsi="Arial"/>
          <w:sz w:val="12"/>
          <w:szCs w:val="12"/>
          <w:color w:val="auto"/>
        </w:rPr>
        <w:t>rare diseases, with an initial focus on Friedreich’s ataxia (FA), today announced that the first patients have been dosed in a Phase 1 clinical trial to evaluate the safety and tolerability of single ascending doses of CTI-1601. CTI-1601 is a recombinant fusion protein intended to deliver human frataxin to patients with FA, who have decreased levels of frataxin.</w:t>
      </w:r>
    </w:p>
    <w:p>
      <w:pPr>
        <w:spacing w:after="0" w:line="124" w:lineRule="exact"/>
        <w:rPr>
          <w:sz w:val="20"/>
          <w:szCs w:val="20"/>
          <w:color w:val="auto"/>
        </w:rPr>
      </w:pPr>
    </w:p>
    <w:p>
      <w:pPr>
        <w:ind w:left="840" w:right="859"/>
        <w:spacing w:after="0" w:line="257" w:lineRule="auto"/>
        <w:rPr>
          <w:sz w:val="20"/>
          <w:szCs w:val="20"/>
          <w:color w:val="auto"/>
        </w:rPr>
      </w:pPr>
      <w:r>
        <w:rPr>
          <w:rFonts w:ascii="Arial" w:cs="Arial" w:eastAsia="Arial" w:hAnsi="Arial"/>
          <w:sz w:val="12"/>
          <w:szCs w:val="12"/>
          <w:color w:val="auto"/>
        </w:rPr>
        <w:t>“CTI-1601 is designed to address the root cause of Friedreich’s ataxia – low levels of frataxin. The initiation of our Phase 1 clinical program was supported by positive preclinical data and is an important step forward for patients affected by FA, a devastating and progressive disease for which there is no cure,” said Carole Ben-Maimon, MD, President and Chief Executive Officer of Chondrial Therapeutics. “We separately announced today a merger that will provide us with significant resources to advance our development of CTI-1601 and expand our efforts in other rare diseases that may benefit from a cell-penetrating peptide approach.”</w:t>
      </w:r>
    </w:p>
    <w:p>
      <w:pPr>
        <w:spacing w:after="0" w:line="128" w:lineRule="exact"/>
        <w:rPr>
          <w:sz w:val="20"/>
          <w:szCs w:val="20"/>
          <w:color w:val="auto"/>
        </w:rPr>
      </w:pPr>
    </w:p>
    <w:p>
      <w:pPr>
        <w:ind w:left="840" w:right="879"/>
        <w:spacing w:after="0" w:line="324" w:lineRule="auto"/>
        <w:rPr>
          <w:sz w:val="20"/>
          <w:szCs w:val="20"/>
          <w:color w:val="auto"/>
        </w:rPr>
      </w:pPr>
      <w:r>
        <w:rPr>
          <w:rFonts w:ascii="Arial" w:cs="Arial" w:eastAsia="Arial" w:hAnsi="Arial"/>
          <w:sz w:val="11"/>
          <w:szCs w:val="11"/>
          <w:color w:val="auto"/>
        </w:rPr>
        <w:t>The double-blind, placebo-controlled trial will enroll adult patients over age 18 with FA. It will evaluate the safety, tolerability and pharmacokinetics of single ascending doses of subcutaneously administered CTI-1601. Topline data from the Phase 1 clinical program are expected by the end of 2020.</w:t>
      </w:r>
    </w:p>
    <w:p>
      <w:pPr>
        <w:spacing w:after="0" w:line="92" w:lineRule="exact"/>
        <w:rPr>
          <w:sz w:val="20"/>
          <w:szCs w:val="20"/>
          <w:color w:val="auto"/>
        </w:rPr>
      </w:pPr>
    </w:p>
    <w:p>
      <w:pPr>
        <w:ind w:left="840" w:right="879"/>
        <w:spacing w:after="0" w:line="290" w:lineRule="auto"/>
        <w:rPr>
          <w:sz w:val="20"/>
          <w:szCs w:val="20"/>
          <w:color w:val="auto"/>
        </w:rPr>
      </w:pPr>
      <w:r>
        <w:rPr>
          <w:rFonts w:ascii="Arial" w:cs="Arial" w:eastAsia="Arial" w:hAnsi="Arial"/>
          <w:sz w:val="11"/>
          <w:szCs w:val="11"/>
          <w:color w:val="auto"/>
        </w:rPr>
        <w:t>“On behalf of FARA and the FA community, we are grateful to the Chondrial team for their hard work and dedication in advancing CTI-1601 to this important milestone for a debilitating, progressive disease that lacks adequate treatment options and is currently only treated symptomatically,” said Jennifer Farmer, Executive Director of the Friedreich’s Ataxia Research Alliance (FARA). “FARA is committed to assisting Chondrial with recruitment for this trial by reaching out to individuals with FA enrolled in the Friedreich’s Ataxia Global Patient Registry and other awareness efforts.”</w:t>
      </w:r>
    </w:p>
    <w:p>
      <w:pPr>
        <w:spacing w:after="0" w:line="111" w:lineRule="exact"/>
        <w:rPr>
          <w:sz w:val="20"/>
          <w:szCs w:val="20"/>
          <w:color w:val="auto"/>
        </w:rPr>
      </w:pPr>
    </w:p>
    <w:p>
      <w:pPr>
        <w:ind w:left="840" w:right="839"/>
        <w:spacing w:after="0" w:line="328" w:lineRule="auto"/>
        <w:rPr>
          <w:sz w:val="20"/>
          <w:szCs w:val="20"/>
          <w:color w:val="auto"/>
        </w:rPr>
      </w:pPr>
      <w:r>
        <w:rPr>
          <w:rFonts w:ascii="Arial" w:cs="Arial" w:eastAsia="Arial" w:hAnsi="Arial"/>
          <w:sz w:val="10"/>
          <w:szCs w:val="10"/>
          <w:color w:val="auto"/>
        </w:rPr>
        <w:t>Chondrial also announced that the U.S. Food and Drug Administration (FDA) has granted CTI-1601 Rare Pediatric Disease (RPD) Designation and Fast Track Designation. Fast Track Designation is intended to expedite review and facilitate development of drugs which are being developed to treat a serious or life-threatening condition and demonstrate the potential to fill an unmet medical need. With RPD Designation, Chondrial may also qualify for a voucher at the time of a potential future approval of CTI-1601 that can be redeemed to receive a priority review of a subsequent marketing application.</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Additional information on the trial can be found on </w:t>
      </w:r>
      <w:r>
        <w:rPr>
          <w:rFonts w:ascii="Arial" w:cs="Arial" w:eastAsia="Arial" w:hAnsi="Arial"/>
          <w:sz w:val="12"/>
          <w:szCs w:val="12"/>
          <w:u w:val="single" w:color="auto"/>
          <w:color w:val="auto"/>
        </w:rPr>
        <w:t>www.clinicaltrials.gov</w:t>
      </w:r>
      <w:r>
        <w:rPr>
          <w:rFonts w:ascii="Arial" w:cs="Arial" w:eastAsia="Arial" w:hAnsi="Arial"/>
          <w:sz w:val="12"/>
          <w:szCs w:val="12"/>
          <w:color w:val="auto"/>
        </w:rPr>
        <w:t xml:space="preserve"> using the identifier NCT04176991.</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Friedreich’s Ataxia</w:t>
      </w:r>
    </w:p>
    <w:p>
      <w:pPr>
        <w:spacing w:after="0" w:line="83" w:lineRule="exact"/>
        <w:rPr>
          <w:sz w:val="20"/>
          <w:szCs w:val="20"/>
          <w:color w:val="auto"/>
        </w:rPr>
      </w:pPr>
    </w:p>
    <w:p>
      <w:pPr>
        <w:ind w:left="840" w:right="899"/>
        <w:spacing w:after="0" w:line="279" w:lineRule="auto"/>
        <w:rPr>
          <w:sz w:val="20"/>
          <w:szCs w:val="20"/>
          <w:color w:val="auto"/>
        </w:rPr>
      </w:pPr>
      <w:r>
        <w:rPr>
          <w:rFonts w:ascii="Arial" w:cs="Arial" w:eastAsia="Arial" w:hAnsi="Arial"/>
          <w:sz w:val="11"/>
          <w:szCs w:val="11"/>
          <w:color w:val="auto"/>
        </w:rPr>
        <w:t>Friedreich’s ataxia (FA) is a debilitating, life-shortening, progressive rare genetic disease that affects multiple body systems, particularly the brain and heart. It is the most common ataxia and is caused by a deficiency of a key protein, frataxin, which is normally present in the mitochondria of all tissues. Children and young adults progressively lose the ability to walk and speak, and their hearts become very thick and weak, and can eventually</w:t>
      </w:r>
    </w:p>
    <w:p>
      <w:pPr>
        <w:ind w:left="840" w:right="1199"/>
        <w:spacing w:after="0" w:line="263" w:lineRule="auto"/>
        <w:rPr>
          <w:sz w:val="20"/>
          <w:szCs w:val="20"/>
          <w:color w:val="auto"/>
        </w:rPr>
      </w:pPr>
      <w:r>
        <w:rPr>
          <w:rFonts w:ascii="Arial" w:cs="Arial" w:eastAsia="Arial" w:hAnsi="Arial"/>
          <w:sz w:val="12"/>
          <w:szCs w:val="12"/>
          <w:color w:val="auto"/>
        </w:rPr>
        <w:t>fail. Although rare, FA is the most common form of hereditary ataxia, affecting about 1 in every 50,000 people.</w:t>
      </w:r>
      <w:r>
        <w:rPr>
          <w:rFonts w:ascii="Arial" w:cs="Arial" w:eastAsia="Arial" w:hAnsi="Arial"/>
          <w:sz w:val="10"/>
          <w:szCs w:val="10"/>
          <w:color w:val="auto"/>
        </w:rPr>
        <w:t>1</w:t>
      </w:r>
      <w:r>
        <w:rPr>
          <w:rFonts w:ascii="Arial" w:cs="Arial" w:eastAsia="Arial" w:hAnsi="Arial"/>
          <w:sz w:val="12"/>
          <w:szCs w:val="12"/>
          <w:color w:val="auto"/>
        </w:rPr>
        <w:t xml:space="preserve"> There are currently no approved treatments and no cure for 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49530</wp:posOffset>
            </wp:positionV>
            <wp:extent cx="5162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6255" cy="5715"/>
                    </a:xfrm>
                    <a:prstGeom prst="rect">
                      <a:avLst/>
                    </a:prstGeom>
                    <a:noFill/>
                  </pic:spPr>
                </pic:pic>
              </a:graphicData>
            </a:graphic>
          </wp:anchor>
        </w:drawing>
      </w:r>
    </w:p>
    <w:p>
      <w:pPr>
        <w:spacing w:after="0" w:line="85" w:lineRule="exact"/>
        <w:rPr>
          <w:sz w:val="20"/>
          <w:szCs w:val="20"/>
          <w:color w:val="auto"/>
        </w:rPr>
      </w:pPr>
    </w:p>
    <w:p>
      <w:pPr>
        <w:ind w:left="1120" w:hanging="289"/>
        <w:spacing w:after="0"/>
        <w:tabs>
          <w:tab w:leader="none" w:pos="1120" w:val="left"/>
        </w:tabs>
        <w:numPr>
          <w:ilvl w:val="0"/>
          <w:numId w:val="134"/>
        </w:numPr>
        <w:rPr>
          <w:rFonts w:ascii="Arial" w:cs="Arial" w:eastAsia="Arial" w:hAnsi="Arial"/>
          <w:sz w:val="10"/>
          <w:szCs w:val="10"/>
          <w:color w:val="auto"/>
        </w:rPr>
      </w:pPr>
      <w:r>
        <w:rPr>
          <w:rFonts w:ascii="Arial" w:cs="Arial" w:eastAsia="Arial" w:hAnsi="Arial"/>
          <w:sz w:val="12"/>
          <w:szCs w:val="12"/>
          <w:color w:val="auto"/>
        </w:rPr>
        <w:t>“Friedreich’s Ataxia Fact Sheet”, NINDS, Publication date June 2018. NIH Publication No. 18-NS-87.</w:t>
      </w:r>
    </w:p>
    <w:p>
      <w:pPr>
        <w:sectPr>
          <w:pgSz w:w="11900" w:h="16838" w:orient="portrait"/>
          <w:cols w:equalWidth="0" w:num="1">
            <w:col w:w="9019"/>
          </w:cols>
          <w:pgMar w:left="1440" w:top="127" w:right="1440" w:bottom="1440" w:gutter="0" w:footer="0" w:header="0"/>
        </w:sectPr>
      </w:pPr>
    </w:p>
    <w:bookmarkStart w:id="133" w:name="page134"/>
    <w:bookmarkEnd w:id="133"/>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927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29170" cy="492760"/>
                    </a:xfrm>
                    <a:prstGeom prst="rect">
                      <a:avLst/>
                    </a:prstGeom>
                    <a:noFill/>
                  </pic:spPr>
                </pic:pic>
              </a:graphicData>
            </a:graphic>
          </wp:anchor>
        </w:drawing>
        <w:t>About CTI-1601</w:t>
      </w:r>
    </w:p>
    <w:p>
      <w:pPr>
        <w:spacing w:after="0" w:line="83" w:lineRule="exact"/>
        <w:rPr>
          <w:sz w:val="20"/>
          <w:szCs w:val="20"/>
          <w:color w:val="auto"/>
        </w:rPr>
      </w:pPr>
    </w:p>
    <w:p>
      <w:pPr>
        <w:ind w:left="840" w:right="819"/>
        <w:spacing w:after="0" w:line="257" w:lineRule="auto"/>
        <w:rPr>
          <w:sz w:val="20"/>
          <w:szCs w:val="20"/>
          <w:color w:val="auto"/>
        </w:rPr>
      </w:pPr>
      <w:r>
        <w:rPr>
          <w:rFonts w:ascii="Arial" w:cs="Arial" w:eastAsia="Arial" w:hAnsi="Arial"/>
          <w:sz w:val="12"/>
          <w:szCs w:val="12"/>
          <w:color w:val="auto"/>
        </w:rPr>
        <w:t>Discovered by R. Mark Payne, MD, at Indiana University School of Medicine, CTI-1601 is a recombinant fusion protein intended to deliver human frataxin into the mitochondria of patients with Friedreich’s ataxia (FA), where researchers believe it is processed to mature frataxin and becomes active in mitochondrial metabolism. Due to a genetic abnormality, patients with FA are unable to produce enough of this essential protein. CTI-1601 is the only frataxin replacement therapy in clinical development. The U.S. Food and Drug Administration (FDA) granted orphan drug status to CTI-1601, which is currently in a Phase 1 trial.</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Chondrial Therapeutics</w:t>
      </w:r>
    </w:p>
    <w:p>
      <w:pPr>
        <w:spacing w:after="0" w:line="83" w:lineRule="exact"/>
        <w:rPr>
          <w:sz w:val="20"/>
          <w:szCs w:val="20"/>
          <w:color w:val="auto"/>
        </w:rPr>
      </w:pPr>
    </w:p>
    <w:p>
      <w:pPr>
        <w:ind w:left="840" w:right="979"/>
        <w:spacing w:after="0" w:line="290" w:lineRule="auto"/>
        <w:rPr>
          <w:sz w:val="20"/>
          <w:szCs w:val="20"/>
          <w:color w:val="auto"/>
        </w:rPr>
      </w:pPr>
      <w:r>
        <w:rPr>
          <w:rFonts w:ascii="Arial" w:cs="Arial" w:eastAsia="Arial" w:hAnsi="Arial"/>
          <w:sz w:val="11"/>
          <w:szCs w:val="11"/>
          <w:color w:val="auto"/>
        </w:rPr>
        <w:t>Chondrial Therapeutics is a clinical-stage biotechnology company focused on the treatment of complex rare diseases. The company’s lead compound, CTI-1601, is currently being evaluated in a Phase 1 clinical program as a potential treatment for Friedreich’s ataxia, a rare and progressive genetic disease. Chondrial Therapeutics also plans to use its protein replacement therapy platform to design other fusion proteins to target additional orphan diseases characterized by deficiencies in intracellular bioactive compounds. Learn more at www.chondrialtherapeutics.com.</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about the Proposed Merger and Where to Find It</w:t>
      </w:r>
    </w:p>
    <w:p>
      <w:pPr>
        <w:spacing w:after="0" w:line="83" w:lineRule="exact"/>
        <w:rPr>
          <w:sz w:val="20"/>
          <w:szCs w:val="20"/>
          <w:color w:val="auto"/>
        </w:rPr>
      </w:pPr>
    </w:p>
    <w:p>
      <w:pPr>
        <w:ind w:left="840" w:right="839"/>
        <w:spacing w:after="0" w:line="311" w:lineRule="auto"/>
        <w:rPr>
          <w:sz w:val="20"/>
          <w:szCs w:val="20"/>
          <w:color w:val="auto"/>
        </w:rPr>
      </w:pPr>
      <w:r>
        <w:rPr>
          <w:rFonts w:ascii="Arial" w:cs="Arial" w:eastAsia="Arial" w:hAnsi="Arial"/>
          <w:sz w:val="10"/>
          <w:szCs w:val="10"/>
          <w:color w:val="auto"/>
        </w:rPr>
        <w:t>This communication relates to the proposed merger transaction involving Zafgen, Inc. (“</w:t>
      </w:r>
      <w:r>
        <w:rPr>
          <w:rFonts w:ascii="Arial" w:cs="Arial" w:eastAsia="Arial" w:hAnsi="Arial"/>
          <w:sz w:val="10"/>
          <w:szCs w:val="10"/>
          <w:u w:val="single" w:color="auto"/>
          <w:color w:val="auto"/>
        </w:rPr>
        <w:t>Zafgen</w:t>
      </w:r>
      <w:r>
        <w:rPr>
          <w:rFonts w:ascii="Arial" w:cs="Arial" w:eastAsia="Arial" w:hAnsi="Arial"/>
          <w:sz w:val="10"/>
          <w:szCs w:val="10"/>
          <w:color w:val="auto"/>
        </w:rPr>
        <w:t>”) and Chondrial Therapeutics, Inc. (“</w:t>
      </w:r>
      <w:r>
        <w:rPr>
          <w:rFonts w:ascii="Arial" w:cs="Arial" w:eastAsia="Arial" w:hAnsi="Arial"/>
          <w:sz w:val="10"/>
          <w:szCs w:val="10"/>
          <w:u w:val="single" w:color="auto"/>
          <w:color w:val="auto"/>
        </w:rPr>
        <w:t>Chondrial</w:t>
      </w:r>
      <w:r>
        <w:rPr>
          <w:rFonts w:ascii="Arial" w:cs="Arial" w:eastAsia="Arial" w:hAnsi="Arial"/>
          <w:sz w:val="10"/>
          <w:szCs w:val="10"/>
          <w:color w:val="auto"/>
        </w:rPr>
        <w:t>”) and may be deemed to be solicitation material in respect of the proposed merger involving Zafgen and Chondrial. In connection with the proposed merger, Zafgen intends to file relevant materials with the Securities and Exchange Commission (the “</w:t>
      </w:r>
      <w:r>
        <w:rPr>
          <w:rFonts w:ascii="Arial" w:cs="Arial" w:eastAsia="Arial" w:hAnsi="Arial"/>
          <w:sz w:val="10"/>
          <w:szCs w:val="10"/>
          <w:u w:val="single" w:color="auto"/>
          <w:color w:val="auto"/>
        </w:rPr>
        <w:t>SEC</w:t>
      </w:r>
      <w:r>
        <w:rPr>
          <w:rFonts w:ascii="Arial" w:cs="Arial" w:eastAsia="Arial" w:hAnsi="Arial"/>
          <w:sz w:val="10"/>
          <w:szCs w:val="10"/>
          <w:color w:val="auto"/>
        </w:rPr>
        <w:t xml:space="preserve">”), including a proxy statement relating to the approval of the merger agreement. </w:t>
      </w:r>
      <w:r>
        <w:rPr>
          <w:rFonts w:ascii="Arial" w:cs="Arial" w:eastAsia="Arial" w:hAnsi="Arial"/>
          <w:sz w:val="10"/>
          <w:szCs w:val="10"/>
          <w:i w:val="1"/>
          <w:iCs w:val="1"/>
          <w:color w:val="auto"/>
        </w:rPr>
        <w:t>Investors and security holders of Zafgen are urged to read these materials when they become available because they will</w:t>
      </w:r>
      <w:r>
        <w:rPr>
          <w:rFonts w:ascii="Arial" w:cs="Arial" w:eastAsia="Arial" w:hAnsi="Arial"/>
          <w:sz w:val="10"/>
          <w:szCs w:val="10"/>
          <w:color w:val="auto"/>
        </w:rPr>
        <w:t xml:space="preserve"> </w:t>
      </w:r>
      <w:r>
        <w:rPr>
          <w:rFonts w:ascii="Arial" w:cs="Arial" w:eastAsia="Arial" w:hAnsi="Arial"/>
          <w:sz w:val="10"/>
          <w:szCs w:val="10"/>
          <w:i w:val="1"/>
          <w:iCs w:val="1"/>
          <w:color w:val="auto"/>
        </w:rPr>
        <w:t>contain important information about Zafgen, Chondrial and the proposed merger</w:t>
      </w:r>
      <w:r>
        <w:rPr>
          <w:rFonts w:ascii="Arial" w:cs="Arial" w:eastAsia="Arial" w:hAnsi="Arial"/>
          <w:sz w:val="10"/>
          <w:szCs w:val="10"/>
          <w:color w:val="auto"/>
        </w:rPr>
        <w:t>. The proxy statement and other relevant materials (when they become</w:t>
      </w:r>
      <w:r>
        <w:rPr>
          <w:rFonts w:ascii="Arial" w:cs="Arial" w:eastAsia="Arial" w:hAnsi="Arial"/>
          <w:sz w:val="10"/>
          <w:szCs w:val="10"/>
          <w:i w:val="1"/>
          <w:iCs w:val="1"/>
          <w:color w:val="auto"/>
        </w:rPr>
        <w:t xml:space="preserve"> </w:t>
      </w:r>
      <w:r>
        <w:rPr>
          <w:rFonts w:ascii="Arial" w:cs="Arial" w:eastAsia="Arial" w:hAnsi="Arial"/>
          <w:sz w:val="10"/>
          <w:szCs w:val="10"/>
          <w:color w:val="auto"/>
        </w:rPr>
        <w:t>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103" w:lineRule="exact"/>
        <w:rPr>
          <w:sz w:val="20"/>
          <w:szCs w:val="20"/>
          <w:color w:val="auto"/>
        </w:rPr>
      </w:pPr>
    </w:p>
    <w:p>
      <w:pPr>
        <w:ind w:left="840" w:right="899"/>
        <w:spacing w:after="0" w:line="264" w:lineRule="auto"/>
        <w:rPr>
          <w:sz w:val="20"/>
          <w:szCs w:val="20"/>
          <w:color w:val="auto"/>
        </w:rPr>
      </w:pPr>
      <w:r>
        <w:rPr>
          <w:rFonts w:ascii="Arial" w:cs="Arial" w:eastAsia="Arial" w:hAnsi="Arial"/>
          <w:sz w:val="12"/>
          <w:szCs w:val="12"/>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the Solicitation</w:t>
      </w:r>
    </w:p>
    <w:p>
      <w:pPr>
        <w:spacing w:after="0" w:line="83" w:lineRule="exact"/>
        <w:rPr>
          <w:sz w:val="20"/>
          <w:szCs w:val="20"/>
          <w:color w:val="auto"/>
        </w:rPr>
      </w:pPr>
    </w:p>
    <w:p>
      <w:pPr>
        <w:ind w:left="840" w:right="839"/>
        <w:spacing w:after="0" w:line="264" w:lineRule="auto"/>
        <w:rPr>
          <w:sz w:val="20"/>
          <w:szCs w:val="20"/>
          <w:color w:val="auto"/>
        </w:rPr>
      </w:pPr>
      <w:r>
        <w:rPr>
          <w:rFonts w:ascii="Arial" w:cs="Arial" w:eastAsia="Arial" w:hAnsi="Arial"/>
          <w:sz w:val="12"/>
          <w:szCs w:val="12"/>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w:t>
      </w:r>
    </w:p>
    <w:p>
      <w:pPr>
        <w:sectPr>
          <w:pgSz w:w="11900" w:h="16838" w:orient="portrait"/>
          <w:cols w:equalWidth="0" w:num="1">
            <w:col w:w="9019"/>
          </w:cols>
          <w:pgMar w:left="1440" w:top="1002" w:right="1440" w:bottom="1440" w:gutter="0" w:footer="0" w:header="0"/>
        </w:sectPr>
      </w:pPr>
    </w:p>
    <w:bookmarkStart w:id="134" w:name="page135"/>
    <w:bookmarkEnd w:id="134"/>
    <w:p>
      <w:pPr>
        <w:ind w:left="840" w:right="939"/>
        <w:spacing w:after="0" w:line="26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92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29170" cy="492760"/>
                    </a:xfrm>
                    <a:prstGeom prst="rect">
                      <a:avLst/>
                    </a:prstGeom>
                    <a:noFill/>
                  </pic:spPr>
                </pic:pic>
              </a:graphicData>
            </a:graphic>
          </wp:anchor>
        </w:drawing>
        <w:t>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Chondrial Forward-Looking Information is Subject to Risks and Uncertainty</w:t>
      </w:r>
    </w:p>
    <w:p>
      <w:pPr>
        <w:spacing w:after="0" w:line="83" w:lineRule="exact"/>
        <w:rPr>
          <w:sz w:val="20"/>
          <w:szCs w:val="20"/>
          <w:color w:val="auto"/>
        </w:rPr>
      </w:pPr>
    </w:p>
    <w:p>
      <w:pPr>
        <w:ind w:left="840" w:right="819"/>
        <w:spacing w:after="0" w:line="276" w:lineRule="auto"/>
        <w:rPr>
          <w:sz w:val="20"/>
          <w:szCs w:val="20"/>
          <w:color w:val="auto"/>
        </w:rPr>
      </w:pPr>
      <w:r>
        <w:rPr>
          <w:rFonts w:ascii="Arial" w:cs="Arial" w:eastAsia="Arial" w:hAnsi="Arial"/>
          <w:sz w:val="11"/>
          <w:szCs w:val="11"/>
          <w:i w:val="1"/>
          <w:iCs w:val="1"/>
          <w:color w:val="auto"/>
        </w:rPr>
        <w:t>This communication contains forward-looking statements based upon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Quarterly Report on Form 10-Q for the quarter ended September 30,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Chondrial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r>
        <w:rPr>
          <w:rFonts w:ascii="Arial" w:cs="Arial" w:eastAsia="Arial" w:hAnsi="Arial"/>
          <w:sz w:val="11"/>
          <w:szCs w:val="11"/>
          <w:color w:val="auto"/>
        </w:rPr>
        <w:t>.</w:t>
      </w:r>
    </w:p>
    <w:p>
      <w:pPr>
        <w:sectPr>
          <w:pgSz w:w="11900" w:h="16838" w:orient="portrait"/>
          <w:cols w:equalWidth="0" w:num="1">
            <w:col w:w="9019"/>
          </w:cols>
          <w:pgMar w:left="1440" w:top="1006" w:right="1440" w:bottom="1440" w:gutter="0" w:footer="0" w:header="0"/>
        </w:sectPr>
      </w:pPr>
    </w:p>
    <w:bookmarkStart w:id="135" w:name="page136"/>
    <w:bookmarkEnd w:id="13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927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29170" cy="492760"/>
                    </a:xfrm>
                    <a:prstGeom prst="rect">
                      <a:avLst/>
                    </a:prstGeom>
                    <a:noFill/>
                  </pic:spPr>
                </pic:pic>
              </a:graphicData>
            </a:graphic>
          </wp:anchor>
        </w:drawing>
        <w:t>Media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Krystle Gibbs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right="6259" w:hanging="9"/>
        <w:spacing w:after="0" w:line="362" w:lineRule="auto"/>
        <w:tabs>
          <w:tab w:leader="none" w:pos="1131" w:val="left"/>
        </w:tabs>
        <w:numPr>
          <w:ilvl w:val="0"/>
          <w:numId w:val="135"/>
        </w:numPr>
        <w:rPr>
          <w:rFonts w:ascii="Arial" w:cs="Arial" w:eastAsia="Arial" w:hAnsi="Arial"/>
          <w:sz w:val="10"/>
          <w:szCs w:val="10"/>
          <w:color w:val="auto"/>
        </w:rPr>
      </w:pPr>
      <w:r>
        <w:rPr>
          <w:rFonts w:ascii="Arial" w:cs="Arial" w:eastAsia="Arial" w:hAnsi="Arial"/>
          <w:sz w:val="10"/>
          <w:szCs w:val="10"/>
          <w:color w:val="auto"/>
        </w:rPr>
        <w:t xml:space="preserve">479-6358 </w:t>
      </w:r>
      <w:r>
        <w:rPr>
          <w:rFonts w:ascii="Arial" w:cs="Arial" w:eastAsia="Arial" w:hAnsi="Arial"/>
          <w:sz w:val="10"/>
          <w:szCs w:val="10"/>
          <w:u w:val="single" w:color="auto"/>
          <w:color w:val="auto"/>
        </w:rPr>
        <w:t>krystle@tenbridgecommunications.com</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w:t>
      </w:r>
    </w:p>
    <w:sectPr>
      <w:pgSz w:w="11900" w:h="16838" w:orient="portrait"/>
      <w:cols w:equalWidth="0" w:num="1">
        <w:col w:w="9019"/>
      </w:cols>
      <w:pgMar w:left="1440" w:top="10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lowerRoman"/>
      <w:start w:val="3"/>
    </w:lvl>
  </w:abstractNum>
  <w:abstractNum w:abstractNumId="4">
    <w:nsid w:val="5F5E7FD0"/>
    <w:multiLevelType w:val="hybridMultilevel"/>
    <w:lvl w:ilvl="0">
      <w:lvlJc w:val="left"/>
      <w:lvlText w:val="(%1)"/>
      <w:numFmt w:val="decimal"/>
      <w:start w:val="1"/>
    </w:lvl>
  </w:abstractNum>
  <w:abstractNum w:abstractNumId="5">
    <w:nsid w:val="98A3148"/>
    <w:multiLevelType w:val="hybridMultilevel"/>
    <w:lvl w:ilvl="0">
      <w:lvlJc w:val="left"/>
      <w:lvlText w:val="%1."/>
      <w:numFmt w:val="upperLetter"/>
      <w:start w:val="1"/>
    </w:lvl>
  </w:abstractNum>
  <w:abstractNum w:abstractNumId="6">
    <w:nsid w:val="799D0247"/>
    <w:multiLevelType w:val="hybridMultilevel"/>
    <w:lvl w:ilvl="0">
      <w:lvlJc w:val="left"/>
      <w:lvlText w:val="%1."/>
      <w:numFmt w:val="upperLetter"/>
      <w:start w:val="7"/>
    </w:lvl>
  </w:abstractNum>
  <w:abstractNum w:abstractNumId="7">
    <w:nsid w:val="6B94764"/>
    <w:multiLevelType w:val="hybridMultilevel"/>
    <w:lvl w:ilvl="0">
      <w:lvlJc w:val="left"/>
      <w:lvlText w:val="%1)"/>
      <w:numFmt w:val="lowerLetter"/>
      <w:start w:val="1"/>
    </w:lvl>
  </w:abstractNum>
  <w:abstractNum w:abstractNumId="8">
    <w:nsid w:val="42C296BD"/>
    <w:multiLevelType w:val="hybridMultilevel"/>
    <w:lvl w:ilvl="0">
      <w:lvlJc w:val="left"/>
      <w:lvlText w:val="(%1)"/>
      <w:numFmt w:val="lowerLetter"/>
      <w:start w:val="1"/>
    </w:lvl>
  </w:abstractNum>
  <w:abstractNum w:abstractNumId="9">
    <w:nsid w:val="168E121F"/>
    <w:multiLevelType w:val="hybridMultilevel"/>
    <w:lvl w:ilvl="0">
      <w:lvlJc w:val="left"/>
      <w:lvlText w:val="(%1)"/>
      <w:numFmt w:val="lowerLetter"/>
      <w:start w:val="2"/>
    </w:lvl>
  </w:abstractNum>
  <w:abstractNum w:abstractNumId="10">
    <w:nsid w:val="1EBA5D23"/>
    <w:multiLevelType w:val="hybridMultilevel"/>
    <w:lvl w:ilvl="0">
      <w:lvlJc w:val="left"/>
      <w:lvlText w:val="(%1)"/>
      <w:numFmt w:val="upperLetter"/>
      <w:start w:val="2"/>
    </w:lvl>
  </w:abstractNum>
  <w:abstractNum w:abstractNumId="11">
    <w:nsid w:val="661E3F1E"/>
    <w:multiLevelType w:val="hybridMultilevel"/>
    <w:lvl w:ilvl="0">
      <w:lvlJc w:val="left"/>
      <w:lvlText w:val="(%1)"/>
      <w:numFmt w:val="lowerLetter"/>
      <w:start w:val="1"/>
    </w:lvl>
    <w:lvl w:ilvl="1">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1)"/>
      <w:numFmt w:val="lowerRoman"/>
      <w:start w:val="1"/>
    </w:lvl>
  </w:abstractNum>
  <w:abstractNum w:abstractNumId="14">
    <w:nsid w:val="7BD3EE7B"/>
    <w:multiLevelType w:val="hybridMultilevel"/>
    <w:lvl w:ilvl="0">
      <w:lvlJc w:val="left"/>
      <w:lvlText w:val="(%1)"/>
      <w:numFmt w:val="lowerLetter"/>
      <w:start w:val="1"/>
    </w:lvl>
  </w:abstractNum>
  <w:abstractNum w:abstractNumId="15">
    <w:nsid w:val="51D9C564"/>
    <w:multiLevelType w:val="hybridMultilevel"/>
    <w:lvl w:ilvl="0">
      <w:lvlJc w:val="left"/>
      <w:lvlText w:val="%1)"/>
      <w:numFmt w:val="lowerLetter"/>
      <w:start w:val="2"/>
    </w:lvl>
  </w:abstractNum>
  <w:abstractNum w:abstractNumId="16">
    <w:nsid w:val="613EFDC5"/>
    <w:multiLevelType w:val="hybridMultilevel"/>
    <w:lvl w:ilvl="0">
      <w:lvlJc w:val="left"/>
      <w:lvlText w:val="(%1)"/>
      <w:numFmt w:val="lowerLetter"/>
      <w:start w:val="25"/>
    </w:lvl>
  </w:abstractNum>
  <w:abstractNum w:abstractNumId="17">
    <w:nsid w:val="BF72B14"/>
    <w:multiLevelType w:val="hybridMultilevel"/>
    <w:lvl w:ilvl="0">
      <w:lvlJc w:val="left"/>
      <w:lvlText w:val="(%1)"/>
      <w:numFmt w:val="lowerLetter"/>
      <w:start w:val="1"/>
    </w:lvl>
  </w:abstractNum>
  <w:abstractNum w:abstractNumId="18">
    <w:nsid w:val="11447B73"/>
    <w:multiLevelType w:val="hybridMultilevel"/>
    <w:lvl w:ilvl="0">
      <w:lvlJc w:val="left"/>
      <w:lvlText w:val="(%1)"/>
      <w:numFmt w:val="lowerLetter"/>
      <w:start w:val="1"/>
    </w:lvl>
    <w:lvl w:ilvl="1">
      <w:lvlJc w:val="left"/>
      <w:lvlText w:val="(%2)"/>
      <w:numFmt w:val="lowerRoman"/>
      <w:start w:val="1"/>
    </w:lvl>
  </w:abstractNum>
  <w:abstractNum w:abstractNumId="19">
    <w:nsid w:val="42963E5A"/>
    <w:multiLevelType w:val="hybridMultilevel"/>
    <w:lvl w:ilvl="0">
      <w:lvlJc w:val="left"/>
      <w:lvlText w:val="(%1)"/>
      <w:numFmt w:val="lowerLetter"/>
      <w:start w:val="3"/>
    </w:lvl>
  </w:abstractNum>
  <w:abstractNum w:abstractNumId="20">
    <w:nsid w:val="A0382C5"/>
    <w:multiLevelType w:val="hybridMultilevel"/>
    <w:lvl w:ilvl="0">
      <w:lvlJc w:val="left"/>
      <w:lvlText w:val="(%1)"/>
      <w:numFmt w:val="lowerLetter"/>
      <w:start w:val="1"/>
    </w:lvl>
  </w:abstractNum>
  <w:abstractNum w:abstractNumId="21">
    <w:nsid w:val="8F2B15E"/>
    <w:multiLevelType w:val="hybridMultilevel"/>
    <w:lvl w:ilvl="0">
      <w:lvlJc w:val="left"/>
      <w:lvlText w:val="(%1)"/>
      <w:numFmt w:val="lowerLetter"/>
      <w:start w:val="3"/>
    </w:lvl>
  </w:abstractNum>
  <w:abstractNum w:abstractNumId="22">
    <w:nsid w:val="1A32234B"/>
    <w:multiLevelType w:val="hybridMultilevel"/>
    <w:lvl w:ilvl="0">
      <w:lvlJc w:val="left"/>
      <w:lvlText w:val="(%1)"/>
      <w:numFmt w:val="lowerLetter"/>
      <w:start w:val="1"/>
    </w:lvl>
  </w:abstractNum>
  <w:abstractNum w:abstractNumId="23">
    <w:nsid w:val="3B0FD379"/>
    <w:multiLevelType w:val="hybridMultilevel"/>
    <w:lvl w:ilvl="0">
      <w:lvlJc w:val="left"/>
      <w:lvlText w:val="(%1)"/>
      <w:numFmt w:val="lowerLetter"/>
      <w:start w:val="2"/>
    </w:lvl>
  </w:abstractNum>
  <w:abstractNum w:abstractNumId="24">
    <w:nsid w:val="68EB2F63"/>
    <w:multiLevelType w:val="hybridMultilevel"/>
    <w:lvl w:ilvl="0">
      <w:lvlJc w:val="left"/>
      <w:lvlText w:val="(%1)"/>
      <w:numFmt w:val="lowerLetter"/>
      <w:start w:val="7"/>
    </w:lvl>
  </w:abstractNum>
  <w:abstractNum w:abstractNumId="25">
    <w:nsid w:val="4962813B"/>
    <w:multiLevelType w:val="hybridMultilevel"/>
    <w:lvl w:ilvl="0">
      <w:lvlJc w:val="left"/>
      <w:lvlText w:val="(%1)"/>
      <w:numFmt w:val="lowerLetter"/>
      <w:start w:val="10"/>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1"/>
    </w:lvl>
  </w:abstractNum>
  <w:abstractNum w:abstractNumId="28">
    <w:nsid w:val="14330624"/>
    <w:multiLevelType w:val="hybridMultilevel"/>
    <w:lvl w:ilvl="0">
      <w:lvlJc w:val="left"/>
      <w:lvlText w:val="(%1)"/>
      <w:numFmt w:val="lowerLetter"/>
      <w:start w:val="2"/>
    </w:lvl>
  </w:abstractNum>
  <w:abstractNum w:abstractNumId="29">
    <w:nsid w:val="7FFFCA11"/>
    <w:multiLevelType w:val="hybridMultilevel"/>
    <w:lvl w:ilvl="0">
      <w:lvlJc w:val="left"/>
      <w:lvlText w:val="(%1)"/>
      <w:numFmt w:val="lowerRoman"/>
      <w:start w:val="1"/>
    </w:lvl>
  </w:abstractNum>
  <w:abstractNum w:abstractNumId="30">
    <w:nsid w:val="1A27709E"/>
    <w:multiLevelType w:val="hybridMultilevel"/>
    <w:lvl w:ilvl="0">
      <w:lvlJc w:val="left"/>
      <w:lvlText w:val="(%1)"/>
      <w:numFmt w:val="lowerLetter"/>
      <w:start w:val="1"/>
    </w:lvl>
    <w:lvl w:ilvl="1">
      <w:lvlJc w:val="left"/>
      <w:lvlText w:val="(%2)"/>
      <w:numFmt w:val="lowerLetter"/>
      <w:start w:val="9"/>
    </w:lvl>
  </w:abstractNum>
  <w:abstractNum w:abstractNumId="31">
    <w:nsid w:val="71EA1109"/>
    <w:multiLevelType w:val="hybridMultilevel"/>
    <w:lvl w:ilvl="0">
      <w:lvlJc w:val="left"/>
      <w:lvlText w:val="%1"/>
      <w:numFmt w:val="lowerLetter"/>
      <w:start w:val="1"/>
    </w:lvl>
    <w:lvl w:ilvl="1">
      <w:lvlJc w:val="left"/>
      <w:lvlText w:val="(%2)"/>
      <w:numFmt w:val="lowerRoman"/>
      <w:start w:val="2"/>
    </w:lvl>
  </w:abstractNum>
  <w:abstractNum w:abstractNumId="32">
    <w:nsid w:val="100F59DC"/>
    <w:multiLevelType w:val="hybridMultilevel"/>
    <w:lvl w:ilvl="0">
      <w:lvlJc w:val="left"/>
      <w:lvlText w:val="(%1)"/>
      <w:numFmt w:val="lowerLetter"/>
      <w:start w:val="2"/>
    </w:lvl>
    <w:lvl w:ilvl="1">
      <w:lvlJc w:val="left"/>
      <w:lvlText w:val="%2"/>
      <w:numFmt w:val="lowerRoman"/>
      <w:start w:val="1"/>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lowerLetter"/>
      <w:start w:val="3"/>
    </w:lvl>
  </w:abstractNum>
  <w:abstractNum w:abstractNumId="35">
    <w:nsid w:val="6F6DD9AC"/>
    <w:multiLevelType w:val="hybridMultilevel"/>
    <w:lvl w:ilvl="0">
      <w:lvlJc w:val="left"/>
      <w:lvlText w:val="(%1)"/>
      <w:numFmt w:val="lowerLetter"/>
      <w:start w:val="6"/>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1"/>
    </w:lvl>
  </w:abstractNum>
  <w:abstractNum w:abstractNumId="38">
    <w:nsid w:val="76272110"/>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9">
    <w:nsid w:val="4C04A8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0">
    <w:nsid w:val="1716703B"/>
    <w:multiLevelType w:val="hybridMultilevel"/>
    <w:lvl w:ilvl="0">
      <w:lvlJc w:val="left"/>
      <w:lvlText w:val="%1"/>
      <w:numFmt w:val="lowerLetter"/>
      <w:start w:val="1"/>
    </w:lvl>
    <w:lvl w:ilvl="1">
      <w:lvlJc w:val="left"/>
      <w:lvlText w:val="(%2)"/>
      <w:numFmt w:val="lowerRoman"/>
      <w:start w:val="3"/>
    </w:lvl>
  </w:abstractNum>
  <w:abstractNum w:abstractNumId="41">
    <w:nsid w:val="14E17E33"/>
    <w:multiLevelType w:val="hybridMultilevel"/>
    <w:lvl w:ilvl="0">
      <w:lvlJc w:val="left"/>
      <w:lvlText w:val="(%1)"/>
      <w:numFmt w:val="lowerLetter"/>
      <w:start w:val="7"/>
    </w:lvl>
    <w:lvl w:ilvl="1">
      <w:lvlJc w:val="left"/>
      <w:lvlText w:val="%2"/>
      <w:numFmt w:val="lowerRoman"/>
      <w:start w:val="1"/>
    </w:lvl>
  </w:abstractNum>
  <w:abstractNum w:abstractNumId="42">
    <w:nsid w:val="3222E7CD"/>
    <w:multiLevelType w:val="hybridMultilevel"/>
    <w:lvl w:ilvl="0">
      <w:lvlJc w:val="left"/>
      <w:lvlText w:val="(%1)"/>
      <w:numFmt w:val="lowerLetter"/>
      <w:start w:val="10"/>
    </w:lvl>
  </w:abstractNum>
  <w:abstractNum w:abstractNumId="43">
    <w:nsid w:val="74DE0EE3"/>
    <w:multiLevelType w:val="hybridMultilevel"/>
    <w:lvl w:ilvl="0">
      <w:lvlJc w:val="left"/>
      <w:lvlText w:val="(%1)"/>
      <w:numFmt w:val="lowerLetter"/>
      <w:start w:val="1"/>
    </w:lvl>
    <w:lvl w:ilvl="1">
      <w:lvlJc w:val="left"/>
      <w:lvlText w:val="(%2)"/>
      <w:numFmt w:val="lowerLetter"/>
      <w:start w:val="9"/>
    </w:lvl>
  </w:abstractNum>
  <w:abstractNum w:abstractNumId="44">
    <w:nsid w:val="68EBC550"/>
    <w:multiLevelType w:val="hybridMultilevel"/>
    <w:lvl w:ilvl="0">
      <w:lvlJc w:val="left"/>
      <w:lvlText w:val="(%1)"/>
      <w:numFmt w:val="lowerRoman"/>
      <w:start w:val="2"/>
    </w:lvl>
  </w:abstractNum>
  <w:abstractNum w:abstractNumId="45">
    <w:nsid w:val="2DF6D648"/>
    <w:multiLevelType w:val="hybridMultilevel"/>
    <w:lvl w:ilvl="0">
      <w:lvlJc w:val="left"/>
      <w:lvlText w:val="(%1)"/>
      <w:numFmt w:val="lowerRoman"/>
      <w:start w:val="7"/>
    </w:lvl>
  </w:abstractNum>
  <w:abstractNum w:abstractNumId="46">
    <w:nsid w:val="46B7D447"/>
    <w:multiLevelType w:val="hybridMultilevel"/>
    <w:lvl w:ilvl="0">
      <w:lvlJc w:val="left"/>
      <w:lvlText w:val="%1"/>
      <w:numFmt w:val="lowerLetter"/>
      <w:start w:val="1"/>
    </w:lvl>
    <w:lvl w:ilvl="1">
      <w:lvlJc w:val="left"/>
      <w:lvlText w:val="(%2)"/>
      <w:numFmt w:val="lowerRoman"/>
      <w:start w:val="10"/>
    </w:lvl>
  </w:abstractNum>
  <w:abstractNum w:abstractNumId="47">
    <w:nsid w:val="4A2AC315"/>
    <w:multiLevelType w:val="hybridMultilevel"/>
    <w:lvl w:ilvl="0">
      <w:lvlJc w:val="left"/>
      <w:lvlText w:val="(%1)"/>
      <w:numFmt w:val="lowerLetter"/>
      <w:start w:val="2"/>
    </w:lvl>
    <w:lvl w:ilvl="1">
      <w:lvlJc w:val="left"/>
      <w:lvlText w:val="%2"/>
      <w:numFmt w:val="lowerRoman"/>
      <w:start w:val="1"/>
    </w:lvl>
  </w:abstractNum>
  <w:abstractNum w:abstractNumId="48">
    <w:nsid w:val="39EE015C"/>
    <w:multiLevelType w:val="hybridMultilevel"/>
    <w:lvl w:ilvl="0">
      <w:lvlJc w:val="left"/>
      <w:lvlText w:val="(%1)"/>
      <w:numFmt w:val="lowerLetter"/>
      <w:start w:val="1"/>
    </w:lvl>
  </w:abstractNum>
  <w:abstractNum w:abstractNumId="49">
    <w:nsid w:val="57FC4FBB"/>
    <w:multiLevelType w:val="hybridMultilevel"/>
    <w:lvl w:ilvl="0">
      <w:lvlJc w:val="left"/>
      <w:lvlText w:val="(%1)"/>
      <w:numFmt w:val="lowerLetter"/>
      <w:start w:val="2"/>
    </w:lvl>
  </w:abstractNum>
  <w:abstractNum w:abstractNumId="50">
    <w:nsid w:val="CC1016F"/>
    <w:multiLevelType w:val="hybridMultilevel"/>
    <w:lvl w:ilvl="0">
      <w:lvlJc w:val="left"/>
      <w:lvlText w:val="%1."/>
      <w:numFmt w:val="decimal"/>
      <w:start w:val="312"/>
    </w:lvl>
    <w:lvl w:ilvl="1">
      <w:lvlJc w:val="left"/>
      <w:lvlText w:val="(%2)"/>
      <w:numFmt w:val="lowerLetter"/>
      <w:start w:val="6"/>
    </w:lvl>
  </w:abstractNum>
  <w:abstractNum w:abstractNumId="51">
    <w:nsid w:val="43F18422"/>
    <w:multiLevelType w:val="hybridMultilevel"/>
    <w:lvl w:ilvl="0">
      <w:lvlJc w:val="left"/>
      <w:lvlText w:val="(%1)"/>
      <w:numFmt w:val="lowerLetter"/>
      <w:start w:val="1"/>
    </w:lvl>
  </w:abstractNum>
  <w:abstractNum w:abstractNumId="52">
    <w:nsid w:val="60EF0119"/>
    <w:multiLevelType w:val="hybridMultilevel"/>
    <w:lvl w:ilvl="0">
      <w:lvlJc w:val="left"/>
      <w:lvlText w:val="(%1)"/>
      <w:numFmt w:val="lowerLetter"/>
      <w:start w:val="1"/>
    </w:lvl>
  </w:abstractNum>
  <w:abstractNum w:abstractNumId="53">
    <w:nsid w:val="26F324BA"/>
    <w:multiLevelType w:val="hybridMultilevel"/>
    <w:lvl w:ilvl="0">
      <w:lvlJc w:val="left"/>
      <w:lvlText w:val="(%1)"/>
      <w:numFmt w:val="lowerLetter"/>
      <w:start w:val="6"/>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6"/>
    </w:lvl>
  </w:abstractNum>
  <w:abstractNum w:abstractNumId="56">
    <w:nsid w:val="7055A5F5"/>
    <w:multiLevelType w:val="hybridMultilevel"/>
    <w:lvl w:ilvl="0">
      <w:lvlJc w:val="left"/>
      <w:lvlText w:val="%1"/>
      <w:numFmt w:val="lowerLetter"/>
      <w:start w:val="1"/>
    </w:lvl>
    <w:lvl w:ilvl="1">
      <w:lvlJc w:val="left"/>
      <w:lvlText w:val="(%2)"/>
      <w:numFmt w:val="lowerLetter"/>
      <w:start w:val="10"/>
    </w:lvl>
  </w:abstractNum>
  <w:abstractNum w:abstractNumId="57">
    <w:nsid w:val="5FB8370B"/>
    <w:multiLevelType w:val="hybridMultilevel"/>
    <w:lvl w:ilvl="0">
      <w:lvlJc w:val="left"/>
      <w:lvlText w:val="(%1)"/>
      <w:numFmt w:val="lowerLetter"/>
      <w:start w:val="35"/>
    </w:lvl>
    <w:lvl w:ilvl="1">
      <w:lvlJc w:val="left"/>
      <w:lvlText w:val="%2"/>
      <w:numFmt w:val="lowerLetter"/>
      <w:start w:val="1"/>
    </w:lvl>
  </w:abstractNum>
  <w:abstractNum w:abstractNumId="58">
    <w:nsid w:val="50801EE1"/>
    <w:multiLevelType w:val="hybridMultilevel"/>
    <w:lvl w:ilvl="0">
      <w:lvlJc w:val="left"/>
      <w:lvlText w:val="(%1)"/>
      <w:numFmt w:val="lowerRoman"/>
      <w:start w:val="1"/>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1">
    <w:nsid w:val="6AA78F7F"/>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62">
    <w:nsid w:val="7672BD2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63">
    <w:nsid w:val="6FC75AF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4">
    <w:nsid w:val="6A5F7029"/>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Roman"/>
      <w:start w:val="1"/>
    </w:lvl>
    <w:lvl w:ilvl="1">
      <w:lvlJc w:val="left"/>
      <w:lvlText w:val="(%2)"/>
      <w:numFmt w:val="lowerLetter"/>
      <w:start w:val="3"/>
    </w:lvl>
  </w:abstractNum>
  <w:abstractNum w:abstractNumId="67">
    <w:nsid w:val="73A1821B"/>
    <w:multiLevelType w:val="hybridMultilevel"/>
    <w:lvl w:ilvl="0">
      <w:lvlJc w:val="left"/>
      <w:lvlText w:val="(%1)"/>
      <w:numFmt w:val="lowerRoman"/>
      <w:start w:val="4"/>
    </w:lvl>
    <w:lvl w:ilvl="1">
      <w:lvlJc w:val="left"/>
      <w:lvlText w:val="(%2)"/>
      <w:numFmt w:val="lowerLetter"/>
      <w:start w:val="4"/>
    </w:lvl>
  </w:abstractNum>
  <w:abstractNum w:abstractNumId="68">
    <w:nsid w:val="7DE67713"/>
    <w:multiLevelType w:val="hybridMultilevel"/>
    <w:lvl w:ilvl="0">
      <w:lvlJc w:val="left"/>
      <w:lvlText w:val="%1"/>
      <w:numFmt w:val="lowerLetter"/>
      <w:start w:val="1"/>
    </w:lvl>
    <w:lvl w:ilvl="1">
      <w:lvlJc w:val="left"/>
      <w:lvlText w:val="(%2)"/>
      <w:numFmt w:val="lowerLetter"/>
      <w:start w:val="1"/>
    </w:lvl>
  </w:abstractNum>
  <w:abstractNum w:abstractNumId="69">
    <w:nsid w:val="555C55B5"/>
    <w:multiLevelType w:val="hybridMultilevel"/>
    <w:lvl w:ilvl="0">
      <w:lvlJc w:val="left"/>
      <w:lvlText w:val="(%1)"/>
      <w:numFmt w:val="lowerLetter"/>
      <w:start w:val="9"/>
    </w:lvl>
    <w:lvl w:ilvl="1">
      <w:lvlJc w:val="left"/>
      <w:lvlText w:val="(%2)"/>
      <w:numFmt w:val="lowerLetter"/>
      <w:start w:val="3"/>
    </w:lvl>
  </w:abstractNum>
  <w:abstractNum w:abstractNumId="70">
    <w:nsid w:val="3FA62ACA"/>
    <w:multiLevelType w:val="hybridMultilevel"/>
    <w:lvl w:ilvl="0">
      <w:lvlJc w:val="left"/>
      <w:lvlText w:val="(%1)"/>
      <w:numFmt w:val="lowerLetter"/>
      <w:start w:val="6"/>
    </w:lvl>
  </w:abstractNum>
  <w:abstractNum w:abstractNumId="71">
    <w:nsid w:val="14FCE74E"/>
    <w:multiLevelType w:val="hybridMultilevel"/>
    <w:lvl w:ilvl="0">
      <w:lvlJc w:val="left"/>
      <w:lvlText w:val="%1"/>
      <w:numFmt w:val="upperLetter"/>
      <w:start w:val="1"/>
    </w:lvl>
    <w:lvl w:ilvl="1">
      <w:lvlJc w:val="left"/>
      <w:lvlText w:val="(%2)"/>
      <w:numFmt w:val="lowerLetter"/>
      <w:start w:val="1"/>
    </w:lvl>
  </w:abstractNum>
  <w:abstractNum w:abstractNumId="72">
    <w:nsid w:val="6A3DD3E8"/>
    <w:multiLevelType w:val="hybridMultilevel"/>
    <w:lvl w:ilvl="0">
      <w:lvlJc w:val="left"/>
      <w:lvlText w:val="(%1)"/>
      <w:numFmt w:val="upperLetter"/>
      <w:start w:val="2"/>
    </w:lvl>
    <w:lvl w:ilvl="1">
      <w:lvlJc w:val="left"/>
      <w:lvlText w:val="(%2)"/>
      <w:numFmt w:val="lowerLetter"/>
      <w:start w:val="4"/>
    </w:lvl>
  </w:abstractNum>
  <w:abstractNum w:abstractNumId="73">
    <w:nsid w:val="71C91298"/>
    <w:multiLevelType w:val="hybridMultilevel"/>
    <w:lvl w:ilvl="0">
      <w:lvlJc w:val="left"/>
      <w:lvlText w:val="(%1)"/>
      <w:numFmt w:val="lowerLetter"/>
      <w:start w:val="7"/>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5"/>
    </w:lvl>
  </w:abstractNum>
  <w:abstractNum w:abstractNumId="76">
    <w:nsid w:val="1FBFE8E0"/>
    <w:multiLevelType w:val="hybridMultilevel"/>
    <w:lvl w:ilvl="0">
      <w:lvlJc w:val="left"/>
      <w:lvlText w:val="%1"/>
      <w:numFmt w:val="lowerLetter"/>
      <w:start w:val="1"/>
    </w:lvl>
    <w:lvl w:ilvl="1">
      <w:lvlJc w:val="left"/>
      <w:lvlText w:val="(%2)"/>
      <w:numFmt w:val="lowerLetter"/>
      <w:start w:val="8"/>
    </w:lvl>
  </w:abstractNum>
  <w:abstractNum w:abstractNumId="77">
    <w:nsid w:val="5092CA79"/>
    <w:multiLevelType w:val="hybridMultilevel"/>
    <w:lvl w:ilvl="0">
      <w:lvlJc w:val="left"/>
      <w:lvlText w:val="(%1)"/>
      <w:numFmt w:val="lowerLetter"/>
      <w:start w:val="35"/>
    </w:lvl>
    <w:lvl w:ilvl="1">
      <w:lvlJc w:val="left"/>
      <w:lvlText w:val="%2"/>
      <w:numFmt w:val="lowerLetter"/>
      <w:start w:val="1"/>
    </w:lvl>
  </w:abstractNum>
  <w:abstractNum w:abstractNumId="78">
    <w:nsid w:val="1D545C4D"/>
    <w:multiLevelType w:val="hybridMultilevel"/>
    <w:lvl w:ilvl="0">
      <w:lvlJc w:val="left"/>
      <w:lvlText w:val="(%1)"/>
      <w:numFmt w:val="lowerLetter"/>
      <w:start w:val="1"/>
    </w:lvl>
  </w:abstractNum>
  <w:abstractNum w:abstractNumId="79">
    <w:nsid w:val="59ADEA3D"/>
    <w:multiLevelType w:val="hybridMultilevel"/>
    <w:lvl w:ilvl="0">
      <w:lvlJc w:val="left"/>
      <w:lvlText w:val="(%1)"/>
      <w:numFmt w:val="lowerLetter"/>
      <w:start w:val="1"/>
    </w:lvl>
  </w:abstractNum>
  <w:abstractNum w:abstractNumId="80">
    <w:nsid w:val="288F1A34"/>
    <w:multiLevelType w:val="hybridMultilevel"/>
    <w:lvl w:ilvl="0">
      <w:lvlJc w:val="left"/>
      <w:lvlText w:val="(%1)"/>
      <w:numFmt w:val="lowerLetter"/>
      <w:start w:val="6"/>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1"/>
    </w:lvl>
    <w:lvl w:ilvl="1">
      <w:lvlJc w:val="left"/>
      <w:lvlText w:val="(%2)"/>
      <w:numFmt w:val="lowerLetter"/>
      <w:start w:val="6"/>
    </w:lvl>
  </w:abstractNum>
  <w:abstractNum w:abstractNumId="83">
    <w:nsid w:val="97E1B4E"/>
    <w:multiLevelType w:val="hybridMultilevel"/>
    <w:lvl w:ilvl="0">
      <w:lvlJc w:val="left"/>
      <w:lvlText w:val="(%1)"/>
      <w:numFmt w:val="lowerLetter"/>
      <w:start w:val="61"/>
    </w:lvl>
    <w:lvl w:ilvl="1">
      <w:lvlJc w:val="left"/>
      <w:lvlText w:val="(%2)"/>
      <w:numFmt w:val="lowerLetter"/>
      <w:start w:val="7"/>
    </w:lvl>
  </w:abstractNum>
  <w:abstractNum w:abstractNumId="84">
    <w:nsid w:val="51088277"/>
    <w:multiLevelType w:val="hybridMultilevel"/>
    <w:lvl w:ilvl="0">
      <w:lvlJc w:val="left"/>
      <w:lvlText w:val="(%1)"/>
      <w:numFmt w:val="lowerLetter"/>
      <w:start w:val="35"/>
    </w:lvl>
    <w:lvl w:ilvl="1">
      <w:lvlJc w:val="left"/>
      <w:lvlText w:val="(%2)"/>
      <w:numFmt w:val="lowerLetter"/>
      <w:start w:val="8"/>
    </w:lvl>
  </w:abstractNum>
  <w:abstractNum w:abstractNumId="85">
    <w:nsid w:val="1CA0C5FA"/>
    <w:multiLevelType w:val="hybridMultilevel"/>
    <w:lvl w:ilvl="0">
      <w:lvlJc w:val="left"/>
      <w:lvlText w:val="(%1)"/>
      <w:numFmt w:val="lowerLetter"/>
      <w:start w:val="35"/>
    </w:lvl>
    <w:lvl w:ilvl="1">
      <w:lvlJc w:val="left"/>
      <w:lvlText w:val="(%2)"/>
      <w:numFmt w:val="lowerLetter"/>
      <w:start w:val="11"/>
    </w:lvl>
  </w:abstractNum>
  <w:abstractNum w:abstractNumId="86">
    <w:nsid w:val="53584BCB"/>
    <w:multiLevelType w:val="hybridMultilevel"/>
    <w:lvl w:ilvl="0">
      <w:lvlJc w:val="left"/>
      <w:lvlText w:val="(%1)"/>
      <w:numFmt w:val="lowerLetter"/>
      <w:start w:val="9"/>
    </w:lvl>
    <w:lvl w:ilvl="1">
      <w:lvlJc w:val="left"/>
      <w:lvlText w:val="%2"/>
      <w:numFmt w:val="lowerLetter"/>
      <w:start w:val="1"/>
    </w:lvl>
  </w:abstractNum>
  <w:abstractNum w:abstractNumId="87">
    <w:nsid w:val="415E286C"/>
    <w:multiLevelType w:val="hybridMultilevel"/>
    <w:lvl w:ilvl="0">
      <w:lvlJc w:val="left"/>
      <w:lvlText w:val="(%1)"/>
      <w:numFmt w:val="lowerLetter"/>
      <w:start w:val="12"/>
    </w:lvl>
  </w:abstractNum>
  <w:abstractNum w:abstractNumId="88">
    <w:nsid w:val="7C58FD05"/>
    <w:multiLevelType w:val="hybridMultilevel"/>
    <w:lvl w:ilvl="0">
      <w:lvlJc w:val="left"/>
      <w:lvlText w:val="(%1)"/>
      <w:numFmt w:val="lowerLetter"/>
      <w:start w:val="1"/>
    </w:lvl>
    <w:lvl w:ilvl="1">
      <w:lvlJc w:val="left"/>
      <w:lvlText w:val="(%2)"/>
      <w:numFmt w:val="lowerRoman"/>
      <w:start w:val="1"/>
    </w:lvl>
  </w:abstractNum>
  <w:abstractNum w:abstractNumId="89">
    <w:nsid w:val="23D86AAC"/>
    <w:multiLevelType w:val="hybridMultilevel"/>
    <w:lvl w:ilvl="0">
      <w:lvlJc w:val="left"/>
      <w:lvlText w:val="%1"/>
      <w:numFmt w:val="upperLetter"/>
      <w:start w:val="1"/>
    </w:lvl>
    <w:lvl w:ilvl="1">
      <w:lvlJc w:val="left"/>
      <w:lvlText w:val="(%2)"/>
      <w:numFmt w:val="lowerRoman"/>
      <w:start w:val="5"/>
    </w:lvl>
  </w:abstractNum>
  <w:abstractNum w:abstractNumId="90">
    <w:nsid w:val="45E6D486"/>
    <w:multiLevelType w:val="hybridMultilevel"/>
    <w:lvl w:ilvl="0">
      <w:lvlJc w:val="left"/>
      <w:lvlText w:val="(%1)"/>
      <w:numFmt w:val="upperLetter"/>
      <w:start w:val="4"/>
    </w:lvl>
    <w:lvl w:ilvl="1">
      <w:lvlJc w:val="left"/>
      <w:lvlText w:val="(%2)"/>
      <w:numFmt w:val="lowerRoman"/>
      <w:start w:val="7"/>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2"/>
    </w:lvl>
    <w:lvl w:ilvl="1">
      <w:lvlJc w:val="left"/>
      <w:lvlText w:val="(%2)"/>
      <w:numFmt w:val="lowerRoman"/>
      <w:start w:val="1"/>
    </w:lvl>
  </w:abstractNum>
  <w:abstractNum w:abstractNumId="93">
    <w:nsid w:val="3C5991AA"/>
    <w:multiLevelType w:val="hybridMultilevel"/>
    <w:lvl w:ilvl="0">
      <w:lvlJc w:val="left"/>
      <w:lvlText w:val="(%1)"/>
      <w:numFmt w:val="lowerRoman"/>
      <w:start w:val="10"/>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lowerLetter"/>
      <w:start w:val="3"/>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lowerLetter"/>
      <w:start w:val="3"/>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4"/>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3"/>
    </w:lvl>
  </w:abstractNum>
  <w:abstractNum w:abstractNumId="103">
    <w:nsid w:val="6AA7B75C"/>
    <w:multiLevelType w:val="hybridMultilevel"/>
    <w:lvl w:ilvl="0">
      <w:lvlJc w:val="left"/>
      <w:lvlText w:val="%1"/>
      <w:numFmt w:val="lowerLetter"/>
      <w:start w:val="1"/>
    </w:lvl>
    <w:lvl w:ilvl="1">
      <w:lvlJc w:val="left"/>
      <w:lvlText w:val="(%2)"/>
      <w:numFmt w:val="lowerLetter"/>
      <w:start w:val="1"/>
    </w:lvl>
  </w:abstractNum>
  <w:abstractNum w:abstractNumId="104">
    <w:nsid w:val="1DF029D3"/>
    <w:multiLevelType w:val="hybridMultilevel"/>
    <w:lvl w:ilvl="0">
      <w:lvlJc w:val="left"/>
      <w:lvlText w:val="(%1)"/>
      <w:numFmt w:val="lowerLetter"/>
      <w:start w:val="61"/>
    </w:lvl>
    <w:lvl w:ilvl="1">
      <w:lvlJc w:val="left"/>
      <w:lvlText w:val="%2"/>
      <w:numFmt w:val="lowerLetter"/>
      <w:start w:val="1"/>
    </w:lvl>
  </w:abstractNum>
  <w:abstractNum w:abstractNumId="105">
    <w:nsid w:val="5675FF36"/>
    <w:multiLevelType w:val="hybridMultilevel"/>
    <w:lvl w:ilvl="0">
      <w:lvlJc w:val="left"/>
      <w:lvlText w:val="(%1)"/>
      <w:numFmt w:val="lowerLetter"/>
      <w:start w:val="2"/>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5"/>
    </w:lvl>
  </w:abstractNum>
  <w:abstractNum w:abstractNumId="108">
    <w:nsid w:val="2708C9AF"/>
    <w:multiLevelType w:val="hybridMultilevel"/>
    <w:lvl w:ilvl="0">
      <w:lvlJc w:val="left"/>
      <w:lvlText w:val="(%1)"/>
      <w:numFmt w:val="lowerLetter"/>
      <w:start w:val="1"/>
    </w:lvl>
  </w:abstractNum>
  <w:abstractNum w:abstractNumId="109">
    <w:nsid w:val="5B25ACE2"/>
    <w:multiLevelType w:val="hybridMultilevel"/>
    <w:lvl w:ilvl="0">
      <w:lvlJc w:val="left"/>
      <w:lvlText w:val="(%1)"/>
      <w:numFmt w:val="lowerLetter"/>
      <w:start w:val="2"/>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3"/>
    </w:lvl>
  </w:abstractNum>
  <w:abstractNum w:abstractNumId="112">
    <w:nsid w:val="53B0A9E"/>
    <w:multiLevelType w:val="hybridMultilevel"/>
    <w:lvl w:ilvl="0">
      <w:lvlJc w:val="left"/>
      <w:lvlText w:val="%1"/>
      <w:numFmt w:val="decimal"/>
      <w:start w:val="1"/>
    </w:lvl>
    <w:lvl w:ilvl="1">
      <w:lvlJc w:val="left"/>
      <w:lvlText w:val="(%2)"/>
      <w:numFmt w:val="lowerLetter"/>
      <w:start w:val="10"/>
    </w:lvl>
  </w:abstractNum>
  <w:abstractNum w:abstractNumId="113">
    <w:nsid w:val="34FD6B4F"/>
    <w:multiLevelType w:val="hybridMultilevel"/>
    <w:lvl w:ilvl="0">
      <w:lvlJc w:val="left"/>
      <w:lvlText w:val="(%1)"/>
      <w:numFmt w:val="decimal"/>
      <w:start w:val="4"/>
    </w:lvl>
    <w:lvl w:ilvl="1">
      <w:lvlJc w:val="left"/>
      <w:lvlText w:val="%2"/>
      <w:numFmt w:val="lowerLetter"/>
      <w:start w:val="1"/>
    </w:lvl>
  </w:abstractNum>
  <w:abstractNum w:abstractNumId="114">
    <w:nsid w:val="5915FF32"/>
    <w:multiLevelType w:val="hybridMultilevel"/>
    <w:lvl w:ilvl="0">
      <w:lvlJc w:val="left"/>
      <w:lvlText w:val="(%1)"/>
      <w:numFmt w:val="lowerLetter"/>
      <w:start w:val="1"/>
    </w:lvl>
  </w:abstractNum>
  <w:abstractNum w:abstractNumId="115">
    <w:nsid w:val="56438D15"/>
    <w:multiLevelType w:val="hybridMultilevel"/>
    <w:lvl w:ilvl="0">
      <w:lvlJc w:val="left"/>
      <w:lvlText w:val="(%1)"/>
      <w:numFmt w:val="lowerLetter"/>
      <w:start w:val="3"/>
    </w:lvl>
  </w:abstractNum>
  <w:abstractNum w:abstractNumId="116">
    <w:nsid w:val="519E3149"/>
    <w:multiLevelType w:val="hybridMultilevel"/>
    <w:lvl w:ilvl="0">
      <w:lvlJc w:val="left"/>
      <w:lvlText w:val="(%1)"/>
      <w:numFmt w:val="lowerLetter"/>
      <w:start w:val="7"/>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2"/>
    </w:lvl>
  </w:abstractNum>
  <w:abstractNum w:abstractNumId="119">
    <w:nsid w:val="4DF72E4E"/>
    <w:multiLevelType w:val="hybridMultilevel"/>
    <w:lvl w:ilvl="0">
      <w:lvlJc w:val="left"/>
      <w:lvlText w:val="%1."/>
      <w:numFmt w:val="decimal"/>
      <w:start w:val="1"/>
    </w:lvl>
    <w:lvl w:ilvl="1">
      <w:lvlJc w:val="left"/>
      <w:lvlText w:val="(%2)"/>
      <w:numFmt w:val="lowerLetter"/>
      <w:start w:val="1"/>
    </w:lvl>
  </w:abstractNum>
  <w:abstractNum w:abstractNumId="120">
    <w:nsid w:val="5046B5A9"/>
    <w:multiLevelType w:val="hybridMultilevel"/>
    <w:lvl w:ilvl="0">
      <w:lvlJc w:val="left"/>
      <w:lvlText w:val="%1."/>
      <w:numFmt w:val="decimal"/>
      <w:start w:val="2"/>
    </w:lvl>
  </w:abstractNum>
  <w:abstractNum w:abstractNumId="121">
    <w:nsid w:val="5D888A08"/>
    <w:multiLevelType w:val="hybridMultilevel"/>
    <w:lvl w:ilvl="0">
      <w:lvlJc w:val="left"/>
      <w:lvlText w:val="%1."/>
      <w:numFmt w:val="decimal"/>
      <w:start w:val="5"/>
    </w:lvl>
    <w:lvl w:ilvl="1">
      <w:lvlJc w:val="left"/>
      <w:lvlText w:val="(%2)"/>
      <w:numFmt w:val="lowerLetter"/>
      <w:start w:val="1"/>
    </w:lvl>
  </w:abstractNum>
  <w:abstractNum w:abstractNumId="122">
    <w:nsid w:val="2A082C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23">
    <w:nsid w:val="5EC6AFD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24">
    <w:nsid w:val="19E21BB2"/>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125">
    <w:nsid w:val="75E0858A"/>
    <w:multiLevelType w:val="hybridMultilevel"/>
    <w:lvl w:ilvl="0">
      <w:lvlJc w:val="left"/>
      <w:lvlText w:val="%1"/>
      <w:numFmt w:val="decimal"/>
      <w:start w:val="1"/>
    </w:lvl>
    <w:lvl w:ilvl="1">
      <w:lvlJc w:val="left"/>
      <w:lvlText w:val="(%2)"/>
      <w:numFmt w:val="lowerLetter"/>
      <w:start w:val="2"/>
    </w:lvl>
  </w:abstractNum>
  <w:abstractNum w:abstractNumId="126">
    <w:nsid w:val="57A61A29"/>
    <w:multiLevelType w:val="hybridMultilevel"/>
    <w:lvl w:ilvl="0">
      <w:lvlJc w:val="left"/>
      <w:lvlText w:val="%1."/>
      <w:numFmt w:val="decimal"/>
      <w:start w:val="9"/>
    </w:lvl>
    <w:lvl w:ilvl="1">
      <w:lvlJc w:val="left"/>
      <w:lvlText w:val="%2"/>
      <w:numFmt w:val="lowerLetter"/>
      <w:start w:val="1"/>
    </w:lvl>
  </w:abstractNum>
  <w:abstractNum w:abstractNumId="127">
    <w:nsid w:val="5399C654"/>
    <w:multiLevelType w:val="hybridMultilevel"/>
    <w:lvl w:ilvl="0">
      <w:lvlJc w:val="left"/>
      <w:lvlText w:val="%1."/>
      <w:numFmt w:val="decimal"/>
      <w:start w:val="13"/>
    </w:lvl>
  </w:abstractNum>
  <w:abstractNum w:abstractNumId="128">
    <w:nsid w:val="20EE1348"/>
    <w:multiLevelType w:val="hybridMultilevel"/>
    <w:lvl w:ilvl="0">
      <w:lvlJc w:val="left"/>
      <w:lvlText w:val="%1."/>
      <w:numFmt w:val="decimal"/>
      <w:start w:val="18"/>
    </w:lvl>
  </w:abstractNum>
  <w:abstractNum w:abstractNumId="129">
    <w:nsid w:val="4427069A"/>
    <w:multiLevelType w:val="hybridMultilevel"/>
    <w:lvl w:ilvl="0">
      <w:lvlJc w:val="left"/>
      <w:lvlText w:val="%1."/>
      <w:numFmt w:val="decimal"/>
      <w:start w:val="23"/>
    </w:lvl>
    <w:lvl w:ilvl="1">
      <w:lvlJc w:val="left"/>
      <w:lvlText w:val="(%2)"/>
      <w:numFmt w:val="lowerLetter"/>
      <w:start w:val="1"/>
    </w:lvl>
  </w:abstractNum>
  <w:abstractNum w:abstractNumId="130">
    <w:nsid w:val="B37E80A"/>
    <w:multiLevelType w:val="hybridMultilevel"/>
    <w:lvl w:ilvl="0">
      <w:lvlJc w:val="left"/>
      <w:lvlText w:val="(%1)"/>
      <w:numFmt w:val="lowerRoman"/>
      <w:start w:val="1"/>
    </w:lvl>
  </w:abstractNum>
  <w:abstractNum w:abstractNumId="131">
    <w:nsid w:val="2157F6BC"/>
    <w:multiLevelType w:val="hybridMultilevel"/>
    <w:lvl w:ilvl="0">
      <w:lvlJc w:val="left"/>
      <w:lvlText w:val="(%1)"/>
      <w:numFmt w:val="lowerRoman"/>
      <w:start w:val="1"/>
    </w:lvl>
  </w:abstractNum>
  <w:abstractNum w:abstractNumId="132">
    <w:nsid w:val="704E1DD5"/>
    <w:multiLevelType w:val="hybridMultilevel"/>
    <w:lvl w:ilvl="0">
      <w:lvlJc w:val="left"/>
      <w:lvlText w:val="(%1)"/>
      <w:numFmt w:val="lowerLetter"/>
      <w:start w:val="2"/>
    </w:lvl>
  </w:abstractNum>
  <w:abstractNum w:abstractNumId="133">
    <w:nsid w:val="57D2F10E"/>
    <w:multiLevelType w:val="hybridMultilevel"/>
    <w:lvl w:ilvl="0">
      <w:lvlJc w:val="left"/>
      <w:lvlText w:val="1"/>
      <w:numFmt w:val="bullet"/>
      <w:start w:val="1"/>
    </w:lvl>
  </w:abstractNum>
  <w:abstractNum w:abstractNumId="134">
    <w:nsid w:val="BFFAE18"/>
    <w:multiLevelType w:val="hybridMultilevel"/>
    <w:lvl w:ilvl="0">
      <w:lvlJc w:val="left"/>
      <w:lvlText w:val="(%1)"/>
      <w:numFmt w:val="decimal"/>
      <w:start w:val="5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2019-12-18T07:15:16Z</dcterms:created>
  <dcterms:modified xsi:type="dcterms:W3CDTF">2019-12-18T07:15:16Z</dcterms:modified>
</cp:coreProperties>
</file>