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333-279275</w:t>
      </w:r>
    </w:p>
    <w:p>
      <w:pPr>
        <w:spacing w:after="0" w:line="200" w:lineRule="exact"/>
        <w:rPr>
          <w:sz w:val="24"/>
          <w:szCs w:val="24"/>
          <w:color w:val="auto"/>
        </w:rPr>
      </w:pPr>
    </w:p>
    <w:p>
      <w:pPr>
        <w:spacing w:after="0" w:line="231"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PROSPECTUS SUPPLEMENT</w:t>
      </w:r>
    </w:p>
    <w:p>
      <w:pPr>
        <w:spacing w:after="0" w:line="135" w:lineRule="exact"/>
        <w:rPr>
          <w:sz w:val="24"/>
          <w:szCs w:val="24"/>
          <w:color w:val="auto"/>
        </w:rPr>
      </w:pPr>
    </w:p>
    <w:p>
      <w:pPr>
        <w:ind w:left="120"/>
        <w:spacing w:after="0"/>
        <w:rPr>
          <w:sz w:val="20"/>
          <w:szCs w:val="20"/>
          <w:color w:val="auto"/>
        </w:rPr>
      </w:pPr>
      <w:r>
        <w:rPr>
          <w:rFonts w:ascii="Arial" w:cs="Arial" w:eastAsia="Arial" w:hAnsi="Arial"/>
          <w:sz w:val="20"/>
          <w:szCs w:val="20"/>
          <w:b w:val="1"/>
          <w:bCs w:val="1"/>
          <w:color w:val="auto"/>
        </w:rPr>
        <w:t>(To Prospectus dated May 24,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1920240" cy="702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20240" cy="7029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ind w:left="120"/>
        <w:spacing w:after="0"/>
        <w:rPr>
          <w:sz w:val="20"/>
          <w:szCs w:val="20"/>
          <w:color w:val="auto"/>
        </w:rPr>
      </w:pPr>
      <w:r>
        <w:rPr>
          <w:rFonts w:ascii="Arial" w:cs="Arial" w:eastAsia="Arial" w:hAnsi="Arial"/>
          <w:sz w:val="22"/>
          <w:szCs w:val="22"/>
          <w:b w:val="1"/>
          <w:bCs w:val="1"/>
          <w:color w:val="auto"/>
        </w:rPr>
        <w:t>20,000,000 Shares of Common Stock</w:t>
      </w:r>
    </w:p>
    <w:p>
      <w:pPr>
        <w:spacing w:after="0" w:line="139" w:lineRule="exact"/>
        <w:rPr>
          <w:sz w:val="24"/>
          <w:szCs w:val="24"/>
          <w:color w:val="auto"/>
        </w:rPr>
      </w:pPr>
    </w:p>
    <w:p>
      <w:pPr>
        <w:ind w:left="120"/>
        <w:spacing w:after="0"/>
        <w:rPr>
          <w:sz w:val="20"/>
          <w:szCs w:val="20"/>
          <w:color w:val="auto"/>
        </w:rPr>
      </w:pPr>
      <w:r>
        <w:rPr>
          <w:rFonts w:ascii="Arial" w:cs="Arial" w:eastAsia="Arial" w:hAnsi="Arial"/>
          <w:sz w:val="16"/>
          <w:szCs w:val="16"/>
          <w:color w:val="auto"/>
        </w:rPr>
        <w:t>We are offering 20,000,000 shares of our common stock.</w:t>
      </w:r>
    </w:p>
    <w:p>
      <w:pPr>
        <w:spacing w:after="0" w:line="302" w:lineRule="exact"/>
        <w:rPr>
          <w:sz w:val="24"/>
          <w:szCs w:val="24"/>
          <w:color w:val="auto"/>
        </w:rPr>
      </w:pPr>
    </w:p>
    <w:p>
      <w:pPr>
        <w:ind w:left="120" w:right="20"/>
        <w:spacing w:after="0" w:line="253" w:lineRule="auto"/>
        <w:rPr>
          <w:sz w:val="20"/>
          <w:szCs w:val="20"/>
          <w:color w:val="auto"/>
        </w:rPr>
      </w:pPr>
      <w:r>
        <w:rPr>
          <w:rFonts w:ascii="Arial" w:cs="Arial" w:eastAsia="Arial" w:hAnsi="Arial"/>
          <w:sz w:val="16"/>
          <w:szCs w:val="16"/>
          <w:color w:val="auto"/>
        </w:rPr>
        <w:t>Deerfield Management Company, L.P., which we refer to as Deerfield Management, our largest stockholder, and/or certain of its affiliates, which we refer to collectively with Deerfield Management as the Deerfield Funds, have indicated an interest in purchasing shares of our common stock in this offering. In addition, certain of our directors have also indicated an interest in purchasing shares of our common stock in this offering. The amount of such investment could be a significant portion of the securities sold in this offering. However, because indications of interest are not binding agreements or commitments to purchase, such directors or the Deerfield Funds may decide not to purchase any shares of our common stock in this offering or they could purchase fewer shares of our common stock than indicated. In addition, the underwriters could determine to sell fewer or not to sell any shares of our common stock to such directors or the Deerfield Funds.</w:t>
      </w:r>
    </w:p>
    <w:p>
      <w:pPr>
        <w:spacing w:after="0" w:line="114" w:lineRule="exact"/>
        <w:rPr>
          <w:sz w:val="24"/>
          <w:szCs w:val="24"/>
          <w:color w:val="auto"/>
        </w:rPr>
      </w:pPr>
    </w:p>
    <w:p>
      <w:pPr>
        <w:ind w:left="120" w:right="180"/>
        <w:spacing w:after="0" w:line="286" w:lineRule="auto"/>
        <w:rPr>
          <w:sz w:val="20"/>
          <w:szCs w:val="20"/>
          <w:color w:val="auto"/>
        </w:rPr>
      </w:pPr>
      <w:r>
        <w:rPr>
          <w:rFonts w:ascii="Arial" w:cs="Arial" w:eastAsia="Arial" w:hAnsi="Arial"/>
          <w:sz w:val="16"/>
          <w:szCs w:val="16"/>
          <w:color w:val="auto"/>
        </w:rPr>
        <w:t>Our common stock is listed on The Nasdaq Global Market under the symbol “LRMR.” On February 25, 2026, the last reported sale price of our common stock was $5.95 per share.</w:t>
      </w:r>
    </w:p>
    <w:p>
      <w:pPr>
        <w:spacing w:after="0" w:line="75" w:lineRule="exact"/>
        <w:rPr>
          <w:sz w:val="24"/>
          <w:szCs w:val="24"/>
          <w:color w:val="auto"/>
        </w:rPr>
      </w:pPr>
    </w:p>
    <w:p>
      <w:pPr>
        <w:ind w:left="120" w:right="480"/>
        <w:spacing w:after="0" w:line="296" w:lineRule="auto"/>
        <w:rPr>
          <w:sz w:val="20"/>
          <w:szCs w:val="20"/>
          <w:color w:val="auto"/>
        </w:rPr>
      </w:pPr>
      <w:r>
        <w:rPr>
          <w:rFonts w:ascii="Arial" w:cs="Arial" w:eastAsia="Arial" w:hAnsi="Arial"/>
          <w:sz w:val="16"/>
          <w:szCs w:val="16"/>
          <w:b w:val="1"/>
          <w:bCs w:val="1"/>
          <w:color w:val="auto"/>
        </w:rPr>
        <w:t>Investing in our securities involves risks. See the “</w:t>
      </w:r>
      <w:r>
        <w:rPr>
          <w:rFonts w:ascii="Arial" w:cs="Arial" w:eastAsia="Arial" w:hAnsi="Arial"/>
          <w:sz w:val="16"/>
          <w:szCs w:val="16"/>
          <w:b w:val="1"/>
          <w:bCs w:val="1"/>
          <w:u w:val="single" w:color="auto"/>
          <w:color w:val="0000EE"/>
        </w:rPr>
        <w:t>Risk Factors</w:t>
      </w:r>
      <w:r>
        <w:rPr>
          <w:rFonts w:ascii="Arial" w:cs="Arial" w:eastAsia="Arial" w:hAnsi="Arial"/>
          <w:sz w:val="16"/>
          <w:szCs w:val="16"/>
          <w:b w:val="1"/>
          <w:bCs w:val="1"/>
          <w:color w:val="auto"/>
        </w:rPr>
        <w:t>” beginning on page S-8 of this prospectus supplement, as well as in the documents incorporated or deemed to be incorporated by reference into this prospectus supplement and the accompanying prospectus.</w:t>
      </w:r>
    </w:p>
    <w:p>
      <w:pPr>
        <w:spacing w:after="0" w:line="73" w:lineRule="exact"/>
        <w:rPr>
          <w:sz w:val="24"/>
          <w:szCs w:val="24"/>
          <w:color w:val="auto"/>
        </w:rPr>
      </w:pPr>
    </w:p>
    <w:p>
      <w:pPr>
        <w:ind w:left="120" w:right="20"/>
        <w:spacing w:after="0" w:line="271"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supplement or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67310</wp:posOffset>
            </wp:positionV>
            <wp:extent cx="699516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40" w:lineRule="exact"/>
        <w:rPr>
          <w:sz w:val="24"/>
          <w:szCs w:val="24"/>
          <w:color w:val="auto"/>
        </w:rPr>
      </w:pPr>
    </w:p>
    <w:tbl>
      <w:tblPr>
        <w:tblLayout w:type="fixed"/>
        <w:tblInd w:w="120" w:type="dxa"/>
        <w:tblCellMar>
          <w:top w:w="0" w:type="dxa"/>
          <w:left w:w="0" w:type="dxa"/>
          <w:bottom w:w="0" w:type="dxa"/>
          <w:right w:w="0" w:type="dxa"/>
        </w:tblCellMar>
      </w:tblPr>
      <w:tr>
        <w:trPr>
          <w:trHeight w:val="189"/>
        </w:trPr>
        <w:tc>
          <w:tcPr>
            <w:tcW w:w="8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0" w:type="dxa"/>
            <w:vAlign w:val="bottom"/>
            <w:gridSpan w:val="2"/>
          </w:tcPr>
          <w:p>
            <w:pPr>
              <w:spacing w:after="0"/>
              <w:rPr>
                <w:sz w:val="20"/>
                <w:szCs w:val="20"/>
                <w:color w:val="auto"/>
              </w:rPr>
            </w:pPr>
            <w:r>
              <w:rPr>
                <w:rFonts w:ascii="Arial" w:cs="Arial" w:eastAsia="Arial" w:hAnsi="Arial"/>
                <w:sz w:val="16"/>
                <w:szCs w:val="16"/>
                <w:b w:val="1"/>
                <w:bCs w:val="1"/>
                <w:color w:val="auto"/>
              </w:rPr>
              <w:t>Per</w:t>
            </w: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03"/>
        </w:trPr>
        <w:tc>
          <w:tcPr>
            <w:tcW w:w="88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Share</w:t>
            </w:r>
          </w:p>
        </w:tc>
        <w:tc>
          <w:tcPr>
            <w:tcW w:w="1400" w:type="dxa"/>
            <w:vAlign w:val="bottom"/>
            <w:tcBorders>
              <w:bottom w:val="single" w:sz="8" w:color="auto"/>
            </w:tcBorders>
            <w:gridSpan w:val="4"/>
          </w:tcPr>
          <w:p>
            <w:pPr>
              <w:ind w:left="140"/>
              <w:spacing w:after="0"/>
              <w:rPr>
                <w:sz w:val="20"/>
                <w:szCs w:val="20"/>
                <w:color w:val="auto"/>
              </w:rPr>
            </w:pPr>
            <w:r>
              <w:rPr>
                <w:rFonts w:ascii="Arial" w:cs="Arial" w:eastAsia="Arial" w:hAnsi="Arial"/>
                <w:sz w:val="16"/>
                <w:szCs w:val="16"/>
                <w:b w:val="1"/>
                <w:bCs w:val="1"/>
                <w:color w:val="auto"/>
              </w:rPr>
              <w:t>Total</w:t>
            </w:r>
          </w:p>
        </w:tc>
      </w:tr>
      <w:tr>
        <w:trPr>
          <w:trHeight w:val="48"/>
        </w:trPr>
        <w:tc>
          <w:tcPr>
            <w:tcW w:w="8800" w:type="dxa"/>
            <w:vAlign w:val="bottom"/>
          </w:tcPr>
          <w:p>
            <w:pPr>
              <w:spacing w:after="0"/>
              <w:rPr>
                <w:sz w:val="4"/>
                <w:szCs w:val="4"/>
                <w:color w:val="auto"/>
              </w:rPr>
            </w:pPr>
          </w:p>
        </w:tc>
        <w:tc>
          <w:tcPr>
            <w:tcW w:w="2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902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Public offering price</w:t>
            </w:r>
          </w:p>
        </w:tc>
        <w:tc>
          <w:tcPr>
            <w:tcW w:w="6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$ 5.00</w:t>
            </w:r>
          </w:p>
        </w:tc>
        <w:tc>
          <w:tcPr>
            <w:tcW w:w="280" w:type="dxa"/>
            <w:vAlign w:val="bottom"/>
            <w:gridSpan w:val="2"/>
            <w:shd w:val="clear" w:color="auto" w:fill="CCEEFF"/>
          </w:tcPr>
          <w:p>
            <w:pPr>
              <w:ind w:left="140"/>
              <w:spacing w:after="0" w:line="202"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100,000,000</w:t>
            </w:r>
          </w:p>
        </w:tc>
      </w:tr>
      <w:tr>
        <w:trPr>
          <w:trHeight w:val="270"/>
        </w:trPr>
        <w:tc>
          <w:tcPr>
            <w:tcW w:w="9020" w:type="dxa"/>
            <w:vAlign w:val="bottom"/>
            <w:gridSpan w:val="2"/>
          </w:tcPr>
          <w:p>
            <w:pPr>
              <w:spacing w:after="0"/>
              <w:rPr>
                <w:sz w:val="20"/>
                <w:szCs w:val="20"/>
                <w:color w:val="auto"/>
              </w:rPr>
            </w:pPr>
            <w:r>
              <w:rPr>
                <w:rFonts w:ascii="Arial" w:cs="Arial" w:eastAsia="Arial" w:hAnsi="Arial"/>
                <w:sz w:val="18"/>
                <w:szCs w:val="18"/>
                <w:color w:val="auto"/>
              </w:rPr>
              <w:t>Underwriting discounts and commissions(1)</w:t>
            </w:r>
          </w:p>
        </w:tc>
        <w:tc>
          <w:tcPr>
            <w:tcW w:w="600" w:type="dxa"/>
            <w:vAlign w:val="bottom"/>
            <w:gridSpan w:val="2"/>
          </w:tcPr>
          <w:p>
            <w:pPr>
              <w:spacing w:after="0"/>
              <w:rPr>
                <w:sz w:val="20"/>
                <w:szCs w:val="20"/>
                <w:color w:val="auto"/>
              </w:rPr>
            </w:pPr>
            <w:r>
              <w:rPr>
                <w:rFonts w:ascii="Arial" w:cs="Arial" w:eastAsia="Arial" w:hAnsi="Arial"/>
                <w:sz w:val="18"/>
                <w:szCs w:val="18"/>
                <w:color w:val="auto"/>
              </w:rPr>
              <w:t>$ 0.30</w:t>
            </w:r>
          </w:p>
        </w:tc>
        <w:tc>
          <w:tcPr>
            <w:tcW w:w="2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6,000,000</w:t>
            </w:r>
          </w:p>
        </w:tc>
      </w:tr>
      <w:tr>
        <w:trPr>
          <w:trHeight w:val="216"/>
        </w:trPr>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Proceeds to us, before expenses</w:t>
            </w:r>
          </w:p>
        </w:tc>
        <w:tc>
          <w:tcPr>
            <w:tcW w:w="2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4.70</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94,000,000</w:t>
            </w:r>
          </w:p>
        </w:tc>
      </w:tr>
      <w:tr>
        <w:trPr>
          <w:trHeight w:val="20"/>
        </w:trPr>
        <w:tc>
          <w:tcPr>
            <w:tcW w:w="8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68" w:lineRule="exact"/>
        <w:rPr>
          <w:sz w:val="24"/>
          <w:szCs w:val="24"/>
          <w:color w:val="auto"/>
        </w:rPr>
      </w:pPr>
    </w:p>
    <w:p>
      <w:pPr>
        <w:ind w:left="440" w:hanging="324"/>
        <w:spacing w:after="0"/>
        <w:tabs>
          <w:tab w:leader="none" w:pos="440" w:val="left"/>
        </w:tabs>
        <w:numPr>
          <w:ilvl w:val="0"/>
          <w:numId w:val="1"/>
        </w:numPr>
        <w:rPr>
          <w:rFonts w:ascii="Arial" w:cs="Arial" w:eastAsia="Arial" w:hAnsi="Arial"/>
          <w:sz w:val="13"/>
          <w:szCs w:val="13"/>
          <w:color w:val="auto"/>
        </w:rPr>
      </w:pPr>
      <w:r>
        <w:rPr>
          <w:rFonts w:ascii="Arial" w:cs="Arial" w:eastAsia="Arial" w:hAnsi="Arial"/>
          <w:sz w:val="13"/>
          <w:szCs w:val="13"/>
          <w:color w:val="auto"/>
        </w:rPr>
        <w:t>See “Underwriting” beginning on page S-26 of this prospectus supplement for additional information regarding underwriting compensation.</w:t>
      </w:r>
    </w:p>
    <w:p>
      <w:pPr>
        <w:spacing w:after="0" w:line="160" w:lineRule="exact"/>
        <w:rPr>
          <w:sz w:val="24"/>
          <w:szCs w:val="24"/>
          <w:color w:val="auto"/>
        </w:rPr>
      </w:pPr>
    </w:p>
    <w:p>
      <w:pPr>
        <w:ind w:left="120" w:right="360"/>
        <w:spacing w:after="0" w:line="286" w:lineRule="auto"/>
        <w:rPr>
          <w:sz w:val="20"/>
          <w:szCs w:val="20"/>
          <w:color w:val="auto"/>
        </w:rPr>
      </w:pPr>
      <w:r>
        <w:rPr>
          <w:rFonts w:ascii="Arial" w:cs="Arial" w:eastAsia="Arial" w:hAnsi="Arial"/>
          <w:sz w:val="16"/>
          <w:szCs w:val="16"/>
          <w:color w:val="auto"/>
        </w:rPr>
        <w:t>We have granted the underwriters an option for a period of up to 30 days from the date of this prospectus supplement to purchase up to an additional 3,000,000 shares of our common stock at the public offering price, less the underwriting discounts and commissions.</w:t>
      </w:r>
    </w:p>
    <w:p>
      <w:pPr>
        <w:spacing w:after="0" w:line="75" w:lineRule="exact"/>
        <w:rPr>
          <w:sz w:val="24"/>
          <w:szCs w:val="24"/>
          <w:color w:val="auto"/>
        </w:rPr>
      </w:pPr>
    </w:p>
    <w:p>
      <w:pPr>
        <w:ind w:left="120"/>
        <w:spacing w:after="0"/>
        <w:rPr>
          <w:sz w:val="20"/>
          <w:szCs w:val="20"/>
          <w:color w:val="auto"/>
        </w:rPr>
      </w:pPr>
      <w:r>
        <w:rPr>
          <w:rFonts w:ascii="Arial" w:cs="Arial" w:eastAsia="Arial" w:hAnsi="Arial"/>
          <w:sz w:val="16"/>
          <w:szCs w:val="16"/>
          <w:color w:val="auto"/>
        </w:rPr>
        <w:t>Delivery of the shares of common stock is expected to be made on or about February 27, 2026.</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Joint Bookrunning Managers</w:t>
      </w:r>
    </w:p>
    <w:p>
      <w:pPr>
        <w:spacing w:after="0" w:line="141" w:lineRule="exact"/>
        <w:rPr>
          <w:sz w:val="24"/>
          <w:szCs w:val="24"/>
          <w:color w:val="auto"/>
        </w:rPr>
      </w:pPr>
    </w:p>
    <w:p>
      <w:pPr>
        <w:ind w:left="2240"/>
        <w:spacing w:after="0"/>
        <w:tabs>
          <w:tab w:leader="none" w:pos="7120" w:val="left"/>
        </w:tabs>
        <w:rPr>
          <w:sz w:val="20"/>
          <w:szCs w:val="20"/>
          <w:color w:val="auto"/>
        </w:rPr>
      </w:pPr>
      <w:r>
        <w:rPr>
          <w:rFonts w:ascii="Arial" w:cs="Arial" w:eastAsia="Arial" w:hAnsi="Arial"/>
          <w:sz w:val="25"/>
          <w:szCs w:val="25"/>
          <w:b w:val="1"/>
          <w:bCs w:val="1"/>
          <w:color w:val="auto"/>
        </w:rPr>
        <w:t>J.P. Morgan</w:t>
      </w:r>
      <w:r>
        <w:rPr>
          <w:sz w:val="20"/>
          <w:szCs w:val="20"/>
          <w:color w:val="auto"/>
        </w:rPr>
        <w:tab/>
      </w:r>
      <w:r>
        <w:rPr>
          <w:rFonts w:ascii="Arial" w:cs="Arial" w:eastAsia="Arial" w:hAnsi="Arial"/>
          <w:sz w:val="25"/>
          <w:szCs w:val="25"/>
          <w:b w:val="1"/>
          <w:bCs w:val="1"/>
          <w:color w:val="auto"/>
        </w:rPr>
        <w:t>Guggenheim Securities</w:t>
      </w:r>
    </w:p>
    <w:p>
      <w:pPr>
        <w:spacing w:after="0" w:line="305"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Bookrunners</w:t>
      </w:r>
    </w:p>
    <w:p>
      <w:pPr>
        <w:spacing w:after="0" w:line="137" w:lineRule="exact"/>
        <w:rPr>
          <w:sz w:val="24"/>
          <w:szCs w:val="24"/>
          <w:color w:val="auto"/>
        </w:rPr>
      </w:pPr>
    </w:p>
    <w:p>
      <w:pPr>
        <w:ind w:left="2180"/>
        <w:spacing w:after="0"/>
        <w:tabs>
          <w:tab w:leader="none" w:pos="7880" w:val="left"/>
        </w:tabs>
        <w:rPr>
          <w:sz w:val="20"/>
          <w:szCs w:val="20"/>
          <w:color w:val="auto"/>
        </w:rPr>
      </w:pPr>
      <w:r>
        <w:rPr>
          <w:rFonts w:ascii="Arial" w:cs="Arial" w:eastAsia="Arial" w:hAnsi="Arial"/>
          <w:sz w:val="22"/>
          <w:szCs w:val="22"/>
          <w:b w:val="1"/>
          <w:bCs w:val="1"/>
          <w:color w:val="auto"/>
        </w:rPr>
        <w:t>LifeSci Capital</w:t>
      </w:r>
      <w:r>
        <w:rPr>
          <w:sz w:val="20"/>
          <w:szCs w:val="20"/>
          <w:color w:val="auto"/>
        </w:rPr>
        <w:tab/>
      </w:r>
      <w:r>
        <w:rPr>
          <w:rFonts w:ascii="Arial" w:cs="Arial" w:eastAsia="Arial" w:hAnsi="Arial"/>
          <w:sz w:val="21"/>
          <w:szCs w:val="21"/>
          <w:b w:val="1"/>
          <w:bCs w:val="1"/>
          <w:color w:val="auto"/>
        </w:rPr>
        <w:t>William Blair</w:t>
      </w:r>
    </w:p>
    <w:p>
      <w:pPr>
        <w:spacing w:after="0" w:line="127"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Lead Manager</w:t>
      </w:r>
    </w:p>
    <w:p>
      <w:pPr>
        <w:spacing w:after="0" w:line="137"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Citizens Capital Markets</w:t>
      </w:r>
    </w:p>
    <w:p>
      <w:pPr>
        <w:spacing w:after="0" w:line="141" w:lineRule="exact"/>
        <w:rPr>
          <w:sz w:val="24"/>
          <w:szCs w:val="24"/>
          <w:color w:val="auto"/>
        </w:rPr>
      </w:pPr>
    </w:p>
    <w:p>
      <w:pPr>
        <w:jc w:val="center"/>
        <w:ind w:right="-99"/>
        <w:spacing w:after="0"/>
        <w:rPr>
          <w:sz w:val="20"/>
          <w:szCs w:val="20"/>
          <w:color w:val="auto"/>
        </w:rPr>
      </w:pPr>
      <w:r>
        <w:rPr>
          <w:rFonts w:ascii="Arial" w:cs="Arial" w:eastAsia="Arial" w:hAnsi="Arial"/>
          <w:sz w:val="22"/>
          <w:szCs w:val="22"/>
          <w:i w:val="1"/>
          <w:iCs w:val="1"/>
          <w:color w:val="auto"/>
        </w:rPr>
        <w:t>Co-Manager</w:t>
      </w:r>
    </w:p>
    <w:p>
      <w:pPr>
        <w:spacing w:after="0" w:line="123" w:lineRule="exact"/>
        <w:rPr>
          <w:sz w:val="24"/>
          <w:szCs w:val="24"/>
          <w:color w:val="auto"/>
        </w:rPr>
      </w:pPr>
    </w:p>
    <w:p>
      <w:pPr>
        <w:jc w:val="center"/>
        <w:ind w:right="-99"/>
        <w:spacing w:after="0"/>
        <w:rPr>
          <w:sz w:val="20"/>
          <w:szCs w:val="20"/>
          <w:color w:val="auto"/>
        </w:rPr>
      </w:pPr>
      <w:r>
        <w:rPr>
          <w:rFonts w:ascii="Arial" w:cs="Arial" w:eastAsia="Arial" w:hAnsi="Arial"/>
          <w:sz w:val="22"/>
          <w:szCs w:val="22"/>
          <w:b w:val="1"/>
          <w:bCs w:val="1"/>
          <w:color w:val="auto"/>
        </w:rPr>
        <w:t>Jones</w:t>
      </w:r>
    </w:p>
    <w:p>
      <w:pPr>
        <w:sectPr>
          <w:pgSz w:w="11900" w:h="16838" w:orient="portrait"/>
          <w:cols w:equalWidth="0" w:num="1">
            <w:col w:w="11140"/>
          </w:cols>
          <w:pgMar w:left="320" w:top="225" w:right="439" w:bottom="1440" w:gutter="0" w:footer="0" w:header="0"/>
        </w:sectPr>
      </w:pPr>
    </w:p>
    <w:p>
      <w:pPr>
        <w:spacing w:after="0" w:line="148" w:lineRule="exact"/>
        <w:rPr>
          <w:sz w:val="24"/>
          <w:szCs w:val="24"/>
          <w:color w:val="auto"/>
        </w:rPr>
      </w:pPr>
    </w:p>
    <w:p>
      <w:pPr>
        <w:jc w:val="center"/>
        <w:ind w:right="-99"/>
        <w:spacing w:after="0"/>
        <w:rPr>
          <w:sz w:val="20"/>
          <w:szCs w:val="20"/>
          <w:color w:val="auto"/>
        </w:rPr>
      </w:pPr>
      <w:r>
        <w:rPr>
          <w:rFonts w:ascii="Arial" w:cs="Arial" w:eastAsia="Arial" w:hAnsi="Arial"/>
          <w:sz w:val="17"/>
          <w:szCs w:val="17"/>
          <w:b w:val="1"/>
          <w:bCs w:val="1"/>
          <w:color w:val="auto"/>
        </w:rPr>
        <w:t>Prospectus Supplement dated February 25, 2026</w:t>
      </w:r>
    </w:p>
    <w:p>
      <w:pPr>
        <w:sectPr>
          <w:pgSz w:w="11900" w:h="16838" w:orient="portrait"/>
          <w:cols w:equalWidth="0" w:num="1">
            <w:col w:w="11140"/>
          </w:cols>
          <w:pgMar w:left="320" w:top="225"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TABLE OF CONTENTS</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PROSPECTUS SUPPLEMENT</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3640" w:type="dxa"/>
            <w:vAlign w:val="bottom"/>
            <w:tcBorders>
              <w:bottom w:val="single" w:sz="8" w:color="0000EE"/>
            </w:tcBorders>
            <w:gridSpan w:val="20"/>
          </w:tcPr>
          <w:p>
            <w:pPr>
              <w:spacing w:after="0"/>
              <w:rPr>
                <w:sz w:val="20"/>
                <w:szCs w:val="20"/>
                <w:color w:val="auto"/>
              </w:rPr>
            </w:pPr>
            <w:r>
              <w:rPr>
                <w:rFonts w:ascii="Arial" w:cs="Arial" w:eastAsia="Arial" w:hAnsi="Arial"/>
                <w:sz w:val="18"/>
                <w:szCs w:val="18"/>
                <w:color w:val="0000EE"/>
                <w:w w:val="99"/>
              </w:rPr>
              <w:t>ABOUT THIS PROSPECTUS SUPPLEMENT</w:t>
            </w:r>
          </w:p>
        </w:tc>
        <w:tc>
          <w:tcPr>
            <w:tcW w:w="6020" w:type="dxa"/>
            <w:vAlign w:val="bottom"/>
            <w:gridSpan w:val="6"/>
          </w:tcPr>
          <w:p>
            <w:pPr>
              <w:spacing w:after="0"/>
              <w:rPr>
                <w:sz w:val="17"/>
                <w:szCs w:val="17"/>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w:t>
            </w:r>
          </w:p>
        </w:tc>
      </w:tr>
      <w:tr>
        <w:trPr>
          <w:trHeight w:val="250"/>
        </w:trPr>
        <w:tc>
          <w:tcPr>
            <w:tcW w:w="3480" w:type="dxa"/>
            <w:vAlign w:val="bottom"/>
            <w:tcBorders>
              <w:bottom w:val="single" w:sz="8" w:color="0000EE"/>
            </w:tcBorders>
            <w:gridSpan w:val="19"/>
          </w:tcPr>
          <w:p>
            <w:pPr>
              <w:spacing w:after="0"/>
              <w:rPr>
                <w:sz w:val="20"/>
                <w:szCs w:val="20"/>
                <w:color w:val="auto"/>
              </w:rPr>
            </w:pPr>
            <w:r>
              <w:rPr>
                <w:rFonts w:ascii="Arial" w:cs="Arial" w:eastAsia="Arial" w:hAnsi="Arial"/>
                <w:sz w:val="18"/>
                <w:szCs w:val="18"/>
                <w:color w:val="0000EE"/>
                <w:w w:val="99"/>
              </w:rPr>
              <w:t>PROSPECTUS SUPPLEMENT SUMMARY</w:t>
            </w:r>
          </w:p>
        </w:tc>
        <w:tc>
          <w:tcPr>
            <w:tcW w:w="6180" w:type="dxa"/>
            <w:vAlign w:val="bottom"/>
            <w:gridSpan w:val="7"/>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COMPANY OVERVIEW</w:t>
            </w:r>
          </w:p>
        </w:tc>
        <w:tc>
          <w:tcPr>
            <w:tcW w:w="1300" w:type="dxa"/>
            <w:vAlign w:val="bottom"/>
          </w:tcPr>
          <w:p>
            <w:pPr>
              <w:jc w:val="right"/>
              <w:spacing w:after="0"/>
              <w:rPr>
                <w:sz w:val="20"/>
                <w:szCs w:val="20"/>
                <w:color w:val="auto"/>
              </w:rPr>
            </w:pPr>
            <w:r>
              <w:rPr>
                <w:rFonts w:ascii="Arial" w:cs="Arial" w:eastAsia="Arial" w:hAnsi="Arial"/>
                <w:sz w:val="18"/>
                <w:szCs w:val="18"/>
                <w:color w:val="auto"/>
              </w:rPr>
              <w:t>S-3</w:t>
            </w:r>
          </w:p>
        </w:tc>
      </w:tr>
      <w:tr>
        <w:trPr>
          <w:trHeight w:val="20"/>
        </w:trPr>
        <w:tc>
          <w:tcPr>
            <w:tcW w:w="8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RECENT DEVELOPMENTS</w:t>
            </w:r>
          </w:p>
        </w:tc>
        <w:tc>
          <w:tcPr>
            <w:tcW w:w="1300" w:type="dxa"/>
            <w:vAlign w:val="bottom"/>
          </w:tcPr>
          <w:p>
            <w:pPr>
              <w:jc w:val="right"/>
              <w:spacing w:after="0"/>
              <w:rPr>
                <w:sz w:val="20"/>
                <w:szCs w:val="20"/>
                <w:color w:val="auto"/>
              </w:rPr>
            </w:pPr>
            <w:r>
              <w:rPr>
                <w:rFonts w:ascii="Arial" w:cs="Arial" w:eastAsia="Arial" w:hAnsi="Arial"/>
                <w:sz w:val="18"/>
                <w:szCs w:val="18"/>
                <w:color w:val="auto"/>
              </w:rPr>
              <w:t>S-4</w:t>
            </w:r>
          </w:p>
        </w:tc>
      </w:tr>
      <w:tr>
        <w:trPr>
          <w:trHeight w:val="250"/>
        </w:trPr>
        <w:tc>
          <w:tcPr>
            <w:tcW w:w="2260" w:type="dxa"/>
            <w:vAlign w:val="bottom"/>
            <w:tcBorders>
              <w:top w:val="single" w:sz="8" w:color="0000EE"/>
            </w:tcBorders>
            <w:gridSpan w:val="14"/>
          </w:tcPr>
          <w:p>
            <w:pPr>
              <w:spacing w:after="0"/>
              <w:rPr>
                <w:sz w:val="20"/>
                <w:szCs w:val="20"/>
                <w:color w:val="auto"/>
              </w:rPr>
            </w:pPr>
            <w:r>
              <w:rPr>
                <w:rFonts w:ascii="Arial" w:cs="Arial" w:eastAsia="Arial" w:hAnsi="Arial"/>
                <w:sz w:val="18"/>
                <w:szCs w:val="18"/>
                <w:color w:val="0000EE"/>
              </w:rPr>
              <w:t>COMPANY INFORMATION</w:t>
            </w:r>
          </w:p>
        </w:tc>
        <w:tc>
          <w:tcPr>
            <w:tcW w:w="7400" w:type="dxa"/>
            <w:vAlign w:val="bottom"/>
            <w:gridSpan w:val="1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S-5</w:t>
            </w:r>
          </w:p>
        </w:tc>
      </w:tr>
      <w:tr>
        <w:trPr>
          <w:trHeight w:val="250"/>
        </w:trPr>
        <w:tc>
          <w:tcPr>
            <w:tcW w:w="1340" w:type="dxa"/>
            <w:vAlign w:val="bottom"/>
            <w:tcBorders>
              <w:top w:val="single" w:sz="8" w:color="0000EE"/>
              <w:bottom w:val="single" w:sz="8" w:color="0000EE"/>
            </w:tcBorders>
            <w:gridSpan w:val="4"/>
          </w:tcPr>
          <w:p>
            <w:pPr>
              <w:spacing w:after="0"/>
              <w:rPr>
                <w:sz w:val="20"/>
                <w:szCs w:val="20"/>
                <w:color w:val="auto"/>
              </w:rPr>
            </w:pPr>
            <w:r>
              <w:rPr>
                <w:rFonts w:ascii="Arial" w:cs="Arial" w:eastAsia="Arial" w:hAnsi="Arial"/>
                <w:sz w:val="18"/>
                <w:szCs w:val="18"/>
                <w:color w:val="0000EE"/>
                <w:w w:val="98"/>
              </w:rPr>
              <w:t>THE OFFERING</w:t>
            </w:r>
          </w:p>
        </w:tc>
        <w:tc>
          <w:tcPr>
            <w:tcW w:w="840" w:type="dxa"/>
            <w:vAlign w:val="bottom"/>
            <w:tcBorders>
              <w:top w:val="single" w:sz="8" w:color="0000EE"/>
            </w:tcBorders>
            <w:gridSpan w:val="9"/>
          </w:tcPr>
          <w:p>
            <w:pPr>
              <w:spacing w:after="0"/>
              <w:rPr>
                <w:sz w:val="21"/>
                <w:szCs w:val="21"/>
                <w:color w:val="auto"/>
              </w:rPr>
            </w:pPr>
          </w:p>
        </w:tc>
        <w:tc>
          <w:tcPr>
            <w:tcW w:w="7480" w:type="dxa"/>
            <w:vAlign w:val="bottom"/>
            <w:gridSpan w:val="1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S-6</w:t>
            </w:r>
          </w:p>
        </w:tc>
      </w:tr>
      <w:tr>
        <w:trPr>
          <w:trHeight w:val="250"/>
        </w:trPr>
        <w:tc>
          <w:tcPr>
            <w:tcW w:w="132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8340" w:type="dxa"/>
            <w:vAlign w:val="bottom"/>
            <w:gridSpan w:val="2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S-8</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S-13</w:t>
            </w:r>
          </w:p>
        </w:tc>
      </w:tr>
      <w:tr>
        <w:trPr>
          <w:trHeight w:val="250"/>
        </w:trPr>
        <w:tc>
          <w:tcPr>
            <w:tcW w:w="594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0000EE"/>
              </w:rPr>
              <w:t>USE OF PROCEEDS</w:t>
            </w:r>
          </w:p>
        </w:tc>
        <w:tc>
          <w:tcPr>
            <w:tcW w:w="3720" w:type="dxa"/>
            <w:vAlign w:val="bottom"/>
            <w:gridSpan w:val="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S-16</w:t>
            </w:r>
          </w:p>
        </w:tc>
      </w:tr>
      <w:tr>
        <w:trPr>
          <w:trHeight w:val="250"/>
        </w:trPr>
        <w:tc>
          <w:tcPr>
            <w:tcW w:w="86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9"/>
              </w:rPr>
              <w:t>DILUTION</w:t>
            </w:r>
          </w:p>
        </w:tc>
        <w:tc>
          <w:tcPr>
            <w:tcW w:w="860" w:type="dxa"/>
            <w:vAlign w:val="bottom"/>
            <w:tcBorders>
              <w:top w:val="single" w:sz="8" w:color="0000EE"/>
            </w:tcBorders>
            <w:gridSpan w:val="7"/>
          </w:tcPr>
          <w:p>
            <w:pPr>
              <w:spacing w:after="0"/>
              <w:rPr>
                <w:sz w:val="21"/>
                <w:szCs w:val="21"/>
                <w:color w:val="auto"/>
              </w:rPr>
            </w:pPr>
          </w:p>
        </w:tc>
        <w:tc>
          <w:tcPr>
            <w:tcW w:w="7940" w:type="dxa"/>
            <w:vAlign w:val="bottom"/>
            <w:gridSpan w:val="17"/>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S-17</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DIVIDEND POLICY</w:t>
            </w:r>
          </w:p>
        </w:tc>
        <w:tc>
          <w:tcPr>
            <w:tcW w:w="1300" w:type="dxa"/>
            <w:vAlign w:val="bottom"/>
          </w:tcPr>
          <w:p>
            <w:pPr>
              <w:jc w:val="right"/>
              <w:spacing w:after="0"/>
              <w:rPr>
                <w:sz w:val="20"/>
                <w:szCs w:val="20"/>
                <w:color w:val="auto"/>
              </w:rPr>
            </w:pPr>
            <w:r>
              <w:rPr>
                <w:rFonts w:ascii="Arial" w:cs="Arial" w:eastAsia="Arial" w:hAnsi="Arial"/>
                <w:sz w:val="18"/>
                <w:szCs w:val="18"/>
                <w:color w:val="auto"/>
              </w:rPr>
              <w:t>S-19</w:t>
            </w:r>
          </w:p>
        </w:tc>
      </w:tr>
      <w:tr>
        <w:trPr>
          <w:trHeight w:val="20"/>
        </w:trPr>
        <w:tc>
          <w:tcPr>
            <w:tcW w:w="840" w:type="dxa"/>
            <w:vAlign w:val="bottom"/>
            <w:shd w:val="clear" w:color="auto" w:fill="0000EE"/>
          </w:tcPr>
          <w:p>
            <w:pPr>
              <w:spacing w:after="0" w:line="20" w:lineRule="exact"/>
              <w:rPr>
                <w:sz w:val="1"/>
                <w:szCs w:val="1"/>
                <w:color w:val="auto"/>
              </w:rPr>
            </w:pPr>
          </w:p>
        </w:tc>
        <w:tc>
          <w:tcPr>
            <w:tcW w:w="5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3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MATERIAL U.S. FEDERAL INCOME TAX CONSEQUENCES TO U.S. HOLDERS AND NON-U.S. HOLDERS</w:t>
            </w:r>
          </w:p>
        </w:tc>
        <w:tc>
          <w:tcPr>
            <w:tcW w:w="1300" w:type="dxa"/>
            <w:vAlign w:val="bottom"/>
          </w:tcPr>
          <w:p>
            <w:pPr>
              <w:jc w:val="right"/>
              <w:spacing w:after="0"/>
              <w:rPr>
                <w:sz w:val="20"/>
                <w:szCs w:val="20"/>
                <w:color w:val="auto"/>
              </w:rPr>
            </w:pPr>
            <w:r>
              <w:rPr>
                <w:rFonts w:ascii="Arial" w:cs="Arial" w:eastAsia="Arial" w:hAnsi="Arial"/>
                <w:sz w:val="18"/>
                <w:szCs w:val="18"/>
                <w:color w:val="auto"/>
              </w:rPr>
              <w:t>S-20</w:t>
            </w:r>
          </w:p>
        </w:tc>
      </w:tr>
      <w:tr>
        <w:trPr>
          <w:trHeight w:val="250"/>
        </w:trPr>
        <w:tc>
          <w:tcPr>
            <w:tcW w:w="14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18"/>
                <w:szCs w:val="18"/>
                <w:color w:val="0000EE"/>
                <w:w w:val="98"/>
              </w:rPr>
              <w:t>UNDERWRITING</w:t>
            </w:r>
          </w:p>
        </w:tc>
        <w:tc>
          <w:tcPr>
            <w:tcW w:w="7300" w:type="dxa"/>
            <w:vAlign w:val="bottom"/>
            <w:tcBorders>
              <w:top w:val="single" w:sz="8" w:color="0000EE"/>
            </w:tcBorders>
            <w:gridSpan w:val="20"/>
          </w:tcPr>
          <w:p>
            <w:pPr>
              <w:spacing w:after="0"/>
              <w:rPr>
                <w:sz w:val="21"/>
                <w:szCs w:val="21"/>
                <w:color w:val="auto"/>
              </w:rPr>
            </w:pPr>
          </w:p>
        </w:tc>
        <w:tc>
          <w:tcPr>
            <w:tcW w:w="9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S-26</w:t>
            </w:r>
          </w:p>
        </w:tc>
      </w:tr>
      <w:tr>
        <w:trPr>
          <w:trHeight w:val="250"/>
        </w:trPr>
        <w:tc>
          <w:tcPr>
            <w:tcW w:w="148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8180" w:type="dxa"/>
            <w:vAlign w:val="bottom"/>
            <w:gridSpan w:val="19"/>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S-40</w:t>
            </w:r>
          </w:p>
        </w:tc>
      </w:tr>
      <w:tr>
        <w:trPr>
          <w:trHeight w:val="250"/>
        </w:trPr>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820" w:type="dxa"/>
            <w:vAlign w:val="bottom"/>
            <w:gridSpan w:val="2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S-40</w:t>
            </w:r>
          </w:p>
        </w:tc>
      </w:tr>
      <w:tr>
        <w:trPr>
          <w:trHeight w:val="25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5760" w:type="dxa"/>
            <w:vAlign w:val="bottom"/>
            <w:gridSpan w:val="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S-40</w:t>
            </w:r>
          </w:p>
        </w:tc>
      </w:tr>
      <w:tr>
        <w:trPr>
          <w:trHeight w:val="250"/>
        </w:trPr>
        <w:tc>
          <w:tcPr>
            <w:tcW w:w="53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8"/>
              </w:rPr>
              <w:t>INCORPORATION OF CERTAIN INFORMATION BY REFERENCE</w:t>
            </w:r>
          </w:p>
        </w:tc>
        <w:tc>
          <w:tcPr>
            <w:tcW w:w="4280" w:type="dxa"/>
            <w:vAlign w:val="bottom"/>
            <w:gridSpan w:val="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S-40</w:t>
            </w:r>
          </w:p>
        </w:tc>
      </w:tr>
      <w:tr>
        <w:trPr>
          <w:trHeight w:val="425"/>
        </w:trPr>
        <w:tc>
          <w:tcPr>
            <w:tcW w:w="9660" w:type="dxa"/>
            <w:vAlign w:val="bottom"/>
            <w:gridSpan w:val="26"/>
          </w:tcPr>
          <w:p>
            <w:pPr>
              <w:spacing w:after="0"/>
              <w:rPr>
                <w:sz w:val="20"/>
                <w:szCs w:val="20"/>
                <w:color w:val="auto"/>
              </w:rPr>
            </w:pPr>
            <w:r>
              <w:rPr>
                <w:rFonts w:ascii="Arial" w:cs="Arial" w:eastAsia="Arial" w:hAnsi="Arial"/>
                <w:sz w:val="22"/>
                <w:szCs w:val="22"/>
                <w:b w:val="1"/>
                <w:bCs w:val="1"/>
                <w:color w:val="auto"/>
              </w:rPr>
              <w:t>PROSPECTUS</w:t>
            </w:r>
          </w:p>
        </w:tc>
        <w:tc>
          <w:tcPr>
            <w:tcW w:w="1300" w:type="dxa"/>
            <w:vAlign w:val="bottom"/>
          </w:tcPr>
          <w:p>
            <w:pPr>
              <w:spacing w:after="0"/>
              <w:rPr>
                <w:sz w:val="24"/>
                <w:szCs w:val="24"/>
                <w:color w:val="auto"/>
              </w:rPr>
            </w:pPr>
          </w:p>
        </w:tc>
      </w:tr>
      <w:tr>
        <w:trPr>
          <w:trHeight w:val="365"/>
        </w:trPr>
        <w:tc>
          <w:tcPr>
            <w:tcW w:w="9660" w:type="dxa"/>
            <w:vAlign w:val="bottom"/>
            <w:gridSpan w:val="26"/>
          </w:tcPr>
          <w:p>
            <w:pPr>
              <w:spacing w:after="0"/>
              <w:rPr>
                <w:sz w:val="20"/>
                <w:szCs w:val="20"/>
                <w:color w:val="auto"/>
              </w:rPr>
            </w:pPr>
            <w:r>
              <w:rPr>
                <w:rFonts w:ascii="Arial" w:cs="Arial" w:eastAsia="Arial" w:hAnsi="Arial"/>
                <w:sz w:val="18"/>
                <w:szCs w:val="18"/>
                <w:color w:val="0000EE"/>
              </w:rPr>
              <w:t>ABOUT THIS PROSPECTUS</w:t>
            </w: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146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280" w:type="dxa"/>
            <w:vAlign w:val="bottom"/>
            <w:gridSpan w:val="3"/>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3900" w:type="dxa"/>
            <w:vAlign w:val="bottom"/>
            <w:tcBorders>
              <w:bottom w:val="single" w:sz="8" w:color="0000EE"/>
            </w:tcBorders>
            <w:gridSpan w:val="21"/>
          </w:tcPr>
          <w:p>
            <w:pPr>
              <w:spacing w:after="0"/>
              <w:rPr>
                <w:sz w:val="20"/>
                <w:szCs w:val="20"/>
                <w:color w:val="auto"/>
              </w:rPr>
            </w:pPr>
            <w:r>
              <w:rPr>
                <w:rFonts w:ascii="Arial" w:cs="Arial" w:eastAsia="Arial" w:hAnsi="Arial"/>
                <w:sz w:val="18"/>
                <w:szCs w:val="18"/>
                <w:color w:val="0000EE"/>
                <w:w w:val="99"/>
              </w:rPr>
              <w:t>WHERE YOU CAN FIND MORE INFORMATION</w:t>
            </w:r>
          </w:p>
        </w:tc>
        <w:tc>
          <w:tcPr>
            <w:tcW w:w="5760" w:type="dxa"/>
            <w:vAlign w:val="bottom"/>
            <w:gridSpan w:val="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5380" w:type="dxa"/>
            <w:vAlign w:val="bottom"/>
            <w:tcBorders>
              <w:bottom w:val="single" w:sz="8" w:color="0000EE"/>
            </w:tcBorders>
            <w:gridSpan w:val="23"/>
          </w:tcPr>
          <w:p>
            <w:pPr>
              <w:spacing w:after="0"/>
              <w:rPr>
                <w:sz w:val="20"/>
                <w:szCs w:val="20"/>
                <w:color w:val="auto"/>
              </w:rPr>
            </w:pPr>
            <w:r>
              <w:rPr>
                <w:rFonts w:ascii="Arial" w:cs="Arial" w:eastAsia="Arial" w:hAnsi="Arial"/>
                <w:sz w:val="18"/>
                <w:szCs w:val="18"/>
                <w:color w:val="0000EE"/>
                <w:w w:val="98"/>
              </w:rPr>
              <w:t>INCORPORATION OF CERTAIN INFORMATION BY REFERENCE</w:t>
            </w:r>
          </w:p>
        </w:tc>
        <w:tc>
          <w:tcPr>
            <w:tcW w:w="4280" w:type="dxa"/>
            <w:vAlign w:val="bottom"/>
            <w:gridSpan w:val="3"/>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CAUTIONARY NOTE REGARDING FORWARD-LOOKING STATEMENTS</w:t>
            </w:r>
          </w:p>
        </w:tc>
        <w:tc>
          <w:tcPr>
            <w:tcW w:w="13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5940" w:type="dxa"/>
            <w:vAlign w:val="bottom"/>
            <w:tcBorders>
              <w:top w:val="single" w:sz="8" w:color="0000EE"/>
            </w:tcBorders>
            <w:gridSpan w:val="24"/>
          </w:tcPr>
          <w:p>
            <w:pPr>
              <w:spacing w:after="0"/>
              <w:rPr>
                <w:sz w:val="20"/>
                <w:szCs w:val="20"/>
                <w:color w:val="auto"/>
              </w:rPr>
            </w:pPr>
            <w:r>
              <w:rPr>
                <w:rFonts w:ascii="Arial" w:cs="Arial" w:eastAsia="Arial" w:hAnsi="Arial"/>
                <w:sz w:val="18"/>
                <w:szCs w:val="18"/>
                <w:color w:val="0000EE"/>
              </w:rPr>
              <w:t>ABOUT LARIMAR</w:t>
            </w:r>
          </w:p>
        </w:tc>
        <w:tc>
          <w:tcPr>
            <w:tcW w:w="3720" w:type="dxa"/>
            <w:vAlign w:val="bottom"/>
            <w:gridSpan w:val="2"/>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1320" w:type="dxa"/>
            <w:vAlign w:val="bottom"/>
            <w:tcBorders>
              <w:top w:val="single" w:sz="8" w:color="0000EE"/>
              <w:bottom w:val="single" w:sz="8" w:color="0000EE"/>
            </w:tcBorders>
            <w:gridSpan w:val="3"/>
          </w:tcPr>
          <w:p>
            <w:pPr>
              <w:spacing w:after="0"/>
              <w:rPr>
                <w:sz w:val="20"/>
                <w:szCs w:val="20"/>
                <w:color w:val="auto"/>
              </w:rPr>
            </w:pPr>
            <w:r>
              <w:rPr>
                <w:rFonts w:ascii="Arial" w:cs="Arial" w:eastAsia="Arial" w:hAnsi="Arial"/>
                <w:sz w:val="18"/>
                <w:szCs w:val="18"/>
                <w:color w:val="0000EE"/>
                <w:w w:val="97"/>
              </w:rPr>
              <w:t>RISK FACTORS</w:t>
            </w:r>
          </w:p>
        </w:tc>
        <w:tc>
          <w:tcPr>
            <w:tcW w:w="140" w:type="dxa"/>
            <w:vAlign w:val="bottom"/>
            <w:tcBorders>
              <w:top w:val="single" w:sz="8" w:color="0000EE"/>
            </w:tcBorders>
            <w:gridSpan w:val="3"/>
          </w:tcPr>
          <w:p>
            <w:pPr>
              <w:spacing w:after="0"/>
              <w:rPr>
                <w:sz w:val="21"/>
                <w:szCs w:val="21"/>
                <w:color w:val="auto"/>
              </w:rPr>
            </w:pPr>
          </w:p>
        </w:tc>
        <w:tc>
          <w:tcPr>
            <w:tcW w:w="8200" w:type="dxa"/>
            <w:vAlign w:val="bottom"/>
            <w:gridSpan w:val="20"/>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USE OF PROCEEDS</w:t>
            </w: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1720" w:type="dxa"/>
            <w:vAlign w:val="bottom"/>
            <w:gridSpan w:val="9"/>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gridSpan w:val="4"/>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20" w:type="dxa"/>
            <w:vAlign w:val="bottom"/>
            <w:gridSpan w:val="4"/>
          </w:tcPr>
          <w:p>
            <w:pPr>
              <w:spacing w:after="0" w:line="20" w:lineRule="exact"/>
              <w:rPr>
                <w:sz w:val="1"/>
                <w:szCs w:val="1"/>
                <w:color w:val="auto"/>
              </w:rPr>
            </w:pPr>
          </w:p>
        </w:tc>
        <w:tc>
          <w:tcPr>
            <w:tcW w:w="5560" w:type="dxa"/>
            <w:vAlign w:val="bottom"/>
            <w:gridSpan w:val="4"/>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298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8"/>
              </w:rPr>
              <w:t>DESCRIPTION OF CAPITAL STOCK</w:t>
            </w:r>
          </w:p>
        </w:tc>
        <w:tc>
          <w:tcPr>
            <w:tcW w:w="6680" w:type="dxa"/>
            <w:vAlign w:val="bottom"/>
            <w:gridSpan w:val="9"/>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DESCRIPTION OF DEBT SECURITIES</w:t>
            </w:r>
          </w:p>
        </w:tc>
        <w:tc>
          <w:tcPr>
            <w:tcW w:w="13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50"/>
        </w:trPr>
        <w:tc>
          <w:tcPr>
            <w:tcW w:w="2600" w:type="dxa"/>
            <w:vAlign w:val="bottom"/>
            <w:tcBorders>
              <w:top w:val="single" w:sz="8" w:color="0000EE"/>
              <w:bottom w:val="single" w:sz="8" w:color="0000EE"/>
            </w:tcBorders>
            <w:gridSpan w:val="16"/>
          </w:tcPr>
          <w:p>
            <w:pPr>
              <w:spacing w:after="0"/>
              <w:rPr>
                <w:sz w:val="20"/>
                <w:szCs w:val="20"/>
                <w:color w:val="auto"/>
              </w:rPr>
            </w:pPr>
            <w:r>
              <w:rPr>
                <w:rFonts w:ascii="Arial" w:cs="Arial" w:eastAsia="Arial" w:hAnsi="Arial"/>
                <w:sz w:val="18"/>
                <w:szCs w:val="18"/>
                <w:color w:val="0000EE"/>
                <w:w w:val="98"/>
              </w:rPr>
              <w:t>DESCRIPTION OF WARRANTS</w:t>
            </w:r>
          </w:p>
        </w:tc>
        <w:tc>
          <w:tcPr>
            <w:tcW w:w="580" w:type="dxa"/>
            <w:vAlign w:val="bottom"/>
            <w:tcBorders>
              <w:top w:val="single" w:sz="8" w:color="0000EE"/>
            </w:tcBorders>
            <w:gridSpan w:val="2"/>
          </w:tcPr>
          <w:p>
            <w:pPr>
              <w:spacing w:after="0"/>
              <w:rPr>
                <w:sz w:val="21"/>
                <w:szCs w:val="21"/>
                <w:color w:val="auto"/>
              </w:rPr>
            </w:pPr>
          </w:p>
        </w:tc>
        <w:tc>
          <w:tcPr>
            <w:tcW w:w="6480" w:type="dxa"/>
            <w:vAlign w:val="bottom"/>
            <w:gridSpan w:val="8"/>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50"/>
        </w:trPr>
        <w:tc>
          <w:tcPr>
            <w:tcW w:w="21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DESCRIPTION OF UNITS</w:t>
            </w:r>
          </w:p>
        </w:tc>
        <w:tc>
          <w:tcPr>
            <w:tcW w:w="7540" w:type="dxa"/>
            <w:vAlign w:val="bottom"/>
            <w:gridSpan w:val="1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DESCRIPTION OF OUR SUBSCRIPTION RIGHTS</w:t>
            </w:r>
          </w:p>
        </w:tc>
        <w:tc>
          <w:tcPr>
            <w:tcW w:w="13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50"/>
        </w:trPr>
        <w:tc>
          <w:tcPr>
            <w:tcW w:w="4100" w:type="dxa"/>
            <w:vAlign w:val="bottom"/>
            <w:tcBorders>
              <w:top w:val="single" w:sz="8" w:color="0000EE"/>
            </w:tcBorders>
            <w:gridSpan w:val="22"/>
          </w:tcPr>
          <w:p>
            <w:pPr>
              <w:spacing w:after="0"/>
              <w:rPr>
                <w:sz w:val="20"/>
                <w:szCs w:val="20"/>
                <w:color w:val="auto"/>
              </w:rPr>
            </w:pPr>
            <w:r>
              <w:rPr>
                <w:rFonts w:ascii="Arial" w:cs="Arial" w:eastAsia="Arial" w:hAnsi="Arial"/>
                <w:sz w:val="18"/>
                <w:szCs w:val="18"/>
                <w:color w:val="0000EE"/>
              </w:rPr>
              <w:t>GLOBAL SECURITIES</w:t>
            </w:r>
          </w:p>
        </w:tc>
        <w:tc>
          <w:tcPr>
            <w:tcW w:w="5560" w:type="dxa"/>
            <w:vAlign w:val="bottom"/>
            <w:gridSpan w:val="4"/>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1840" w:type="dxa"/>
            <w:vAlign w:val="bottom"/>
            <w:gridSpan w:val="10"/>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580" w:type="dxa"/>
            <w:vAlign w:val="bottom"/>
            <w:gridSpan w:val="15"/>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250"/>
        </w:trPr>
        <w:tc>
          <w:tcPr>
            <w:tcW w:w="9660" w:type="dxa"/>
            <w:vAlign w:val="bottom"/>
            <w:gridSpan w:val="26"/>
          </w:tcPr>
          <w:p>
            <w:pPr>
              <w:spacing w:after="0"/>
              <w:rPr>
                <w:sz w:val="20"/>
                <w:szCs w:val="20"/>
                <w:color w:val="auto"/>
              </w:rPr>
            </w:pPr>
            <w:r>
              <w:rPr>
                <w:rFonts w:ascii="Arial" w:cs="Arial" w:eastAsia="Arial" w:hAnsi="Arial"/>
                <w:sz w:val="18"/>
                <w:szCs w:val="18"/>
                <w:color w:val="0000EE"/>
              </w:rPr>
              <w:t>PLAN OF DISTRIBUTION</w:t>
            </w:r>
          </w:p>
        </w:tc>
        <w:tc>
          <w:tcPr>
            <w:tcW w:w="130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50"/>
        </w:trPr>
        <w:tc>
          <w:tcPr>
            <w:tcW w:w="1480" w:type="dxa"/>
            <w:vAlign w:val="bottom"/>
            <w:tcBorders>
              <w:top w:val="single" w:sz="8" w:color="0000EE"/>
              <w:bottom w:val="single" w:sz="8" w:color="0000EE"/>
            </w:tcBorders>
            <w:gridSpan w:val="7"/>
          </w:tcPr>
          <w:p>
            <w:pPr>
              <w:spacing w:after="0"/>
              <w:rPr>
                <w:sz w:val="20"/>
                <w:szCs w:val="20"/>
                <w:color w:val="auto"/>
              </w:rPr>
            </w:pPr>
            <w:r>
              <w:rPr>
                <w:rFonts w:ascii="Arial" w:cs="Arial" w:eastAsia="Arial" w:hAnsi="Arial"/>
                <w:sz w:val="18"/>
                <w:szCs w:val="18"/>
                <w:color w:val="0000EE"/>
                <w:w w:val="97"/>
              </w:rPr>
              <w:t>LEGAL MATTERS</w:t>
            </w:r>
          </w:p>
        </w:tc>
        <w:tc>
          <w:tcPr>
            <w:tcW w:w="600" w:type="dxa"/>
            <w:vAlign w:val="bottom"/>
            <w:tcBorders>
              <w:top w:val="single" w:sz="8" w:color="0000EE"/>
            </w:tcBorders>
            <w:gridSpan w:val="4"/>
          </w:tcPr>
          <w:p>
            <w:pPr>
              <w:spacing w:after="0"/>
              <w:rPr>
                <w:sz w:val="21"/>
                <w:szCs w:val="21"/>
                <w:color w:val="auto"/>
              </w:rPr>
            </w:pPr>
          </w:p>
        </w:tc>
        <w:tc>
          <w:tcPr>
            <w:tcW w:w="7580" w:type="dxa"/>
            <w:vAlign w:val="bottom"/>
            <w:gridSpan w:val="1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50"/>
        </w:trPr>
        <w:tc>
          <w:tcPr>
            <w:tcW w:w="84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7"/>
              </w:rPr>
              <w:t>EXPERTS</w:t>
            </w:r>
          </w:p>
        </w:tc>
        <w:tc>
          <w:tcPr>
            <w:tcW w:w="8820" w:type="dxa"/>
            <w:vAlign w:val="bottom"/>
            <w:gridSpan w:val="25"/>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S-i</w:t>
      </w:r>
    </w:p>
    <w:p>
      <w:pPr>
        <w:sectPr>
          <w:pgSz w:w="11900" w:h="16838" w:orient="portrait"/>
          <w:cols w:equalWidth="0" w:num="1">
            <w:col w:w="11080"/>
          </w:cols>
          <w:pgMar w:left="320" w:top="455"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ABOUT THIS PROSPECTUS SUPPLEMENT</w:t>
      </w:r>
    </w:p>
    <w:p>
      <w:pPr>
        <w:spacing w:after="0" w:line="154" w:lineRule="exact"/>
        <w:rPr>
          <w:sz w:val="20"/>
          <w:szCs w:val="20"/>
          <w:color w:val="auto"/>
        </w:rPr>
      </w:pPr>
    </w:p>
    <w:p>
      <w:pPr>
        <w:ind w:left="120" w:right="60"/>
        <w:spacing w:after="0" w:line="239"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S-3 that we filed with the Securities and Exchange Commission, or SEC, utilizing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 You should read this prospectus supplement and the accompanying prospectus, including the information incorporated by reference herein and therein, and any related free writing prospectus that we have authorized for use in connection with this offering.</w:t>
      </w:r>
    </w:p>
    <w:p>
      <w:pPr>
        <w:spacing w:after="0" w:line="11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You should rely only on the information that we have included or incorporated by reference in this prospectus supplement, the accompanying prospectus and any related free writing prospectus that we may authorize to be provided to you. We have not, and the underwriters have not, authorized anyone to give any information or to make any representation other than those contained or incorporated by reference in this prospectus supplement, the accompanying prospectus or any related free writing prospectus that we may authorize to be provided to you. You must not rely upon any information or representation not contained or incorporated by reference in this prospectus supplement, the accompanying prospectus or any related free writing prospectus. This prospectus supplement, the accompanying prospectus and any related free writing prospectus do not constitute an offer to sell or the solicitation of an offer to buy any securities other than the registered securities to which they relate, nor do this prospectus supplement, the accompanying prospectus or any related free writing prospectus constitute an offer to sell or the solicitation of an offer to buy securities in any jurisdiction to any person to whom it is unlawful to make such offer or solicitation in such jurisdiction.</w:t>
      </w:r>
    </w:p>
    <w:p>
      <w:pPr>
        <w:spacing w:after="0" w:line="112"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You should not assume that the information contained in this prospectus supplement, the accompanying prospectus or any related free writing prospectus is accurate on any date subsequent to the date set forth on the front of the document or that any information we have incorporated by reference herein or therein is correct on any date subsequent to the date of the document incorporated by reference, even though this prospectus supplement, the accompanying prospectus or any related free writing prospectus is delivered, or securities are sold, on a later date.</w:t>
      </w:r>
    </w:p>
    <w:p>
      <w:pPr>
        <w:spacing w:after="0" w:line="95" w:lineRule="exact"/>
        <w:rPr>
          <w:sz w:val="20"/>
          <w:szCs w:val="20"/>
          <w:color w:val="auto"/>
        </w:rPr>
      </w:pPr>
    </w:p>
    <w:p>
      <w:pPr>
        <w:ind w:left="120" w:right="140"/>
        <w:spacing w:after="0" w:line="261" w:lineRule="auto"/>
        <w:rPr>
          <w:sz w:val="20"/>
          <w:szCs w:val="20"/>
          <w:color w:val="auto"/>
        </w:rPr>
      </w:pPr>
      <w:r>
        <w:rPr>
          <w:rFonts w:ascii="Arial" w:cs="Arial" w:eastAsia="Arial" w:hAnsi="Arial"/>
          <w:sz w:val="17"/>
          <w:szCs w:val="17"/>
          <w:color w:val="auto"/>
        </w:rPr>
        <w:t>This prospectus supplement contains or incorporates by reference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or will be filed or have been or will be incorporated by reference as exhibits to the registration statement of which this prospectus supplement forms a part, and you may obtain copies of those documents as described in this prospectus supplement under the heading “Where You Can Find More Information.”</w:t>
      </w:r>
    </w:p>
    <w:p>
      <w:pPr>
        <w:spacing w:after="0" w:line="98" w:lineRule="exact"/>
        <w:rPr>
          <w:sz w:val="20"/>
          <w:szCs w:val="20"/>
          <w:color w:val="auto"/>
        </w:rPr>
      </w:pPr>
    </w:p>
    <w:p>
      <w:pPr>
        <w:ind w:left="120" w:right="140"/>
        <w:spacing w:after="0" w:line="301" w:lineRule="auto"/>
        <w:rPr>
          <w:sz w:val="20"/>
          <w:szCs w:val="20"/>
          <w:color w:val="auto"/>
        </w:rPr>
      </w:pPr>
      <w:r>
        <w:rPr>
          <w:rFonts w:ascii="Arial" w:cs="Arial" w:eastAsia="Arial" w:hAnsi="Arial"/>
          <w:sz w:val="17"/>
          <w:szCs w:val="17"/>
          <w:color w:val="auto"/>
        </w:rPr>
        <w:t>When we refer to “Larimar,” “we,” “our,” “us” and the “Company” in this prospectus supplement, we mean Larimar Therapeutics, Inc., and its subsidiary unless otherwise specified. When we refer to “you,” we mean the potential holders of the applicable series of securities.</w:t>
      </w:r>
    </w:p>
    <w:p>
      <w:pPr>
        <w:spacing w:after="0" w:line="50" w:lineRule="exact"/>
        <w:rPr>
          <w:sz w:val="20"/>
          <w:szCs w:val="20"/>
          <w:color w:val="auto"/>
        </w:rPr>
      </w:pPr>
    </w:p>
    <w:p>
      <w:pPr>
        <w:jc w:val="both"/>
        <w:ind w:left="120" w:right="380"/>
        <w:spacing w:after="0" w:line="216" w:lineRule="auto"/>
        <w:rPr>
          <w:sz w:val="20"/>
          <w:szCs w:val="20"/>
          <w:color w:val="auto"/>
        </w:rPr>
      </w:pPr>
      <w:r>
        <w:rPr>
          <w:rFonts w:ascii="Arial" w:cs="Arial" w:eastAsia="Arial" w:hAnsi="Arial"/>
          <w:sz w:val="18"/>
          <w:szCs w:val="18"/>
          <w:color w:val="auto"/>
        </w:rPr>
        <w:t>Larimar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our logo are some of our trademarks used in this prospectus supplement. This prospectus supplement may also include trademarks, tradenames, and service marks that are the property of other organizations. Solely for convenience, our trademarks and tradenames referred to in this prospectus</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16" w:lineRule="auto"/>
        <w:rPr>
          <w:sz w:val="20"/>
          <w:szCs w:val="20"/>
          <w:color w:val="auto"/>
        </w:rPr>
      </w:pPr>
      <w:r>
        <w:rPr>
          <w:rFonts w:ascii="Arial" w:cs="Arial" w:eastAsia="Arial" w:hAnsi="Arial"/>
          <w:sz w:val="18"/>
          <w:szCs w:val="18"/>
          <w:color w:val="auto"/>
        </w:rPr>
        <w:t xml:space="preserve">supplement and the accompanying prospectus appear without the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symbols, but those references are not intended to indicate, in any way, that we will not assert, to the fullest extent under applicable law, our rights, or the right of the applicable licensor to these trademarks and tradenames.</w:t>
      </w:r>
    </w:p>
    <w:p>
      <w:pPr>
        <w:spacing w:after="0" w:line="114"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S-2</w:t>
      </w:r>
    </w:p>
    <w:p>
      <w:pPr>
        <w:sectPr>
          <w:pgSz w:w="11900" w:h="16838" w:orient="portrait"/>
          <w:cols w:equalWidth="0" w:num="1">
            <w:col w:w="10960"/>
          </w:cols>
          <w:pgMar w:left="320" w:top="455" w:right="6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499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49910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PROSPECTUS SUPPLEMENT SUMMARY</w:t>
      </w:r>
    </w:p>
    <w:p>
      <w:pPr>
        <w:spacing w:after="0" w:line="154"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This summary description about us, our business and this offering highlights selected information contained elsewhere in this prospectus supplement and the accompanying prospectus or incorporated in this prospectus supplement and the accompanying prospectus by reference. This summary does not contain all of the information you should consider before deciding to invest in our securities. You should carefully read this entire prospectus supplement, the accompanying prospectus and any free writing prospectus with respect to this offering filed by us with the SEC, including each of the documents incorporated herein or therein by reference, before making an investment decision. Investors should carefully consider the information set forth under “Risk Factors” on page S-8 and in the documents incorporated by reference into this prospectus supplement and the accompanying prospectus.</w:t>
      </w:r>
    </w:p>
    <w:p>
      <w:pPr>
        <w:spacing w:after="0" w:line="250"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COMPANY OVERVIEW</w:t>
      </w:r>
    </w:p>
    <w:p>
      <w:pPr>
        <w:spacing w:after="0" w:line="154" w:lineRule="exact"/>
        <w:rPr>
          <w:sz w:val="20"/>
          <w:szCs w:val="20"/>
          <w:color w:val="auto"/>
        </w:rPr>
      </w:pPr>
    </w:p>
    <w:p>
      <w:pPr>
        <w:ind w:left="300" w:right="100"/>
        <w:spacing w:after="0"/>
        <w:rPr>
          <w:sz w:val="20"/>
          <w:szCs w:val="20"/>
          <w:color w:val="auto"/>
        </w:rPr>
      </w:pPr>
      <w:r>
        <w:rPr>
          <w:rFonts w:ascii="Arial" w:cs="Arial" w:eastAsia="Arial" w:hAnsi="Arial"/>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or FA. FA is a rare, progressive, and fatal disease in which patients are unable to produce sufficient FXN due to a genetic abnormality. Currently, there are no treatment options that address the core deficit of FA, low levels of FXN. Nomlabofusp represents the first potential therapy designed to systemically increase FXN levels in patients with FA.</w:t>
      </w:r>
    </w:p>
    <w:p>
      <w:pPr>
        <w:spacing w:after="0" w:line="117" w:lineRule="exact"/>
        <w:rPr>
          <w:sz w:val="20"/>
          <w:szCs w:val="20"/>
          <w:color w:val="auto"/>
        </w:rPr>
      </w:pPr>
    </w:p>
    <w:p>
      <w:pPr>
        <w:ind w:left="300" w:right="380"/>
        <w:spacing w:after="0" w:line="271" w:lineRule="auto"/>
        <w:rPr>
          <w:sz w:val="20"/>
          <w:szCs w:val="20"/>
          <w:color w:val="auto"/>
        </w:rPr>
      </w:pPr>
      <w:r>
        <w:rPr>
          <w:rFonts w:ascii="Arial" w:cs="Arial" w:eastAsia="Arial" w:hAnsi="Arial"/>
          <w:sz w:val="18"/>
          <w:szCs w:val="18"/>
          <w:color w:val="auto"/>
        </w:rPr>
        <w:t>We have completed four clinical studies: (i) two Phase 1 clinical studies, (ii) a Phase 2 dose exploration study and (iii) a PK run-in study in adolescents (12-17 years old). We have an ongoing Phase 2 open label, or OL, trial in patients with FA.</w:t>
      </w:r>
    </w:p>
    <w:p>
      <w:pPr>
        <w:spacing w:after="0" w:line="86" w:lineRule="exact"/>
        <w:rPr>
          <w:sz w:val="20"/>
          <w:szCs w:val="20"/>
          <w:color w:val="auto"/>
        </w:rPr>
      </w:pPr>
    </w:p>
    <w:p>
      <w:pPr>
        <w:ind w:left="300"/>
        <w:spacing w:after="0"/>
        <w:rPr>
          <w:sz w:val="20"/>
          <w:szCs w:val="20"/>
          <w:color w:val="auto"/>
        </w:rPr>
      </w:pPr>
      <w:r>
        <w:rPr>
          <w:rFonts w:ascii="Arial" w:cs="Arial" w:eastAsia="Arial" w:hAnsi="Arial"/>
          <w:sz w:val="18"/>
          <w:szCs w:val="18"/>
          <w:color w:val="auto"/>
        </w:rPr>
        <w:t>The ongoing OL study is evaluating the safety and tolerability, pharmacokinetics, or PK, and FXN levels in peripheral tissues as well as other exploratory pharmacodynamic markers (lipid profiles and gene expression data) following long-term subcutaneous administration of nomlabofusp. In December 2024, we reported positive initial data from the ongoing OL study evaluating daily subcutaneous injections of 25 mg of nomlabofusp self-administered or administered by a caregiver. Following this, we announced that we were increasing the dose in the OL to 50 mg of nomlabofusp daily for then currently enrolled and all future OL study participants. In March 2025, we announced that our Safety Monitoring Team has deemed anaphylaxis as an adverse drug reaction likely associated with nomlabofusp and therefore, we expect to see additional reactions.</w:t>
      </w:r>
    </w:p>
    <w:p>
      <w:pPr>
        <w:spacing w:after="0" w:line="104" w:lineRule="exact"/>
        <w:rPr>
          <w:sz w:val="20"/>
          <w:szCs w:val="20"/>
          <w:color w:val="auto"/>
        </w:rPr>
      </w:pPr>
    </w:p>
    <w:p>
      <w:pPr>
        <w:ind w:left="300" w:right="160"/>
        <w:spacing w:after="0" w:line="247" w:lineRule="auto"/>
        <w:rPr>
          <w:sz w:val="20"/>
          <w:szCs w:val="20"/>
          <w:color w:val="auto"/>
        </w:rPr>
      </w:pPr>
      <w:r>
        <w:rPr>
          <w:rFonts w:ascii="Arial" w:cs="Arial" w:eastAsia="Arial" w:hAnsi="Arial"/>
          <w:sz w:val="18"/>
          <w:szCs w:val="18"/>
          <w:color w:val="auto"/>
        </w:rPr>
        <w:t>In January 2025, we initiated dosing of adolescents (12-17 years old) in a PK run-in study for pediatric patients with FA. Study participants in the PK run-in study were randomized 2:1 to receive either nomlabofusp at a weight-base dose expected to match the PK of adults receiving the 50 mg dose, or placebo, daily for seven days. Dosing of this adolescent PK run-in study was completed in March 2025.</w:t>
      </w:r>
    </w:p>
    <w:p>
      <w:pPr>
        <w:spacing w:after="0" w:line="106"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In September 2025, we announced exposure and PK in adolescents spanning 12 to 17 years of age were similar to adults on 50 mg of nomlabofusp. Trends towards improvement were observed in modified Friedreich Ataxia Rating Scale (mFARS), FARS-Activities of Daily Living (ADL), 9 Hole Peg Test (9-HPT), and Modified Fatigue Impact Scale (MFIS) at 1 year relative to baseline. In participants receiving long term continuous treatment, including 14 participants on nomlabofusp for at least 6 months, 8 of whom continue to be on nomlabofusp for over 1 year, daily administration of nomlabofusp was generally well-tolerated. The most common adverse</w:t>
      </w:r>
    </w:p>
    <w:p>
      <w:pPr>
        <w:spacing w:after="0" w:line="28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507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5073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44" w:lineRule="auto"/>
        <w:rPr>
          <w:sz w:val="20"/>
          <w:szCs w:val="20"/>
          <w:color w:val="auto"/>
        </w:rPr>
      </w:pPr>
      <w:r>
        <w:rPr>
          <w:rFonts w:ascii="Arial" w:cs="Arial" w:eastAsia="Arial" w:hAnsi="Arial"/>
          <w:sz w:val="18"/>
          <w:szCs w:val="18"/>
          <w:color w:val="auto"/>
        </w:rPr>
        <w:t>events continued to be local injection site reactions that were mild to moderate and did not lead to any participant withdrawal from the study. To reduce the risk of allergic reactions, including anaphylaxis, we amended the OL protocol to administer premedication with antihistamines for the first month of dosing and introduced a new dosing regimen in which participants initially receive a 5 mg test dose followed by a 25 mg dose one hour later under observation. Nomlabofusp 25 mg is then administered once daily through Day 30 and then the dose is increased to 50 mg once daily.</w:t>
      </w:r>
    </w:p>
    <w:p>
      <w:pPr>
        <w:spacing w:after="0" w:line="95" w:lineRule="exact"/>
        <w:rPr>
          <w:sz w:val="20"/>
          <w:szCs w:val="20"/>
          <w:color w:val="auto"/>
        </w:rPr>
      </w:pPr>
    </w:p>
    <w:p>
      <w:pPr>
        <w:ind w:left="300" w:right="60"/>
        <w:spacing w:after="0"/>
        <w:rPr>
          <w:sz w:val="20"/>
          <w:szCs w:val="20"/>
          <w:color w:val="auto"/>
        </w:rPr>
      </w:pPr>
      <w:r>
        <w:rPr>
          <w:rFonts w:ascii="Arial" w:cs="Arial" w:eastAsia="Arial" w:hAnsi="Arial"/>
          <w:sz w:val="18"/>
          <w:szCs w:val="18"/>
          <w:color w:val="auto"/>
        </w:rPr>
        <w:t>In February 2026, we announced that the FDA granted Breakthrough Therapy Designation to nomlabofusp for the treatment of adults and children with FA. Additionally, following a Support for Clinical Trials Advancing Rare Disease Therapeutics (START) pilot program meeting with FDA, we announced continued alignment with the FDA to consider the use of skin FXN concentration as a novel surrogate endpoint reasonably likely to predict clinical benefit to support a planned Biologics License Application, or BLA, seeking accelerated approval. There was also agreement on the relevant clinical outcomes with consistent directional improvement in all four clinical outcomes assessed and the type of analyses required to support the exposure response relationships for the nomlabofusp program. Breakthrough Therapy Designation and FDA feedback on BLA submission were based on the FDA’s review of available clinical data from our ongoing OL study evaluating nomlabofusp in adult and pediatric patients with FA.</w:t>
      </w:r>
    </w:p>
    <w:p>
      <w:pPr>
        <w:spacing w:after="0" w:line="113" w:lineRule="exact"/>
        <w:rPr>
          <w:sz w:val="20"/>
          <w:szCs w:val="20"/>
          <w:color w:val="auto"/>
        </w:rPr>
      </w:pPr>
    </w:p>
    <w:p>
      <w:pPr>
        <w:ind w:left="300" w:right="180"/>
        <w:spacing w:after="0" w:line="247" w:lineRule="auto"/>
        <w:rPr>
          <w:sz w:val="20"/>
          <w:szCs w:val="20"/>
          <w:color w:val="auto"/>
        </w:rPr>
      </w:pPr>
      <w:r>
        <w:rPr>
          <w:rFonts w:ascii="Arial" w:cs="Arial" w:eastAsia="Arial" w:hAnsi="Arial"/>
          <w:sz w:val="18"/>
          <w:szCs w:val="18"/>
          <w:color w:val="auto"/>
        </w:rPr>
        <w:t>The FDA’s Center for Drug Evaluation and Research selected nomlabofusp as one of a few programs for participation in the START pilot program. The objective of the program is to accelerate the development of drugs for rare diseases that lead to significant disability or death by facilitating frequent advice and regular communication with the FDA staff to expedite the development of biologics and drugs.</w:t>
      </w:r>
    </w:p>
    <w:p>
      <w:pPr>
        <w:spacing w:after="0" w:line="106" w:lineRule="exact"/>
        <w:rPr>
          <w:sz w:val="20"/>
          <w:szCs w:val="20"/>
          <w:color w:val="auto"/>
        </w:rPr>
      </w:pPr>
    </w:p>
    <w:p>
      <w:pPr>
        <w:ind w:left="300" w:right="80"/>
        <w:spacing w:after="0" w:line="244" w:lineRule="auto"/>
        <w:rPr>
          <w:sz w:val="20"/>
          <w:szCs w:val="20"/>
          <w:color w:val="auto"/>
        </w:rPr>
      </w:pPr>
      <w:r>
        <w:rPr>
          <w:rFonts w:ascii="Arial" w:cs="Arial" w:eastAsia="Arial" w:hAnsi="Arial"/>
          <w:sz w:val="18"/>
          <w:szCs w:val="18"/>
          <w:color w:val="auto"/>
        </w:rPr>
        <w:t>We received access to the Medicines and Healthcare Regulatory Agency Innovative Licensing and Access Pathway, or ILAP, for the treatment of adults and children with FA. ILAP is facilitating patient access to novel treatments by accelerating time to market through opportunities for enhanced engagements with UK regulatory authorities and other stakeholders. Along with the receipt of the Breakthrough Therapy Designation and ILAP designation, nomlabofusp has already been granted orphan drug designations in the U.S. and the European Union, or the EU, and access to the PRIority MEdicines scheme in the EU.</w:t>
      </w:r>
    </w:p>
    <w:p>
      <w:pPr>
        <w:spacing w:after="0" w:line="95" w:lineRule="exact"/>
        <w:rPr>
          <w:sz w:val="20"/>
          <w:szCs w:val="20"/>
          <w:color w:val="auto"/>
        </w:rPr>
      </w:pPr>
    </w:p>
    <w:p>
      <w:pPr>
        <w:jc w:val="both"/>
        <w:ind w:left="300" w:right="460"/>
        <w:spacing w:after="0" w:line="253" w:lineRule="auto"/>
        <w:rPr>
          <w:sz w:val="20"/>
          <w:szCs w:val="20"/>
          <w:color w:val="auto"/>
        </w:rPr>
      </w:pPr>
      <w:r>
        <w:rPr>
          <w:rFonts w:ascii="Arial" w:cs="Arial" w:eastAsia="Arial" w:hAnsi="Arial"/>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01" w:lineRule="exact"/>
        <w:rPr>
          <w:sz w:val="20"/>
          <w:szCs w:val="20"/>
          <w:color w:val="auto"/>
        </w:rPr>
      </w:pPr>
    </w:p>
    <w:p>
      <w:pPr>
        <w:ind w:left="300" w:right="200"/>
        <w:spacing w:after="0" w:line="253" w:lineRule="auto"/>
        <w:rPr>
          <w:sz w:val="20"/>
          <w:szCs w:val="20"/>
          <w:color w:val="auto"/>
        </w:rPr>
      </w:pPr>
      <w:r>
        <w:rPr>
          <w:rFonts w:ascii="Arial" w:cs="Arial" w:eastAsia="Arial" w:hAnsi="Arial"/>
          <w:sz w:val="18"/>
          <w:szCs w:val="18"/>
          <w:color w:val="auto"/>
        </w:rPr>
        <w:t>Since our inception, we have devoted substantially all of our resources to developing nomlabofusp, building our intellectual property portfolio, developing third-party manufacturing capabilities, business planning, raising capital, developing sales and marketing capacities, and providing general and administrative support for such operations.</w:t>
      </w:r>
    </w:p>
    <w:p>
      <w:pPr>
        <w:spacing w:after="0" w:line="221"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RECENT DEVELOPMENTS</w:t>
      </w:r>
    </w:p>
    <w:p>
      <w:pPr>
        <w:spacing w:after="0" w:line="170" w:lineRule="exact"/>
        <w:rPr>
          <w:sz w:val="20"/>
          <w:szCs w:val="20"/>
          <w:color w:val="auto"/>
        </w:rPr>
      </w:pPr>
    </w:p>
    <w:p>
      <w:pPr>
        <w:ind w:left="300"/>
        <w:spacing w:after="0"/>
        <w:rPr>
          <w:sz w:val="20"/>
          <w:szCs w:val="20"/>
          <w:color w:val="auto"/>
        </w:rPr>
      </w:pPr>
      <w:r>
        <w:rPr>
          <w:rFonts w:ascii="Arial" w:cs="Arial" w:eastAsia="Arial" w:hAnsi="Arial"/>
          <w:sz w:val="18"/>
          <w:szCs w:val="18"/>
          <w:b w:val="1"/>
          <w:bCs w:val="1"/>
          <w:i w:val="1"/>
          <w:iCs w:val="1"/>
          <w:color w:val="auto"/>
        </w:rPr>
        <w:t>Certain Unaudited Preliminary Financial Information</w:t>
      </w:r>
    </w:p>
    <w:p>
      <w:pPr>
        <w:spacing w:after="0" w:line="142" w:lineRule="exact"/>
        <w:rPr>
          <w:sz w:val="20"/>
          <w:szCs w:val="20"/>
          <w:color w:val="auto"/>
        </w:rPr>
      </w:pPr>
    </w:p>
    <w:p>
      <w:pPr>
        <w:ind w:left="300" w:right="120"/>
        <w:spacing w:after="0" w:line="247" w:lineRule="auto"/>
        <w:rPr>
          <w:sz w:val="20"/>
          <w:szCs w:val="20"/>
          <w:color w:val="auto"/>
        </w:rPr>
      </w:pPr>
      <w:r>
        <w:rPr>
          <w:rFonts w:ascii="Arial" w:cs="Arial" w:eastAsia="Arial" w:hAnsi="Arial"/>
          <w:sz w:val="18"/>
          <w:szCs w:val="18"/>
          <w:color w:val="auto"/>
        </w:rPr>
        <w:t>We estimate that our cash, cash equivalents and marketable securities were approximately $136.9 million as of December 31, 2025. This amount is unaudited and preliminary and is subject to completion of financial closing procedures, including the completion of management’s reviews. As a result, this amount reflects our preliminary estimate with respect to such information, based on information currently available for</w:t>
      </w:r>
    </w:p>
    <w:p>
      <w:pPr>
        <w:spacing w:after="0" w:line="28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ectPr>
          <w:pgSz w:w="11900" w:h="16838" w:orient="portrait"/>
          <w:cols w:equalWidth="0" w:num="1">
            <w:col w:w="10940"/>
          </w:cols>
          <w:pgMar w:left="320" w:top="455" w:right="6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0246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40246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37" w:lineRule="auto"/>
        <w:rPr>
          <w:sz w:val="20"/>
          <w:szCs w:val="20"/>
          <w:color w:val="auto"/>
        </w:rPr>
      </w:pPr>
      <w:r>
        <w:rPr>
          <w:rFonts w:ascii="Arial" w:cs="Arial" w:eastAsia="Arial" w:hAnsi="Arial"/>
          <w:sz w:val="18"/>
          <w:szCs w:val="18"/>
          <w:color w:val="auto"/>
        </w:rPr>
        <w:t>management, and may vary from our actual financial position as of December 31, 2025. Further, this preliminary estimate is not a comprehensive statement or estimate of our financial data or financial condition as of December 31, 2025. The unaudited preliminary financial data included in this prospectus supplement have been prepared by, and are the responsibility of, our management team. PricewaterhouseCoopers LLP, our independent registered public accounting firm, has not audited, reviewed, examined, compiled, nor applied agreed-upon procedures with respect to the unaudited preliminary financial data. Accordingly, PricewaterhouseCoopers LLP does not express an opinion or any other form of assurance with respect thereto. It is possible that we may identify items that require us to make adjustments to the financial information set forth above. This preliminary estimate should not be viewed as a substitute for financial statements prepared in accordance with generally accepted accounting principles in the United States and it is not necessarily indicative of the balance to be achieved in any future period. Additional information and disclosure would be required for a more complete understanding of our financial position and results of operations as of December 31, 2025. Accordingly, you should not place undue reliance on this preliminary estimate. This preliminary estimate should be read together with the sections titled “Risk Factors” and “Cautionary Note Regarding Forward-looking Statements,” and under similar headings included in this prospectus supplement, the accompanying prospectus and in the documents incorporated by reference into this prospectus supplement and in the accompanying prospectus as well as our financial statements, related notes and other financial information incorporated by reference in this prospectus supplement and in the accompanying prospectus. We expect to complete our financial statements for the year ended December 31, 2025 subsequent to the completion of this offering, and consequently such financial statements will not be available to you prior to investing in this offering.</w:t>
      </w:r>
    </w:p>
    <w:p>
      <w:pPr>
        <w:spacing w:after="0" w:line="236"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COMPANY INFORMATION</w:t>
      </w:r>
    </w:p>
    <w:p>
      <w:pPr>
        <w:spacing w:after="0" w:line="168" w:lineRule="exact"/>
        <w:rPr>
          <w:sz w:val="20"/>
          <w:szCs w:val="20"/>
          <w:color w:val="auto"/>
        </w:rPr>
      </w:pPr>
    </w:p>
    <w:p>
      <w:pPr>
        <w:ind w:left="300" w:right="40"/>
        <w:spacing w:after="0" w:line="244" w:lineRule="auto"/>
        <w:rPr>
          <w:sz w:val="20"/>
          <w:szCs w:val="20"/>
          <w:color w:val="auto"/>
        </w:rPr>
      </w:pPr>
      <w:r>
        <w:rPr>
          <w:rFonts w:ascii="Arial" w:cs="Arial" w:eastAsia="Arial" w:hAnsi="Arial"/>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Arial" w:cs="Arial" w:eastAsia="Arial" w:hAnsi="Arial"/>
          <w:sz w:val="18"/>
          <w:szCs w:val="18"/>
          <w:i w:val="1"/>
          <w:iCs w:val="1"/>
          <w:color w:val="auto"/>
        </w:rPr>
        <w:t>www.larimartx.com</w:t>
      </w:r>
      <w:r>
        <w:rPr>
          <w:rFonts w:ascii="Arial" w:cs="Arial" w:eastAsia="Arial" w:hAnsi="Arial"/>
          <w:sz w:val="18"/>
          <w:szCs w:val="18"/>
          <w:color w:val="auto"/>
        </w:rPr>
        <w:t>. The information on, or that can be accessed through, our website is not part of this prospectus supplement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accompanying prospectus and is not incorporated by reference herein. We have included our website address as an inactive textual reference only.</w:t>
      </w:r>
    </w:p>
    <w:p>
      <w:pPr>
        <w:spacing w:after="0" w:line="95" w:lineRule="exact"/>
        <w:rPr>
          <w:sz w:val="20"/>
          <w:szCs w:val="20"/>
          <w:color w:val="auto"/>
        </w:rPr>
      </w:pPr>
    </w:p>
    <w:p>
      <w:pPr>
        <w:ind w:left="300" w:right="40"/>
        <w:spacing w:after="0" w:line="253" w:lineRule="auto"/>
        <w:rPr>
          <w:sz w:val="20"/>
          <w:szCs w:val="20"/>
          <w:color w:val="auto"/>
        </w:rPr>
      </w:pPr>
      <w:r>
        <w:rPr>
          <w:rFonts w:ascii="Arial" w:cs="Arial" w:eastAsia="Arial" w:hAnsi="Arial"/>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29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0940"/>
          </w:cols>
          <w:pgMar w:left="320" w:top="455" w:right="6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222250</wp:posOffset>
            </wp:positionV>
            <wp:extent cx="6998970" cy="438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438467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300"/>
        <w:spacing w:after="0"/>
        <w:rPr>
          <w:sz w:val="20"/>
          <w:szCs w:val="20"/>
          <w:color w:val="auto"/>
        </w:rPr>
      </w:pPr>
      <w:r>
        <w:rPr>
          <w:rFonts w:ascii="Arial" w:cs="Arial" w:eastAsia="Arial" w:hAnsi="Arial"/>
          <w:sz w:val="29"/>
          <w:szCs w:val="29"/>
          <w:b w:val="1"/>
          <w:bCs w:val="1"/>
          <w:color w:val="auto"/>
        </w:rPr>
        <w:t>THE OFFERING</w:t>
      </w:r>
    </w:p>
    <w:p>
      <w:pPr>
        <w:spacing w:after="0" w:line="168" w:lineRule="exact"/>
        <w:rPr>
          <w:sz w:val="20"/>
          <w:szCs w:val="20"/>
          <w:color w:val="auto"/>
        </w:rPr>
      </w:pPr>
    </w:p>
    <w:p>
      <w:pPr>
        <w:ind w:left="300"/>
        <w:spacing w:after="0" w:line="255" w:lineRule="auto"/>
        <w:rPr>
          <w:sz w:val="20"/>
          <w:szCs w:val="20"/>
          <w:color w:val="auto"/>
        </w:rPr>
      </w:pPr>
      <w:r>
        <w:rPr>
          <w:rFonts w:ascii="Arial" w:cs="Arial" w:eastAsia="Arial" w:hAnsi="Arial"/>
          <w:sz w:val="18"/>
          <w:szCs w:val="18"/>
          <w:b w:val="1"/>
          <w:bCs w:val="1"/>
          <w:color w:val="auto"/>
        </w:rPr>
        <w:t>Common stock offered by us Underwriters’ option to purchase additional shares of our common stock from 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color w:val="auto"/>
        </w:rPr>
        <w:t>20,000,000 shares of our common stock.</w:t>
      </w:r>
    </w:p>
    <w:p>
      <w:pPr>
        <w:spacing w:after="0" w:line="27" w:lineRule="exact"/>
        <w:rPr>
          <w:sz w:val="20"/>
          <w:szCs w:val="20"/>
          <w:color w:val="auto"/>
        </w:rPr>
      </w:pPr>
    </w:p>
    <w:p>
      <w:pPr>
        <w:ind w:right="340"/>
        <w:spacing w:after="0" w:line="242" w:lineRule="auto"/>
        <w:rPr>
          <w:sz w:val="20"/>
          <w:szCs w:val="20"/>
          <w:color w:val="auto"/>
        </w:rPr>
      </w:pPr>
      <w:r>
        <w:rPr>
          <w:rFonts w:ascii="Arial" w:cs="Arial" w:eastAsia="Arial" w:hAnsi="Arial"/>
          <w:sz w:val="18"/>
          <w:szCs w:val="18"/>
          <w:color w:val="auto"/>
        </w:rPr>
        <w:t>We have granted the underwriters an option for a period of up to 30 days from the date of this prospectus supplement to purchase up to an additional 3,000,000 shares of our common stock at the public offering price, less the underwriting discount and commissions.</w:t>
      </w:r>
    </w:p>
    <w:p>
      <w:pPr>
        <w:spacing w:after="0" w:line="125" w:lineRule="exact"/>
        <w:rPr>
          <w:sz w:val="20"/>
          <w:szCs w:val="20"/>
          <w:color w:val="auto"/>
        </w:rPr>
      </w:pPr>
    </w:p>
    <w:p>
      <w:pPr>
        <w:sectPr>
          <w:pgSz w:w="11900" w:h="16838" w:orient="portrait"/>
          <w:cols w:equalWidth="0" w:num="2">
            <w:col w:w="3140" w:space="120"/>
            <w:col w:w="7880"/>
          </w:cols>
          <w:pgMar w:left="320" w:top="455" w:right="439" w:bottom="1440" w:gutter="0" w:footer="0" w:header="0"/>
          <w:type w:val="continuous"/>
        </w:sectPr>
      </w:pPr>
    </w:p>
    <w:p>
      <w:pPr>
        <w:ind w:left="300" w:right="400"/>
        <w:spacing w:after="0" w:line="281" w:lineRule="auto"/>
        <w:rPr>
          <w:sz w:val="20"/>
          <w:szCs w:val="20"/>
          <w:color w:val="auto"/>
        </w:rPr>
      </w:pPr>
      <w:r>
        <w:rPr>
          <w:rFonts w:ascii="Arial" w:cs="Arial" w:eastAsia="Arial" w:hAnsi="Arial"/>
          <w:sz w:val="18"/>
          <w:szCs w:val="18"/>
          <w:b w:val="1"/>
          <w:bCs w:val="1"/>
          <w:color w:val="auto"/>
        </w:rPr>
        <w:t xml:space="preserve">Common stock to be outstanding </w:t>
      </w:r>
      <w:r>
        <w:rPr>
          <w:rFonts w:ascii="Arial" w:cs="Arial" w:eastAsia="Arial" w:hAnsi="Arial"/>
          <w:sz w:val="18"/>
          <w:szCs w:val="18"/>
          <w:color w:val="auto"/>
        </w:rPr>
        <w:t>100,590,392 shares of our common stock (or 103,590,392 shares, if the underwriters exercise</w:t>
      </w:r>
      <w:r>
        <w:rPr>
          <w:rFonts w:ascii="Arial" w:cs="Arial" w:eastAsia="Arial" w:hAnsi="Arial"/>
          <w:sz w:val="18"/>
          <w:szCs w:val="18"/>
          <w:b w:val="1"/>
          <w:bCs w:val="1"/>
          <w:color w:val="auto"/>
        </w:rPr>
        <w:t xml:space="preserve"> immediately following this offering</w:t>
      </w:r>
      <w:r>
        <w:rPr>
          <w:rFonts w:ascii="Arial" w:cs="Arial" w:eastAsia="Arial" w:hAnsi="Arial"/>
          <w:sz w:val="18"/>
          <w:szCs w:val="18"/>
          <w:color w:val="auto"/>
        </w:rPr>
        <w:t>their option to purchase additional shares in full).</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Use of Proceeds</w:t>
            </w:r>
          </w:p>
        </w:tc>
        <w:tc>
          <w:tcPr>
            <w:tcW w:w="8080" w:type="dxa"/>
            <w:vAlign w:val="bottom"/>
          </w:tcPr>
          <w:p>
            <w:pPr>
              <w:ind w:left="200"/>
              <w:spacing w:after="0"/>
              <w:rPr>
                <w:sz w:val="20"/>
                <w:szCs w:val="20"/>
                <w:color w:val="auto"/>
              </w:rPr>
            </w:pPr>
            <w:r>
              <w:rPr>
                <w:rFonts w:ascii="Arial" w:cs="Arial" w:eastAsia="Arial" w:hAnsi="Arial"/>
                <w:sz w:val="18"/>
                <w:szCs w:val="18"/>
                <w:color w:val="auto"/>
              </w:rPr>
              <w:t>We intend to use the net proceeds from this offering, together with our existing cash, cash</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equivalents and marketable securities, to support the development of nomlabofusp and for</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working capital and general corporate purposes, including research and development expenses</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and commercialization expenses. See “Use of Proceeds” for a more detailed discussion of our</w:t>
            </w:r>
          </w:p>
        </w:tc>
      </w:tr>
      <w:tr>
        <w:trPr>
          <w:trHeight w:val="239"/>
        </w:trPr>
        <w:tc>
          <w:tcPr>
            <w:tcW w:w="29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expected use of proceeds.</w:t>
            </w:r>
          </w:p>
        </w:tc>
      </w:tr>
      <w:tr>
        <w:trPr>
          <w:trHeight w:val="315"/>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Indications of Interest</w:t>
            </w:r>
          </w:p>
        </w:tc>
        <w:tc>
          <w:tcPr>
            <w:tcW w:w="8080" w:type="dxa"/>
            <w:vAlign w:val="bottom"/>
          </w:tcPr>
          <w:p>
            <w:pPr>
              <w:ind w:left="200"/>
              <w:spacing w:after="0"/>
              <w:rPr>
                <w:sz w:val="20"/>
                <w:szCs w:val="20"/>
                <w:color w:val="auto"/>
              </w:rPr>
            </w:pPr>
            <w:r>
              <w:rPr>
                <w:rFonts w:ascii="Arial" w:cs="Arial" w:eastAsia="Arial" w:hAnsi="Arial"/>
                <w:sz w:val="18"/>
                <w:szCs w:val="18"/>
                <w:color w:val="auto"/>
              </w:rPr>
              <w:t>Deerfield Management, our largest stockholder, and/or certain of its affiliates have indicated an</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interest in purchasing shares of our common stock in this offering. In addition, certain of our</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directors have also indicated an interest in purchasing shares of our common stock in this</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offering. However, because indications of interest are not binding agreements or commitments</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to purchase, such directors or the Deerfield Funds may decide not to purchase any shares of</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our common stock in this offering or they could purchase fewer shares of our common stock</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than indicated. In addition, the underwriters could determine to sell fewer or not to sell any</w:t>
            </w:r>
          </w:p>
        </w:tc>
      </w:tr>
      <w:tr>
        <w:trPr>
          <w:trHeight w:val="239"/>
        </w:trPr>
        <w:tc>
          <w:tcPr>
            <w:tcW w:w="29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shares of our common stock to such directors or the Deerfield Funds.</w:t>
            </w:r>
          </w:p>
        </w:tc>
      </w:tr>
      <w:tr>
        <w:trPr>
          <w:trHeight w:val="315"/>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Risk Factors</w:t>
            </w:r>
          </w:p>
        </w:tc>
        <w:tc>
          <w:tcPr>
            <w:tcW w:w="8080" w:type="dxa"/>
            <w:vAlign w:val="bottom"/>
          </w:tcPr>
          <w:p>
            <w:pPr>
              <w:ind w:left="200"/>
              <w:spacing w:after="0"/>
              <w:rPr>
                <w:sz w:val="20"/>
                <w:szCs w:val="20"/>
                <w:color w:val="auto"/>
              </w:rPr>
            </w:pPr>
            <w:r>
              <w:rPr>
                <w:rFonts w:ascii="Arial" w:cs="Arial" w:eastAsia="Arial" w:hAnsi="Arial"/>
                <w:sz w:val="18"/>
                <w:szCs w:val="18"/>
                <w:color w:val="auto"/>
              </w:rPr>
              <w:t>Investing in our securities involves a high degree of risk. See “Risk Factors” beginning on page</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S-8 of this prospectus supplement and page 8 of the accompanying prospectus and other</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information included in this prospectus supplement, the accompanying prospectus and the</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documents incorporated by reference in this prospectus supplement and the accompanying</w:t>
            </w:r>
          </w:p>
        </w:tc>
      </w:tr>
      <w:tr>
        <w:trPr>
          <w:trHeight w:val="203"/>
        </w:trPr>
        <w:tc>
          <w:tcPr>
            <w:tcW w:w="2940" w:type="dxa"/>
            <w:vAlign w:val="bottom"/>
          </w:tcPr>
          <w:p>
            <w:pPr>
              <w:spacing w:after="0"/>
              <w:rPr>
                <w:sz w:val="17"/>
                <w:szCs w:val="17"/>
                <w:color w:val="auto"/>
              </w:rPr>
            </w:pPr>
          </w:p>
        </w:tc>
        <w:tc>
          <w:tcPr>
            <w:tcW w:w="8080" w:type="dxa"/>
            <w:vAlign w:val="bottom"/>
          </w:tcPr>
          <w:p>
            <w:pPr>
              <w:ind w:left="200"/>
              <w:spacing w:after="0" w:line="202" w:lineRule="exact"/>
              <w:rPr>
                <w:sz w:val="20"/>
                <w:szCs w:val="20"/>
                <w:color w:val="auto"/>
              </w:rPr>
            </w:pPr>
            <w:r>
              <w:rPr>
                <w:rFonts w:ascii="Arial" w:cs="Arial" w:eastAsia="Arial" w:hAnsi="Arial"/>
                <w:sz w:val="18"/>
                <w:szCs w:val="18"/>
                <w:color w:val="auto"/>
              </w:rPr>
              <w:t>prospectus for a discussion of factors you should carefully consider before deciding to invest in</w:t>
            </w:r>
          </w:p>
        </w:tc>
      </w:tr>
      <w:tr>
        <w:trPr>
          <w:trHeight w:val="239"/>
        </w:trPr>
        <w:tc>
          <w:tcPr>
            <w:tcW w:w="2940" w:type="dxa"/>
            <w:vAlign w:val="bottom"/>
          </w:tcPr>
          <w:p>
            <w:pPr>
              <w:spacing w:after="0"/>
              <w:rPr>
                <w:sz w:val="20"/>
                <w:szCs w:val="20"/>
                <w:color w:val="auto"/>
              </w:rPr>
            </w:pPr>
          </w:p>
        </w:tc>
        <w:tc>
          <w:tcPr>
            <w:tcW w:w="8080" w:type="dxa"/>
            <w:vAlign w:val="bottom"/>
          </w:tcPr>
          <w:p>
            <w:pPr>
              <w:ind w:left="200"/>
              <w:spacing w:after="0"/>
              <w:rPr>
                <w:sz w:val="20"/>
                <w:szCs w:val="20"/>
                <w:color w:val="auto"/>
              </w:rPr>
            </w:pPr>
            <w:r>
              <w:rPr>
                <w:rFonts w:ascii="Arial" w:cs="Arial" w:eastAsia="Arial" w:hAnsi="Arial"/>
                <w:sz w:val="18"/>
                <w:szCs w:val="18"/>
                <w:color w:val="auto"/>
              </w:rPr>
              <w:t>our securities.</w:t>
            </w:r>
          </w:p>
        </w:tc>
      </w:tr>
      <w:tr>
        <w:trPr>
          <w:trHeight w:val="359"/>
        </w:trPr>
        <w:tc>
          <w:tcPr>
            <w:tcW w:w="2940" w:type="dxa"/>
            <w:vAlign w:val="bottom"/>
          </w:tcPr>
          <w:p>
            <w:pPr>
              <w:ind w:left="180"/>
              <w:spacing w:after="0"/>
              <w:rPr>
                <w:sz w:val="20"/>
                <w:szCs w:val="20"/>
                <w:color w:val="auto"/>
              </w:rPr>
            </w:pPr>
            <w:r>
              <w:rPr>
                <w:rFonts w:ascii="Arial" w:cs="Arial" w:eastAsia="Arial" w:hAnsi="Arial"/>
                <w:sz w:val="18"/>
                <w:szCs w:val="18"/>
                <w:b w:val="1"/>
                <w:bCs w:val="1"/>
                <w:color w:val="auto"/>
              </w:rPr>
              <w:t>Nasdaq Global Market symbol</w:t>
            </w:r>
          </w:p>
        </w:tc>
        <w:tc>
          <w:tcPr>
            <w:tcW w:w="8080" w:type="dxa"/>
            <w:vAlign w:val="bottom"/>
          </w:tcPr>
          <w:p>
            <w:pPr>
              <w:ind w:left="200"/>
              <w:spacing w:after="0"/>
              <w:rPr>
                <w:sz w:val="20"/>
                <w:szCs w:val="20"/>
                <w:color w:val="auto"/>
              </w:rPr>
            </w:pPr>
            <w:r>
              <w:rPr>
                <w:rFonts w:ascii="Arial" w:cs="Arial" w:eastAsia="Arial" w:hAnsi="Arial"/>
                <w:sz w:val="18"/>
                <w:szCs w:val="18"/>
                <w:color w:val="auto"/>
              </w:rPr>
              <w:t>Our common stock is listed on The Nasdaq Global Market under the symbol “LRMR.”</w:t>
            </w:r>
          </w:p>
        </w:tc>
      </w:tr>
      <w:tr>
        <w:trPr>
          <w:trHeight w:val="147"/>
        </w:trPr>
        <w:tc>
          <w:tcPr>
            <w:tcW w:w="2940" w:type="dxa"/>
            <w:vAlign w:val="bottom"/>
            <w:tcBorders>
              <w:bottom w:val="single" w:sz="8" w:color="auto"/>
            </w:tcBorders>
          </w:tcPr>
          <w:p>
            <w:pPr>
              <w:spacing w:after="0"/>
              <w:rPr>
                <w:sz w:val="12"/>
                <w:szCs w:val="12"/>
                <w:color w:val="auto"/>
              </w:rPr>
            </w:pPr>
          </w:p>
        </w:tc>
        <w:tc>
          <w:tcPr>
            <w:tcW w:w="8080" w:type="dxa"/>
            <w:vAlign w:val="bottom"/>
            <w:tcBorders>
              <w:bottom w:val="single" w:sz="8" w:color="auto"/>
            </w:tcBorders>
          </w:tcPr>
          <w:p>
            <w:pPr>
              <w:spacing w:after="0"/>
              <w:rPr>
                <w:sz w:val="12"/>
                <w:szCs w:val="12"/>
                <w:color w:val="auto"/>
              </w:rPr>
            </w:pPr>
          </w:p>
        </w:tc>
      </w:tr>
      <w:tr>
        <w:trPr>
          <w:trHeight w:val="365"/>
        </w:trPr>
        <w:tc>
          <w:tcPr>
            <w:tcW w:w="2940" w:type="dxa"/>
            <w:vAlign w:val="bottom"/>
          </w:tcPr>
          <w:p>
            <w:pPr>
              <w:spacing w:after="0"/>
              <w:rPr>
                <w:sz w:val="24"/>
                <w:szCs w:val="24"/>
                <w:color w:val="auto"/>
              </w:rPr>
            </w:pPr>
          </w:p>
        </w:tc>
        <w:tc>
          <w:tcPr>
            <w:tcW w:w="8080" w:type="dxa"/>
            <w:vAlign w:val="bottom"/>
          </w:tcPr>
          <w:p>
            <w:pPr>
              <w:ind w:left="2420"/>
              <w:spacing w:after="0"/>
              <w:rPr>
                <w:sz w:val="20"/>
                <w:szCs w:val="20"/>
                <w:color w:val="auto"/>
              </w:rPr>
            </w:pPr>
            <w:r>
              <w:rPr>
                <w:rFonts w:ascii="Arial" w:cs="Arial" w:eastAsia="Arial" w:hAnsi="Arial"/>
                <w:sz w:val="18"/>
                <w:szCs w:val="18"/>
                <w:color w:val="auto"/>
              </w:rPr>
              <w:t>S-6</w:t>
            </w:r>
          </w:p>
        </w:tc>
      </w:tr>
    </w:tbl>
    <w:p>
      <w:pPr>
        <w:sectPr>
          <w:pgSz w:w="11900" w:h="16838" w:orient="portrait"/>
          <w:cols w:equalWidth="0" w:num="1">
            <w:col w:w="11140"/>
          </w:cols>
          <w:pgMar w:left="320" w:top="455" w:right="4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36728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36728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60"/>
        <w:spacing w:after="0" w:line="247" w:lineRule="auto"/>
        <w:rPr>
          <w:sz w:val="20"/>
          <w:szCs w:val="20"/>
          <w:color w:val="auto"/>
        </w:rPr>
      </w:pPr>
      <w:r>
        <w:rPr>
          <w:rFonts w:ascii="Arial" w:cs="Arial" w:eastAsia="Arial" w:hAnsi="Arial"/>
          <w:sz w:val="18"/>
          <w:szCs w:val="18"/>
          <w:color w:val="auto"/>
        </w:rPr>
        <w:t>The number of shares of our common stock that will be outstanding after this offering is based on 80,590,392 shares of our common stock outstanding, which is based on 85,590,392 shares of our common stock outstanding as of September 30, 2025 adjusted for the effect of the conversions in December 2025 and January 2026 of an aggregate 5,000,000 shares of our common stock into 500,000 shares of Series A Convertible Preferred Stock, and excludes the following:</w:t>
      </w:r>
    </w:p>
    <w:p>
      <w:pPr>
        <w:spacing w:after="0" w:line="106" w:lineRule="exact"/>
        <w:rPr>
          <w:sz w:val="20"/>
          <w:szCs w:val="20"/>
          <w:color w:val="auto"/>
        </w:rPr>
      </w:pPr>
    </w:p>
    <w:p>
      <w:pPr>
        <w:ind w:left="480" w:right="42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8,608,341 shares of our common stock issuable upon the exercise of stock options outstanding as of September 30, 2025 at a weighted-average exercise price of $6.51 per share;</w:t>
      </w:r>
    </w:p>
    <w:p>
      <w:pPr>
        <w:spacing w:after="0" w:line="86" w:lineRule="exact"/>
        <w:rPr>
          <w:rFonts w:ascii="Arial" w:cs="Arial" w:eastAsia="Arial" w:hAnsi="Arial"/>
          <w:sz w:val="18"/>
          <w:szCs w:val="18"/>
          <w:color w:val="auto"/>
        </w:rPr>
      </w:pPr>
    </w:p>
    <w:p>
      <w:pPr>
        <w:ind w:left="48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2,148,296 shares of our common stock issuable upon the exercise of stock options granted subsequent to September 30, 2025 at a weighted-average exercise price of $3.60 per share;</w:t>
      </w:r>
    </w:p>
    <w:p>
      <w:pPr>
        <w:spacing w:after="0" w:line="86" w:lineRule="exact"/>
        <w:rPr>
          <w:rFonts w:ascii="Arial" w:cs="Arial" w:eastAsia="Arial" w:hAnsi="Arial"/>
          <w:sz w:val="18"/>
          <w:szCs w:val="18"/>
          <w:color w:val="auto"/>
        </w:rPr>
      </w:pPr>
    </w:p>
    <w:p>
      <w:pPr>
        <w:ind w:left="480" w:right="72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1,009,791 shares of our common stock issuable upon the vesting and settlement of restricted stock units outstanding as of September 30, 2025;</w:t>
      </w:r>
    </w:p>
    <w:p>
      <w:pPr>
        <w:spacing w:after="0" w:line="86" w:lineRule="exact"/>
        <w:rPr>
          <w:rFonts w:ascii="Arial" w:cs="Arial" w:eastAsia="Arial" w:hAnsi="Arial"/>
          <w:sz w:val="18"/>
          <w:szCs w:val="18"/>
          <w:color w:val="auto"/>
        </w:rPr>
      </w:pPr>
    </w:p>
    <w:p>
      <w:pPr>
        <w:ind w:left="480" w:right="84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532,435 shares of our common stock issuable upon the vesting and settlement of restricted stock units that were granted subsequent to September 30, 2025;</w:t>
      </w:r>
    </w:p>
    <w:p>
      <w:pPr>
        <w:spacing w:after="0" w:line="86" w:lineRule="exact"/>
        <w:rPr>
          <w:rFonts w:ascii="Arial" w:cs="Arial" w:eastAsia="Arial" w:hAnsi="Arial"/>
          <w:sz w:val="18"/>
          <w:szCs w:val="18"/>
          <w:color w:val="auto"/>
        </w:rPr>
      </w:pPr>
    </w:p>
    <w:p>
      <w:pPr>
        <w:ind w:left="480" w:right="4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483,960 shares of our common stock available for future issuance as of September 30, 2025 under our 2020 Equity Incentive Plan; and</w:t>
      </w:r>
    </w:p>
    <w:p>
      <w:pPr>
        <w:spacing w:after="0" w:line="86" w:lineRule="exact"/>
        <w:rPr>
          <w:rFonts w:ascii="Arial" w:cs="Arial" w:eastAsia="Arial" w:hAnsi="Arial"/>
          <w:sz w:val="18"/>
          <w:szCs w:val="18"/>
          <w:color w:val="auto"/>
        </w:rPr>
      </w:pPr>
    </w:p>
    <w:p>
      <w:pPr>
        <w:ind w:left="480" w:right="260" w:hanging="186"/>
        <w:spacing w:after="0" w:line="271" w:lineRule="auto"/>
        <w:tabs>
          <w:tab w:leader="none" w:pos="480" w:val="left"/>
        </w:tabs>
        <w:numPr>
          <w:ilvl w:val="0"/>
          <w:numId w:val="2"/>
        </w:numPr>
        <w:rPr>
          <w:rFonts w:ascii="Arial" w:cs="Arial" w:eastAsia="Arial" w:hAnsi="Arial"/>
          <w:sz w:val="18"/>
          <w:szCs w:val="18"/>
          <w:color w:val="auto"/>
        </w:rPr>
      </w:pPr>
      <w:r>
        <w:rPr>
          <w:rFonts w:ascii="Arial" w:cs="Arial" w:eastAsia="Arial" w:hAnsi="Arial"/>
          <w:sz w:val="18"/>
          <w:szCs w:val="18"/>
          <w:color w:val="auto"/>
        </w:rPr>
        <w:t>3,323,616 shares of our common stock added to shares available for future issuance on January 1, 2026 as permitted under our 2020 Equity Incentive Plan.</w:t>
      </w:r>
    </w:p>
    <w:p>
      <w:pPr>
        <w:spacing w:after="0" w:line="73" w:lineRule="exact"/>
        <w:rPr>
          <w:sz w:val="20"/>
          <w:szCs w:val="20"/>
          <w:color w:val="auto"/>
        </w:rPr>
      </w:pPr>
    </w:p>
    <w:p>
      <w:pPr>
        <w:ind w:left="300" w:right="340"/>
        <w:spacing w:after="0" w:line="253" w:lineRule="auto"/>
        <w:rPr>
          <w:sz w:val="20"/>
          <w:szCs w:val="20"/>
          <w:color w:val="auto"/>
        </w:rPr>
      </w:pPr>
      <w:r>
        <w:rPr>
          <w:rFonts w:ascii="Arial" w:cs="Arial" w:eastAsia="Arial" w:hAnsi="Arial"/>
          <w:sz w:val="18"/>
          <w:szCs w:val="18"/>
          <w:color w:val="auto"/>
        </w:rPr>
        <w:t>Up to $100.0 million of shares of our common stock may be sold from time to time under the sales agreement, or the Sales Agreement, dated May 9, 2024, for our “at-the-market” program, or the ATM Program, with Guggenheim Securities, LLC, as sales agent. As of the date of this prospectus supplement, no sales have been made under the ATM Program.</w:t>
      </w:r>
    </w:p>
    <w:p>
      <w:pPr>
        <w:spacing w:after="0" w:line="101" w:lineRule="exact"/>
        <w:rPr>
          <w:sz w:val="20"/>
          <w:szCs w:val="20"/>
          <w:color w:val="auto"/>
        </w:rPr>
      </w:pPr>
    </w:p>
    <w:p>
      <w:pPr>
        <w:ind w:left="300" w:right="180"/>
        <w:spacing w:after="0" w:line="271"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described above and no exercise by the underwriters of their option to purchase additional shares.</w:t>
      </w: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0940"/>
          </w:cols>
          <w:pgMar w:left="320" w:top="455" w:right="6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RISK FACTORS</w:t>
      </w:r>
    </w:p>
    <w:p>
      <w:pPr>
        <w:spacing w:after="0" w:line="156" w:lineRule="exact"/>
        <w:rPr>
          <w:sz w:val="20"/>
          <w:szCs w:val="20"/>
          <w:color w:val="auto"/>
        </w:rPr>
      </w:pPr>
    </w:p>
    <w:p>
      <w:pPr>
        <w:ind w:left="120" w:right="100"/>
        <w:spacing w:after="0" w:line="239" w:lineRule="auto"/>
        <w:rPr>
          <w:sz w:val="20"/>
          <w:szCs w:val="20"/>
          <w:color w:val="auto"/>
        </w:rPr>
      </w:pPr>
      <w:r>
        <w:rPr>
          <w:rFonts w:ascii="Arial" w:cs="Arial" w:eastAsia="Arial" w:hAnsi="Arial"/>
          <w:sz w:val="18"/>
          <w:szCs w:val="18"/>
          <w:i w:val="1"/>
          <w:iCs w:val="1"/>
          <w:color w:val="auto"/>
        </w:rPr>
        <w:t>An investment in our securities involves a high degree of risk. Our business, financial condition and results of operations could be materially and adversely affected by any of these risks. If any of these risks occur, the value of our common stock may decline and you may lose all or part of your investment. Before investing in our securities, you should consider carefully the risk factors set forth in this prospectus supplement, the accompanying prospectus and in any free writing prospectus that we have authorized for use in connection with this offering, along with the risk factors described in our most recent Annual Report on Form 10-K, our subsequent Quarterly Reports on Form 10-Q, and any subsequent Annual Reports on Form 10-K, Quarterly Reports on Form 10-Q, or Current Reports on Form 8-K we file after the date of this prospectus supplement, as well as other information contained or incorporated by reference into this prospectus supplement and the accompanying prospectus, as updated by our subsequent filings under the Securities Exchange Act of 1934, as amended, or the Exchange Act.</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Our Financial Position and Need for Additional Capital</w:t>
      </w:r>
    </w:p>
    <w:p>
      <w:pPr>
        <w:spacing w:after="0" w:line="137" w:lineRule="exact"/>
        <w:rPr>
          <w:sz w:val="20"/>
          <w:szCs w:val="20"/>
          <w:color w:val="auto"/>
        </w:rPr>
      </w:pPr>
    </w:p>
    <w:p>
      <w:pPr>
        <w:jc w:val="both"/>
        <w:ind w:left="120"/>
        <w:spacing w:after="0" w:line="256" w:lineRule="auto"/>
        <w:rPr>
          <w:sz w:val="20"/>
          <w:szCs w:val="20"/>
          <w:color w:val="auto"/>
        </w:rPr>
      </w:pPr>
      <w:r>
        <w:rPr>
          <w:rFonts w:ascii="Arial" w:cs="Arial" w:eastAsia="Arial" w:hAnsi="Arial"/>
          <w:sz w:val="18"/>
          <w:szCs w:val="18"/>
          <w:b w:val="1"/>
          <w:bCs w:val="1"/>
          <w:i w:val="1"/>
          <w:iCs w:val="1"/>
          <w:color w:val="auto"/>
        </w:rPr>
        <w:t>We have a history of losses and expect to incur substantial future losses. If we do not raise sufficient funds through this offering and other means, management would expect to conclude that there is substantial doubt about our ability to continue as a going concern.</w:t>
      </w:r>
    </w:p>
    <w:p>
      <w:pPr>
        <w:spacing w:after="0" w:line="92"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As of December 31, 2025, we estimate that we had cash, cash equivalents and marketable securities of $ 136.9 million. We have incurred significant net losses since inception and expect to incur substantial losses in future periods. Our ability to continue as a going concern is dependent on our ability to generate sufficient cash flows from operations and/or obtain additional capital through financings, equity, debt financings, partnerships, collaborations, other sources, or a combination thereof. Based upon our current operating plan, our current cash, cash equivalents and marketable securities will be sufficient to fund our operations into the fourth quarter of 2026, which results in substantial doubt as of the filing from this prospectus supplement.</w:t>
      </w:r>
    </w:p>
    <w:p>
      <w:pPr>
        <w:spacing w:after="0" w:line="98"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If we do not raise sufficient funds through this offering and by other means, then we expect that we will disclose in our Annual Report on Form 10-K for the year ended December 31, 2025, or the 2025 Annual Report, that we would have substantial doubt about our ability to fund our operations for more than one year beyond the filing date of the 2025 Annual Report. We would also expect that the opinion from our independent registered public accounting firm on such annual financial statements contained in our 2025 Annual Report would contain an explanatory paragraph about such substantial doubt about our ability to continue as a going concern.</w:t>
      </w:r>
    </w:p>
    <w:p>
      <w:pPr>
        <w:spacing w:after="0" w:line="109"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There is no assurance that we will be successful in obtaining sufficient funding on acceptable terms, if at all. If we are unable to obtain sufficient funding when needed and/or on acceptable terms, we may be required to significantly curtail, delay or discontinue our research and development programs, the manufacturing of clinical and commercial supplies, product portfolio expansion or pre commercialization efforts, which could adversely affect our business prospects, or we may be unable to continue operations.</w:t>
      </w:r>
    </w:p>
    <w:p>
      <w:pPr>
        <w:spacing w:after="0" w:line="106" w:lineRule="exact"/>
        <w:rPr>
          <w:sz w:val="20"/>
          <w:szCs w:val="20"/>
          <w:color w:val="auto"/>
        </w:rPr>
      </w:pPr>
    </w:p>
    <w:p>
      <w:pPr>
        <w:jc w:val="both"/>
        <w:ind w:left="120" w:right="120"/>
        <w:spacing w:after="0" w:line="253" w:lineRule="auto"/>
        <w:rPr>
          <w:sz w:val="20"/>
          <w:szCs w:val="20"/>
          <w:color w:val="auto"/>
        </w:rPr>
      </w:pPr>
      <w:r>
        <w:rPr>
          <w:rFonts w:ascii="Arial" w:cs="Arial" w:eastAsia="Arial" w:hAnsi="Arial"/>
          <w:sz w:val="18"/>
          <w:szCs w:val="18"/>
          <w:color w:val="auto"/>
        </w:rPr>
        <w:t>The substantial doubt about our ability to continue as a going concern may adversely affect our stock price and our ability to raise capital. If we are unable to obtain additional capital, we may not be able to continue our operations on the scope or scale as currently conducted, and that could have a material adverse effect on our business, results of operations and financial condition.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Risks Related to This Offering</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Management will have broad discretion over the use of proceeds from this offering, and may not use the proceeds effectively.</w:t>
      </w:r>
    </w:p>
    <w:p>
      <w:pPr>
        <w:spacing w:after="0" w:line="129" w:lineRule="exact"/>
        <w:rPr>
          <w:sz w:val="20"/>
          <w:szCs w:val="20"/>
          <w:color w:val="auto"/>
        </w:rPr>
      </w:pPr>
    </w:p>
    <w:p>
      <w:pPr>
        <w:ind w:left="120" w:right="820"/>
        <w:spacing w:after="0" w:line="271" w:lineRule="auto"/>
        <w:rPr>
          <w:sz w:val="20"/>
          <w:szCs w:val="20"/>
          <w:color w:val="auto"/>
        </w:rPr>
      </w:pPr>
      <w:r>
        <w:rPr>
          <w:rFonts w:ascii="Arial" w:cs="Arial" w:eastAsia="Arial" w:hAnsi="Arial"/>
          <w:sz w:val="18"/>
          <w:szCs w:val="18"/>
          <w:color w:val="auto"/>
        </w:rPr>
        <w:t>Our management will have broad discretion with respect to the use of proceeds of this offering, including for any of the purposes described in the section of this prospectus supplement entitled “Use of Proceeds.” You will</w:t>
      </w:r>
    </w:p>
    <w:p>
      <w:pPr>
        <w:spacing w:after="0" w:line="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have limited information concerning our management’s specific intentions regarding the use of the proceeds of this offering and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 The results and effectiveness of the use of proceeds are uncertain, and we could spend the proceeds in ways that you do not agree with or that do not improve our results of operations or enhance the value of our common stock. Pending their use, we may invest the net proceeds from this offering in short-term, investment-grade, interest-bearing securities. These investments may not yield a favorable return to our stockholders. Our failure to apply these funds effectively could harm our business, delay the development of our pipeline product candidates and cause the price of our common stock to decline. See “Use of Proceeds” for a more detailed discussion of our expected use of proceeds.</w:t>
      </w:r>
    </w:p>
    <w:p>
      <w:pPr>
        <w:spacing w:after="0" w:line="253" w:lineRule="exact"/>
        <w:rPr>
          <w:sz w:val="20"/>
          <w:szCs w:val="20"/>
          <w:color w:val="auto"/>
        </w:rPr>
      </w:pPr>
    </w:p>
    <w:p>
      <w:pPr>
        <w:ind w:left="120" w:right="80"/>
        <w:spacing w:after="0" w:line="278" w:lineRule="auto"/>
        <w:rPr>
          <w:sz w:val="20"/>
          <w:szCs w:val="20"/>
          <w:color w:val="auto"/>
        </w:rPr>
      </w:pPr>
      <w:r>
        <w:rPr>
          <w:rFonts w:ascii="Arial" w:cs="Arial" w:eastAsia="Arial" w:hAnsi="Arial"/>
          <w:sz w:val="18"/>
          <w:szCs w:val="18"/>
          <w:b w:val="1"/>
          <w:bCs w:val="1"/>
          <w:i w:val="1"/>
          <w:iCs w:val="1"/>
          <w:color w:val="auto"/>
        </w:rPr>
        <w:t>You will experience immediate and substantial dilution in the net tangible book value per share of the common stock purchased in this offering.</w:t>
      </w:r>
    </w:p>
    <w:p>
      <w:pPr>
        <w:spacing w:after="0" w:line="72" w:lineRule="exact"/>
        <w:rPr>
          <w:sz w:val="20"/>
          <w:szCs w:val="20"/>
          <w:color w:val="auto"/>
        </w:rPr>
      </w:pPr>
    </w:p>
    <w:p>
      <w:pPr>
        <w:ind w:left="120" w:right="140"/>
        <w:spacing w:after="0" w:line="244" w:lineRule="auto"/>
        <w:rPr>
          <w:sz w:val="20"/>
          <w:szCs w:val="20"/>
          <w:color w:val="auto"/>
        </w:rPr>
      </w:pPr>
      <w:r>
        <w:rPr>
          <w:rFonts w:ascii="Arial" w:cs="Arial" w:eastAsia="Arial" w:hAnsi="Arial"/>
          <w:sz w:val="18"/>
          <w:szCs w:val="18"/>
          <w:color w:val="auto"/>
        </w:rPr>
        <w:t>Since the price per share of our common stock being offered is substantially higher than the net tangible book value per share of our common stock, you will suffer immediate and substantial dilution in the net tangible book value of the common stock you purchase in this offering. The exercise of outstanding stock options and vesting and settlement of restricted stock units sold in this offering may result in further dilution of your investment. See “Dilution” for a more detailed discussion of the dilution you will incur if you purchase shares of our common stock in this offering.</w:t>
      </w:r>
    </w:p>
    <w:p>
      <w:pPr>
        <w:spacing w:after="0" w:line="246" w:lineRule="exact"/>
        <w:rPr>
          <w:sz w:val="20"/>
          <w:szCs w:val="20"/>
          <w:color w:val="auto"/>
        </w:rPr>
      </w:pPr>
    </w:p>
    <w:p>
      <w:pPr>
        <w:ind w:left="120" w:right="240"/>
        <w:spacing w:after="0" w:line="256" w:lineRule="auto"/>
        <w:rPr>
          <w:sz w:val="20"/>
          <w:szCs w:val="20"/>
          <w:color w:val="auto"/>
        </w:rPr>
      </w:pPr>
      <w:r>
        <w:rPr>
          <w:rFonts w:ascii="Arial" w:cs="Arial" w:eastAsia="Arial" w:hAnsi="Arial"/>
          <w:sz w:val="18"/>
          <w:szCs w:val="18"/>
          <w:b w:val="1"/>
          <w:bCs w:val="1"/>
          <w:i w:val="1"/>
          <w:iCs w:val="1"/>
          <w:color w:val="auto"/>
        </w:rPr>
        <w:t>Future sales and issuances of shares of our common stock or securities convertible into or exercisable for shares of our common stock following this offering, as well as the exercise of existing options, will dilute your ownership interests and may adversely affect the future market price of our common stock.</w:t>
      </w:r>
    </w:p>
    <w:p>
      <w:pPr>
        <w:spacing w:after="0" w:line="92" w:lineRule="exact"/>
        <w:rPr>
          <w:sz w:val="20"/>
          <w:szCs w:val="20"/>
          <w:color w:val="auto"/>
        </w:rPr>
      </w:pPr>
    </w:p>
    <w:p>
      <w:pPr>
        <w:ind w:left="120" w:right="180"/>
        <w:spacing w:after="0" w:line="253" w:lineRule="auto"/>
        <w:rPr>
          <w:sz w:val="20"/>
          <w:szCs w:val="20"/>
          <w:color w:val="auto"/>
        </w:rPr>
      </w:pPr>
      <w:r>
        <w:rPr>
          <w:rFonts w:ascii="Arial" w:cs="Arial" w:eastAsia="Arial" w:hAnsi="Arial"/>
          <w:sz w:val="17"/>
          <w:szCs w:val="17"/>
          <w:color w:val="auto"/>
        </w:rPr>
        <w:t>As a development-stage company, we will need additional capital to fund the development and commercialization of our product candidates. We may seek additional capital through a combination of private and public equity offerings, debt financings, strategic partnerships and alliances and licensing arrangements at prices and in a manner we determine from time to time, which may cause your ownership interest to be diluted. For example, on May 9, 2024, we entered into the Sales Agreement with Guggenheim Securities, LLC pursuant to which we may sell from time to time, at our option, up to $100.0 million of shares of our common stock through Guggenheim Securities, LLC, as our agent. As of September 30, 2025, we have not sold any shares of our common stock under the ATM Program. In addition, as of September 30, 2025, there were options to purchase 8,608,341 shares of our common stock outstanding at a weighted average exercise price of $6.51. If these securities are exercised, you may incur further dilution. Moreover, to the extent that we issue additional shares of our common stock, options to purchase, or securities convertible into or exchangeable for, shares of our common stock in the future and those options or other securities are exercised, converted or exchanged, stockholders may experience further dilution. The price per share at which we sell additional shares of our common stock or other securities convertible into or exchangeable for our common stock in future transactions may be higher or lower than the price per share in this offering.</w:t>
      </w:r>
    </w:p>
    <w:p>
      <w:pPr>
        <w:spacing w:after="0" w:line="243" w:lineRule="exact"/>
        <w:rPr>
          <w:sz w:val="20"/>
          <w:szCs w:val="20"/>
          <w:color w:val="auto"/>
        </w:rPr>
      </w:pPr>
    </w:p>
    <w:p>
      <w:pPr>
        <w:ind w:left="120" w:right="300"/>
        <w:spacing w:after="0" w:line="278" w:lineRule="auto"/>
        <w:rPr>
          <w:sz w:val="20"/>
          <w:szCs w:val="20"/>
          <w:color w:val="auto"/>
        </w:rPr>
      </w:pPr>
      <w:r>
        <w:rPr>
          <w:rFonts w:ascii="Arial" w:cs="Arial" w:eastAsia="Arial" w:hAnsi="Arial"/>
          <w:sz w:val="18"/>
          <w:szCs w:val="18"/>
          <w:b w:val="1"/>
          <w:bCs w:val="1"/>
          <w:i w:val="1"/>
          <w:iCs w:val="1"/>
          <w:color w:val="auto"/>
        </w:rPr>
        <w:t>A substantial number of shares may be sold in the market following this offering, which may depress the market price for our common stock.</w:t>
      </w:r>
    </w:p>
    <w:p>
      <w:pPr>
        <w:spacing w:after="0" w:line="58"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Sales of a substantial number of shares of our common stock, in the public market following this offering, or the perception by the market that those sales could occur, could cause the market price of our common stock to decline, including pursuant to the ATM Program. We are unable to predict the effect that such sales may have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120"/>
          </w:cols>
          <w:pgMar w:left="320" w:top="455" w:right="4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on the prevailing market price of our common stock. Immediately after this offering, we will have outstanding 100,590,392 shares of our common stock (or 103,590,392 shares if the underwriters exercise their option to purchase additional shares of our common stock in full) based on the number of shares of our common stock outstanding as of September 30, 2025. This includes the shares of our common stock that we are selling in this offering, which may be resold in the public market immediately without restriction, unless purchased by our directors, officers or affiliates. Approximately 36,807,708 shares are restricted from sale as a result of 90-day lock-up agreements (which may be waived, with or without notice, by the representatives of the underwriters) but will be able to be sold beginning 90 days after this offering, unless held by one of our affiliates, in which case the resale of those securities will be subject to volume limitations under Rule 144 of the Securities Act of 1933, as amended, or the Securities Act. In addition, we have also registered the shares of our common stock that we may issue under our equity incentive plans. As a result, these shares can be freely sold in the public market upon issuance, subject to restrictions under securities laws.</w:t>
      </w:r>
    </w:p>
    <w:p>
      <w:pPr>
        <w:spacing w:after="0" w:line="249" w:lineRule="exact"/>
        <w:rPr>
          <w:sz w:val="20"/>
          <w:szCs w:val="20"/>
          <w:color w:val="auto"/>
        </w:rPr>
      </w:pPr>
    </w:p>
    <w:p>
      <w:pPr>
        <w:ind w:left="120"/>
        <w:spacing w:after="0" w:line="256" w:lineRule="auto"/>
        <w:rPr>
          <w:sz w:val="20"/>
          <w:szCs w:val="20"/>
          <w:color w:val="auto"/>
        </w:rPr>
      </w:pPr>
      <w:r>
        <w:rPr>
          <w:rFonts w:ascii="Arial" w:cs="Arial" w:eastAsia="Arial" w:hAnsi="Arial"/>
          <w:sz w:val="18"/>
          <w:szCs w:val="18"/>
          <w:b w:val="1"/>
          <w:bCs w:val="1"/>
          <w:i w:val="1"/>
          <w:iCs w:val="1"/>
          <w:color w:val="auto"/>
        </w:rPr>
        <w:t>If securities or industry analysts either do not publish research about us or publish inaccurate or unfavorable research about us, our business or our market, or if they change their recommendations regarding our common stock adversely, the trading price or trading volume of our common stock could decline.</w:t>
      </w:r>
    </w:p>
    <w:p>
      <w:pPr>
        <w:spacing w:after="0" w:line="9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The trading market for our common stock will be influenced in part by the research and reports that securities or industry analysts may publish about us, our business, our market, or our competitors. If one or more of these analysts initiate research with an unfavorable rating or downgrade our common stock, provide a more favorable recommendation about our competitors or publish inaccurate or unfavorable research about our business, our common stock price would likely decline. If any analyst who may cover us were to cease coverage of us or fail to regularly publish reports on us, we could lose visibility in the financial markets, which in turn could cause the trading price or trading volume of our common stock to decline.</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and trading volume of our stock may be volatile.</w:t>
      </w:r>
    </w:p>
    <w:p>
      <w:pPr>
        <w:spacing w:after="0" w:line="142"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market price of our common stock could be subject to significant fluctuations. Market prices for securities of early-stage pharmaceutical, biotechnology, and other life sciences companies have historically been particularly volatile. Some of the factors that may cause the market price of our common stock to fluctuate include:</w:t>
      </w:r>
    </w:p>
    <w:p>
      <w:pPr>
        <w:spacing w:after="0" w:line="101" w:lineRule="exact"/>
        <w:rPr>
          <w:sz w:val="20"/>
          <w:szCs w:val="20"/>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regulatory approvals for product candidates, and delays or failures to obtain such approvals;</w:t>
      </w:r>
    </w:p>
    <w:p>
      <w:pPr>
        <w:spacing w:after="0" w:line="144" w:lineRule="exact"/>
        <w:rPr>
          <w:rFonts w:ascii="Arial" w:cs="Arial" w:eastAsia="Arial" w:hAnsi="Arial"/>
          <w:sz w:val="18"/>
          <w:szCs w:val="18"/>
          <w:color w:val="auto"/>
        </w:rPr>
      </w:pPr>
    </w:p>
    <w:p>
      <w:pPr>
        <w:ind w:left="340" w:right="96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and delays in, current, and any future, non-clinical or clinical trials of nomlabofusp or any of our future product candidates, including any potential delays related to public health crises;</w:t>
      </w:r>
    </w:p>
    <w:p>
      <w:pPr>
        <w:spacing w:after="0" w:line="86" w:lineRule="exact"/>
        <w:rPr>
          <w:rFonts w:ascii="Arial" w:cs="Arial" w:eastAsia="Arial" w:hAnsi="Arial"/>
          <w:sz w:val="18"/>
          <w:szCs w:val="18"/>
          <w:color w:val="auto"/>
        </w:rPr>
      </w:pPr>
    </w:p>
    <w:p>
      <w:pPr>
        <w:ind w:left="340" w:right="72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failure of nomlabofusp or any of our future product candidates, if approved for marketing and commercialization, to achieve commercial success;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issues in manufacturing our approved products, if any, or product candidates;</w:t>
      </w:r>
    </w:p>
    <w:p>
      <w:pPr>
        <w:spacing w:after="0" w:line="144" w:lineRule="exact"/>
        <w:rPr>
          <w:rFonts w:ascii="Arial" w:cs="Arial" w:eastAsia="Arial" w:hAnsi="Arial"/>
          <w:sz w:val="18"/>
          <w:szCs w:val="18"/>
          <w:color w:val="auto"/>
        </w:rPr>
      </w:pPr>
    </w:p>
    <w:p>
      <w:pPr>
        <w:ind w:left="340" w:right="400" w:hanging="224"/>
        <w:spacing w:after="0" w:line="27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our intellectual property rights or defend against the intellectual property rights of others;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120"/>
          </w:cols>
          <w:pgMar w:left="320" w:top="455"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30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announcements by us or our commercial partners or competitors of new commercial products, clinical progress (or the lack thereof), significant contracts, commercial relationships, or capital commitments;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publicity relating to our markets, including with respect to other products and potential products in such markets;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our potential products;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sale or proposed sale, or the sale by our significant stockholders, of our shares or other securities in the future;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and industry-specific economic conditions potentially affecting our research and development expenditures;</w:t>
      </w:r>
    </w:p>
    <w:p>
      <w:pPr>
        <w:spacing w:after="0" w:line="144" w:lineRule="exact"/>
        <w:rPr>
          <w:rFonts w:ascii="Arial" w:cs="Arial" w:eastAsia="Arial" w:hAnsi="Arial"/>
          <w:sz w:val="18"/>
          <w:szCs w:val="18"/>
          <w:color w:val="auto"/>
        </w:rPr>
      </w:pPr>
    </w:p>
    <w:p>
      <w:pPr>
        <w:ind w:left="340" w:right="10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macroeconomic conditions, including volatility in the credit and financial markets as well as inflationary pressures and changes in trade policies;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disasters, including earthquakes, and other calamities;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 and</w:t>
      </w:r>
    </w:p>
    <w:p>
      <w:pPr>
        <w:spacing w:after="0" w:line="144"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 and in Part I, Item 1A of our Annual Report on Form 10-K for the fiscal year ended December 31, 2024.</w:t>
      </w:r>
    </w:p>
    <w:p>
      <w:pPr>
        <w:spacing w:after="0" w:line="73" w:lineRule="exact"/>
        <w:rPr>
          <w:sz w:val="20"/>
          <w:szCs w:val="20"/>
          <w:color w:val="auto"/>
        </w:rPr>
      </w:pPr>
    </w:p>
    <w:p>
      <w:pPr>
        <w:ind w:left="120" w:right="220"/>
        <w:spacing w:after="0" w:line="253" w:lineRule="auto"/>
        <w:rPr>
          <w:sz w:val="20"/>
          <w:szCs w:val="20"/>
          <w:color w:val="auto"/>
        </w:rPr>
      </w:pPr>
      <w:r>
        <w:rPr>
          <w:rFonts w:ascii="Arial" w:cs="Arial" w:eastAsia="Arial" w:hAnsi="Arial"/>
          <w:sz w:val="18"/>
          <w:szCs w:val="18"/>
          <w:color w:val="auto"/>
        </w:rPr>
        <w:t>Moreover, the capital markets in general have experienced substantial volatility that has often been unrelated to the operating performance of individual companies or the biotechnology sector. These broad market fluctuations may also adversely affect the trading price of our common stock.</w:t>
      </w:r>
    </w:p>
    <w:p>
      <w:pPr>
        <w:spacing w:after="0" w:line="101" w:lineRule="exact"/>
        <w:rPr>
          <w:sz w:val="20"/>
          <w:szCs w:val="20"/>
          <w:color w:val="auto"/>
        </w:rPr>
      </w:pPr>
    </w:p>
    <w:p>
      <w:pPr>
        <w:ind w:left="120" w:right="180"/>
        <w:spacing w:after="0" w:line="25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impact our profitability and reputation.</w:t>
      </w:r>
    </w:p>
    <w:p>
      <w:pPr>
        <w:spacing w:after="0" w:line="238" w:lineRule="exact"/>
        <w:rPr>
          <w:sz w:val="20"/>
          <w:szCs w:val="20"/>
          <w:color w:val="auto"/>
        </w:rPr>
      </w:pPr>
    </w:p>
    <w:p>
      <w:pPr>
        <w:ind w:left="120" w:right="220"/>
        <w:spacing w:after="0" w:line="278" w:lineRule="auto"/>
        <w:rPr>
          <w:sz w:val="20"/>
          <w:szCs w:val="20"/>
          <w:color w:val="auto"/>
        </w:rPr>
      </w:pPr>
      <w:r>
        <w:rPr>
          <w:rFonts w:ascii="Arial" w:cs="Arial" w:eastAsia="Arial" w:hAnsi="Arial"/>
          <w:sz w:val="18"/>
          <w:szCs w:val="18"/>
          <w:b w:val="1"/>
          <w:bCs w:val="1"/>
          <w:i w:val="1"/>
          <w:iCs w:val="1"/>
          <w:color w:val="auto"/>
        </w:rPr>
        <w:t>We do not currently intend to pay dividends on our common stock, and, consequently, investors’ ability to achieve a return on their investment will depend on appreciation in the price of our common stock.</w:t>
      </w:r>
    </w:p>
    <w:p>
      <w:pPr>
        <w:spacing w:after="0" w:line="72"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do not currently intend to pay any cash dividends on our common stock for the foreseeable future. Therefore, investors who purchase shares in this offering are not likely to receive any dividends on common stock for the foreseeable future. Since we do not intend to pay dividends, investors’ ability to receive a return on their investment will depend on any future appreciation in the market value of our common stock. There is no guarantee that our common stock will appreciate or even maintain the price at which investors have purchased it.</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120"/>
          </w:cols>
          <w:pgMar w:left="320" w:top="455"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 xml:space="preserve">Risks Related to Our Product Development and Regulatory Approvals          </w:t>
      </w:r>
    </w:p>
    <w:p>
      <w:pPr>
        <w:spacing w:after="0" w:line="137" w:lineRule="exact"/>
        <w:rPr>
          <w:sz w:val="20"/>
          <w:szCs w:val="20"/>
          <w:color w:val="auto"/>
        </w:rPr>
      </w:pPr>
    </w:p>
    <w:p>
      <w:pPr>
        <w:ind w:left="120"/>
        <w:spacing w:after="0" w:line="278" w:lineRule="auto"/>
        <w:rPr>
          <w:sz w:val="20"/>
          <w:szCs w:val="20"/>
          <w:color w:val="auto"/>
        </w:rPr>
      </w:pPr>
      <w:r>
        <w:rPr>
          <w:rFonts w:ascii="Arial" w:cs="Arial" w:eastAsia="Arial" w:hAnsi="Arial"/>
          <w:sz w:val="17"/>
          <w:szCs w:val="17"/>
          <w:b w:val="1"/>
          <w:bCs w:val="1"/>
          <w:i w:val="1"/>
          <w:iCs w:val="1"/>
          <w:color w:val="auto"/>
        </w:rPr>
        <w:t>We are targeting to submit a BLA to the FDA in June 2026 for marketing approval of nomlabofusp using the accelerated approval pathway; however, there can be no assurance that the data from our clinical trials will ultimately support a BLA submission or that the FDA will grant marketing approval of nomlabofusp without additional clinical or nonclinical studies, or at all.</w:t>
      </w:r>
    </w:p>
    <w:p>
      <w:pPr>
        <w:spacing w:after="0" w:line="75" w:lineRule="exact"/>
        <w:rPr>
          <w:sz w:val="20"/>
          <w:szCs w:val="20"/>
          <w:color w:val="auto"/>
        </w:rPr>
      </w:pPr>
    </w:p>
    <w:p>
      <w:pPr>
        <w:ind w:left="120" w:right="20"/>
        <w:spacing w:after="0" w:line="238" w:lineRule="auto"/>
        <w:rPr>
          <w:sz w:val="20"/>
          <w:szCs w:val="20"/>
          <w:color w:val="auto"/>
        </w:rPr>
      </w:pPr>
      <w:r>
        <w:rPr>
          <w:rFonts w:ascii="Arial" w:cs="Arial" w:eastAsia="Arial" w:hAnsi="Arial"/>
          <w:sz w:val="18"/>
          <w:szCs w:val="18"/>
          <w:color w:val="auto"/>
        </w:rPr>
        <w:t>We are targeting to submit a BLA to the FDA in June 2026 to request marketing approval of nomlabofusp. We may not be able to obtain, and there can be no assurance that the FDA will agree that the data submitted in any BLA is adequate to support approval, including accelerated approval. In particular, the FDA may refuse to accept our planned BLA for substantive review (thereby issuing a “refuse to file” letter) or may conclude after review of our data that our application is insufficient to obtain regulatory approval (thereby issuing a “complete response” letter). If the FDA does not accept or approve our planned BLA, the agency may require that we conduct additional clinical, nonclinical or manufacturing studies before it will reconsider our application. Depending on the extent of these or any other studies required by the FDA or another regulatory authority, approval of a BLA or equivalent filing may be significantly delayed or we may be unable to obtain approval of a BLA or equivalent filing because such studies may require us to expend more resources than we have available. It is also possible that additional studies, if performed and completed, may not be considered sufficient by the FDA. If any of these outcomes occurs, we may be forced to abandon our planned BLA, which will materially adversely affect our business and could potentially cause us to cease operations. Furthermore, FDA and other applicable regulatory authorities may also approve nomlabofusp for a narrower indication or population than we request or may grant approval contingent on the performance of costly post-marketing commitments. We face similar regulatory risks in a foreign jurisdiction.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140"/>
          </w:cols>
          <w:pgMar w:left="320" w:top="455" w:right="4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CAUTIONARY NOTE REGARDING FORWARD-LOOKING STATEMENTS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the accompanying prospectus and the documents incorporated by reference herein and therein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 contain these identifying words.</w:t>
      </w:r>
    </w:p>
    <w:p>
      <w:pPr>
        <w:spacing w:after="0" w:line="117"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 forward-looking statements in this prospectus supplement, the accompanying prospectus and the documents incorporated herein by reference include, among other things, statements about:</w:t>
      </w:r>
    </w:p>
    <w:p>
      <w:pPr>
        <w:spacing w:after="0" w:line="86" w:lineRule="exact"/>
        <w:rPr>
          <w:sz w:val="20"/>
          <w:szCs w:val="20"/>
          <w:color w:val="auto"/>
        </w:rPr>
      </w:pPr>
    </w:p>
    <w:p>
      <w:pPr>
        <w:ind w:left="340" w:hanging="224"/>
        <w:spacing w:after="0" w:line="247"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in obtaining successful non-clinical or clinical results that reliably and meaningfully demonstrate safety, tolerability and efficacy profiles that are satisfactory to the FDA, European Medicines Agency and other comparable regulatory authorities for marketing approval for nomlabofusp or any other product candidates that we may develop in the future and unexpected costs that may result therefrom;</w:t>
      </w:r>
    </w:p>
    <w:p>
      <w:pPr>
        <w:spacing w:after="0" w:line="106" w:lineRule="exact"/>
        <w:rPr>
          <w:rFonts w:ascii="Arial" w:cs="Arial" w:eastAsia="Arial" w:hAnsi="Arial"/>
          <w:sz w:val="18"/>
          <w:szCs w:val="18"/>
          <w:color w:val="auto"/>
        </w:rPr>
      </w:pPr>
    </w:p>
    <w:p>
      <w:pPr>
        <w:ind w:left="340" w:right="300" w:hanging="224"/>
        <w:spacing w:after="0" w:line="24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the FDA’s request for additional information or studies (whether clinical or non-clinical), changes in clinical protocols, including our ability to timely implement the revised nomlabofusp dosing regimen, adverse events, regulatory restrictions, including additional clinical holds, and milestones for nomlabofusp;</w:t>
      </w:r>
    </w:p>
    <w:p>
      <w:pPr>
        <w:spacing w:after="0" w:line="108"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successfully execute our ongoing OL trial and our planned Phase 3 global registration study, including the timing of site initiations and the rate of patient enrollment;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benefit from participating in the FDA’s START pilot program for the development of nomlabofusp;</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ability to benefit from the FDA’s Breakthrough Therapy Designation;</w:t>
      </w:r>
    </w:p>
    <w:p>
      <w:pPr>
        <w:spacing w:after="0" w:line="144" w:lineRule="exact"/>
        <w:rPr>
          <w:rFonts w:ascii="Arial" w:cs="Arial" w:eastAsia="Arial" w:hAnsi="Arial"/>
          <w:sz w:val="18"/>
          <w:szCs w:val="18"/>
          <w:color w:val="auto"/>
        </w:rPr>
      </w:pPr>
    </w:p>
    <w:p>
      <w:pPr>
        <w:ind w:left="340" w:right="100" w:hanging="224"/>
        <w:spacing w:after="0" w:line="244"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uncertainties associated with the clinical development and regulatory approval for nomlabofusp in the United States and in other countries, including potential delays in the commencement, enrollment and completion of clinical trials, the timing of a potential BLA submission to the FDA or similar applications to be submitted to other countries for accelerated approval, including our ability to supply to the FDA or to regulatory authorities in other countries all required data for the FDA and the regulatory bodies to which we apply, to review and accept an accelerated application, or any other product candidates that we may develop in the future;</w:t>
      </w:r>
    </w:p>
    <w:p>
      <w:pPr>
        <w:spacing w:after="0" w:line="108"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difficulties and expenses associated with obtaining and maintaining regulatory approval for nomlabofusp or any other product candidates we may develop in the future, and the indication and labeling under any such approval;</w:t>
      </w:r>
    </w:p>
    <w:p>
      <w:pPr>
        <w:spacing w:after="0" w:line="86" w:lineRule="exact"/>
        <w:rPr>
          <w:rFonts w:ascii="Arial" w:cs="Arial" w:eastAsia="Arial" w:hAnsi="Arial"/>
          <w:sz w:val="18"/>
          <w:szCs w:val="18"/>
          <w:color w:val="auto"/>
        </w:rPr>
      </w:pPr>
    </w:p>
    <w:p>
      <w:pPr>
        <w:ind w:left="340" w:right="120" w:hanging="224"/>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120"/>
          </w:cols>
          <w:pgMar w:left="320" w:top="455"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20" w:hanging="224"/>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and the ability of third-party manufacturers we engage, to optimize, scale and validate nomlabofusp or any other product candidate’s manufacturing process and to manufacture sufficient quantities of clinical supplies, and, if approved, commercial supplies of nomlabofusp or any other product candidates that we may develop in the future and our ability to maintain our relationships and contracts with our key vendors and to identify and contract with alternate or secondary key vendors;</w:t>
      </w:r>
    </w:p>
    <w:p>
      <w:pPr>
        <w:spacing w:after="0" w:line="106"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realize any value from nomlabofusp and/or any other product candidates we may develop in the future in light of inherent risks and difficulties involved in successfully bringing product candidates to market and the risk that the product candidates, if approved, will not achieve broad market acceptance;</w:t>
      </w:r>
    </w:p>
    <w:p>
      <w:pPr>
        <w:spacing w:after="0" w:line="101"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comply with regulatory requirements applicable to our business and other regulatory developments in the United States and other countries;</w:t>
      </w:r>
    </w:p>
    <w:p>
      <w:pPr>
        <w:spacing w:after="0" w:line="86" w:lineRule="exact"/>
        <w:rPr>
          <w:rFonts w:ascii="Arial" w:cs="Arial" w:eastAsia="Arial" w:hAnsi="Arial"/>
          <w:sz w:val="18"/>
          <w:szCs w:val="18"/>
          <w:color w:val="auto"/>
        </w:rPr>
      </w:pPr>
    </w:p>
    <w:p>
      <w:pPr>
        <w:jc w:val="both"/>
        <w:ind w:left="340" w:right="16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size and growth of the potential markets for nomlabofusp, if approved, or any other product candidates that we may develop in the future, the rate and degree of market acceptance of nomlabofusp or any other product candidate, if approved, that we may develop in the future and our ability to serve those markets;</w:t>
      </w:r>
    </w:p>
    <w:p>
      <w:pPr>
        <w:spacing w:after="0" w:line="101" w:lineRule="exact"/>
        <w:rPr>
          <w:rFonts w:ascii="Arial" w:cs="Arial" w:eastAsia="Arial" w:hAnsi="Arial"/>
          <w:sz w:val="18"/>
          <w:szCs w:val="18"/>
          <w:color w:val="auto"/>
        </w:rPr>
      </w:pPr>
    </w:p>
    <w:p>
      <w:pPr>
        <w:ind w:left="340" w:right="180" w:hanging="224"/>
        <w:spacing w:after="0" w:line="247"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given both approved and competing therapies and products in non-clinical and clinical development for the treatment of FA, our ability to obtain and maintain designations or eligibility for expedited regulatory programs, and to commercialize current and future product candidates, if approved, (including the impact of potential barriers to entry if a competitor is able to establish and maintain a strong market position before we are able to commercialize our products);</w:t>
      </w:r>
    </w:p>
    <w:p>
      <w:pPr>
        <w:spacing w:after="0" w:line="106"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obtain and maintain patent protection and defend our intellectual property rights against third parties;</w:t>
      </w:r>
    </w:p>
    <w:p>
      <w:pPr>
        <w:spacing w:after="0" w:line="144" w:lineRule="exact"/>
        <w:rPr>
          <w:rFonts w:ascii="Arial" w:cs="Arial" w:eastAsia="Arial" w:hAnsi="Arial"/>
          <w:sz w:val="18"/>
          <w:szCs w:val="18"/>
          <w:color w:val="auto"/>
        </w:rPr>
      </w:pPr>
    </w:p>
    <w:p>
      <w:pPr>
        <w:ind w:left="340" w:right="34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recruit and retain key scientific, technical, commercial, and management personnel and to retain our executive officers;</w:t>
      </w:r>
    </w:p>
    <w:p>
      <w:pPr>
        <w:spacing w:after="0" w:line="144"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86" w:lineRule="exact"/>
        <w:rPr>
          <w:rFonts w:ascii="Arial" w:cs="Arial" w:eastAsia="Arial" w:hAnsi="Arial"/>
          <w:sz w:val="18"/>
          <w:szCs w:val="18"/>
          <w:color w:val="auto"/>
        </w:rPr>
      </w:pPr>
    </w:p>
    <w:p>
      <w:pPr>
        <w:ind w:left="340" w:right="20" w:hanging="224"/>
        <w:spacing w:after="0" w:line="242"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extent to which geopolitical tensions, including regional conflicts around the world, adverse macroeconomic events, including those due to inflationary pressures, rising interest rates, banking instability, monetary policy changes, changes in trade policies (including tariffs or trade protection measures that have been or may in the future be imposed by the U.S. or other countries), economic slowdowns or recessions, health epidemics, unforeseen emergencies and other outbreaks of communicable diseases that could disrupt our operations, the operations of third parties on which we rely or the operations of regulatory agencies we interact with in the development of nomlabofusp and any other product candidates that we may develop;</w:t>
      </w:r>
    </w:p>
    <w:p>
      <w:pPr>
        <w:spacing w:after="0" w:line="111" w:lineRule="exact"/>
        <w:rPr>
          <w:rFonts w:ascii="Arial" w:cs="Arial" w:eastAsia="Arial" w:hAnsi="Arial"/>
          <w:sz w:val="18"/>
          <w:szCs w:val="18"/>
          <w:color w:val="auto"/>
        </w:rPr>
      </w:pPr>
    </w:p>
    <w:p>
      <w:pPr>
        <w:ind w:left="340" w:right="140" w:hanging="224"/>
        <w:spacing w:after="0" w:line="253"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potential impact of regulatory developments in the U.S., including regulatory developments due to changes in the U.S. presidential administration, healthcare reform in the United States, including the Inflation Reduction Act of 2022, and measures being taken worldwide designed to reduce healthcare costs and limit the overall level of government expenditures; and</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expected use of proceeds from this offering.</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should read this prospectus supplement, the accompanying prospectus and the documents incorporated by reference herein and therein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supplement, the accompany prospectus and any related free writing prospectus, and under similar headings in the other documents that are incorporated by reference into this prospectus supplement and the accompanying prospectus.</w:t>
      </w:r>
    </w:p>
    <w:p>
      <w:pPr>
        <w:spacing w:after="0" w:line="99"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You should assume that the information appearing in this prospectus supplement, the accompanying prospectus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 combination of factors, may cause actual results to differ materially from those contained in any forward-looking statements. Unless legally required, we do not undertake any obligation to release publicly any revisions to such forward-looking statements to reflect events or circumstances after the date of this prospectus supplement or to reflect the occurrence of unanticipated events.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080"/>
          </w:cols>
          <w:pgMar w:left="320" w:top="455"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USE OF PROCEEDS</w:t>
      </w:r>
    </w:p>
    <w:p>
      <w:pPr>
        <w:spacing w:after="0" w:line="154" w:lineRule="exact"/>
        <w:rPr>
          <w:sz w:val="20"/>
          <w:szCs w:val="20"/>
          <w:color w:val="auto"/>
        </w:rPr>
      </w:pPr>
    </w:p>
    <w:p>
      <w:pPr>
        <w:ind w:left="120" w:right="280"/>
        <w:spacing w:after="0" w:line="253" w:lineRule="auto"/>
        <w:rPr>
          <w:sz w:val="20"/>
          <w:szCs w:val="20"/>
          <w:color w:val="auto"/>
        </w:rPr>
      </w:pPr>
      <w:r>
        <w:rPr>
          <w:rFonts w:ascii="Arial" w:cs="Arial" w:eastAsia="Arial" w:hAnsi="Arial"/>
          <w:sz w:val="18"/>
          <w:szCs w:val="18"/>
          <w:color w:val="auto"/>
        </w:rPr>
        <w:t>We estimate that the net proceeds to us from this offering will be approximately $93.5 million (or approximately $107.6 million if the underwriters exercise their option to purchase additional shares of our common stock in full) after deducting underwriting discounts and commissions and estimated offering expenses payable by us.</w:t>
      </w:r>
    </w:p>
    <w:p>
      <w:pPr>
        <w:spacing w:after="0" w:line="101"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color w:val="auto"/>
        </w:rPr>
        <w:t>We intend to use the net proceeds of the proposed offering, together with our existing cash, cash equivalents and marketable securities, to support the development of nomlabofusp and for working capital and general corporate purposes, including research and development expenses and commercialization expenses.</w:t>
      </w:r>
    </w:p>
    <w:p>
      <w:pPr>
        <w:spacing w:after="0" w:line="101"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This expected use of the net proceeds from this offering represents our intentions based on our current plans and business conditions, which could change in the future as our plans and business conditions evolve. Our management will have broad discretion over the use of the net proceeds from this offering and our investors will be relying on the judgment of our management regarding the application of the proceeds of this offering. Because of the number and variability of factors that will determine our use of our existing cash, cash equivalents, marketable securities and the net proceeds from this offering, their ultimate use may vary substantially from their currently intended use.</w:t>
      </w:r>
    </w:p>
    <w:p>
      <w:pPr>
        <w:spacing w:after="0" w:line="98" w:lineRule="exact"/>
        <w:rPr>
          <w:sz w:val="20"/>
          <w:szCs w:val="20"/>
          <w:color w:val="auto"/>
        </w:rPr>
      </w:pPr>
    </w:p>
    <w:p>
      <w:pPr>
        <w:ind w:left="120" w:right="440"/>
        <w:spacing w:after="0" w:line="271" w:lineRule="auto"/>
        <w:rPr>
          <w:sz w:val="20"/>
          <w:szCs w:val="20"/>
          <w:color w:val="auto"/>
        </w:rPr>
      </w:pPr>
      <w:r>
        <w:rPr>
          <w:rFonts w:ascii="Arial" w:cs="Arial" w:eastAsia="Arial" w:hAnsi="Arial"/>
          <w:sz w:val="18"/>
          <w:szCs w:val="18"/>
          <w:color w:val="auto"/>
        </w:rPr>
        <w:t>Pending our use of the net proceeds as described above, we intend to invest the net proceeds from this offering in a variety of capital preservation investments, including short-term, investment-grade, interest-bearing securities.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120"/>
          </w:cols>
          <w:pgMar w:left="320" w:top="455"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DILUTION</w:t>
      </w:r>
    </w:p>
    <w:p>
      <w:pPr>
        <w:spacing w:after="0" w:line="154"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If you invest in our securities in this offering, your ownership interest will be diluted immediately to the extent of the difference between the public offering price per share of our common stock and the as adjusted net tangible book value per share of our common stock immediately after the closing of this offering. As of September 30, 2025, our net tangible book value was $136.8 million, or $ 1.60 per share. Net tangible book value per share represents our total tangible assets (excluding operating lease right-of-use assets) less our total liabilities, divided by the number of shares outstanding.</w:t>
      </w:r>
    </w:p>
    <w:p>
      <w:pPr>
        <w:spacing w:after="0" w:line="109" w:lineRule="exact"/>
        <w:rPr>
          <w:sz w:val="20"/>
          <w:szCs w:val="20"/>
          <w:color w:val="auto"/>
        </w:rPr>
      </w:pPr>
    </w:p>
    <w:p>
      <w:pPr>
        <w:jc w:val="both"/>
        <w:ind w:left="120" w:right="80"/>
        <w:spacing w:after="0" w:line="253" w:lineRule="auto"/>
        <w:rPr>
          <w:sz w:val="20"/>
          <w:szCs w:val="20"/>
          <w:color w:val="auto"/>
        </w:rPr>
      </w:pPr>
      <w:r>
        <w:rPr>
          <w:rFonts w:ascii="Arial" w:cs="Arial" w:eastAsia="Arial" w:hAnsi="Arial"/>
          <w:sz w:val="18"/>
          <w:szCs w:val="18"/>
          <w:color w:val="auto"/>
        </w:rPr>
        <w:t>Subsequent to September 30, 2025, 5,000,000 shares of our common stock were converted into shares of Series A Convertible Preferred Stock. On a pro forma basis, giving effect to this event, our pro forma net tangible book value as of September 30, 2025 would have been approximately $136.8 million, or $1.70 per share of our common stock.</w:t>
      </w:r>
    </w:p>
    <w:p>
      <w:pPr>
        <w:spacing w:after="0" w:line="101" w:lineRule="exact"/>
        <w:rPr>
          <w:sz w:val="20"/>
          <w:szCs w:val="20"/>
          <w:color w:val="auto"/>
        </w:rPr>
      </w:pPr>
    </w:p>
    <w:p>
      <w:pPr>
        <w:ind w:left="120" w:right="40"/>
        <w:spacing w:after="0"/>
        <w:rPr>
          <w:sz w:val="20"/>
          <w:szCs w:val="20"/>
          <w:color w:val="auto"/>
        </w:rPr>
      </w:pPr>
      <w:r>
        <w:rPr>
          <w:rFonts w:ascii="Arial" w:cs="Arial" w:eastAsia="Arial" w:hAnsi="Arial"/>
          <w:sz w:val="18"/>
          <w:szCs w:val="18"/>
          <w:color w:val="auto"/>
        </w:rPr>
        <w:t>After giving effect to (i) the pro forma adjustments described in the preceding paragraph and (ii) the sale of 20,000,000 shares of our common stock in this offering at the public offering price of $5.00 per share, and after deducting underwriting discounts and estimated offering expenses payable by us, our pro forma as adjusted net tangible book value as of September 30, 2025 would have been $230.3 million, or $2.29 per share. This amount would represent an immediate increase in net tangible book value of $0.59 per share to existing stockholders and an immediate dilution in net tangible book value of $2.71 per share to new investors participating in this offering. We determine dilution by subtracting the assumed as adjusted net tangible book value per share after this offering from the assumed price per share paid by an investor in this offering.</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illustrates this dilution on a per share basis:</w:t>
      </w:r>
    </w:p>
    <w:p>
      <w:pPr>
        <w:spacing w:after="0" w:line="143" w:lineRule="exact"/>
        <w:rPr>
          <w:sz w:val="20"/>
          <w:szCs w:val="20"/>
          <w:color w:val="auto"/>
        </w:rPr>
      </w:pPr>
    </w:p>
    <w:tbl>
      <w:tblPr>
        <w:tblLayout w:type="fixed"/>
        <w:tblInd w:w="120" w:type="dxa"/>
        <w:tblCellMar>
          <w:top w:w="0" w:type="dxa"/>
          <w:left w:w="0" w:type="dxa"/>
          <w:bottom w:w="0" w:type="dxa"/>
          <w:right w:w="0" w:type="dxa"/>
        </w:tblCellMar>
      </w:tblPr>
      <w:tr>
        <w:trPr>
          <w:trHeight w:val="229"/>
        </w:trPr>
        <w:tc>
          <w:tcPr>
            <w:tcW w:w="97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Public offering price per share</w:t>
            </w:r>
          </w:p>
        </w:tc>
        <w:tc>
          <w:tcPr>
            <w:tcW w:w="1260" w:type="dxa"/>
            <w:vAlign w:val="bottom"/>
            <w:tcBorders>
              <w:top w:val="single" w:sz="8" w:color="auto"/>
            </w:tcBorders>
            <w:gridSpan w:val="4"/>
            <w:shd w:val="clear" w:color="auto" w:fill="CCEEFF"/>
          </w:tcPr>
          <w:p>
            <w:pPr>
              <w:ind w:left="740"/>
              <w:spacing w:after="0"/>
              <w:rPr>
                <w:sz w:val="20"/>
                <w:szCs w:val="20"/>
                <w:color w:val="auto"/>
              </w:rPr>
            </w:pPr>
            <w:r>
              <w:rPr>
                <w:rFonts w:ascii="Arial" w:cs="Arial" w:eastAsia="Arial" w:hAnsi="Arial"/>
                <w:sz w:val="18"/>
                <w:szCs w:val="18"/>
                <w:color w:val="auto"/>
              </w:rPr>
              <w:t>$5.00</w:t>
            </w:r>
          </w:p>
        </w:tc>
      </w:tr>
      <w:tr>
        <w:trPr>
          <w:trHeight w:val="203"/>
        </w:trPr>
        <w:tc>
          <w:tcPr>
            <w:tcW w:w="9760" w:type="dxa"/>
            <w:vAlign w:val="bottom"/>
            <w:gridSpan w:val="2"/>
          </w:tcPr>
          <w:p>
            <w:pPr>
              <w:ind w:left="180"/>
              <w:spacing w:after="0" w:line="202" w:lineRule="exact"/>
              <w:rPr>
                <w:sz w:val="20"/>
                <w:szCs w:val="20"/>
                <w:color w:val="auto"/>
              </w:rPr>
            </w:pPr>
            <w:r>
              <w:rPr>
                <w:rFonts w:ascii="Arial" w:cs="Arial" w:eastAsia="Arial" w:hAnsi="Arial"/>
                <w:sz w:val="18"/>
                <w:szCs w:val="18"/>
                <w:color w:val="auto"/>
              </w:rPr>
              <w:t>Net tangible book value per share as of September 30, 2025</w:t>
            </w:r>
          </w:p>
        </w:tc>
        <w:tc>
          <w:tcPr>
            <w:tcW w:w="740" w:type="dxa"/>
            <w:vAlign w:val="bottom"/>
            <w:gridSpan w:val="2"/>
          </w:tcPr>
          <w:p>
            <w:pPr>
              <w:ind w:left="20"/>
              <w:spacing w:after="0" w:line="202" w:lineRule="exact"/>
              <w:rPr>
                <w:sz w:val="20"/>
                <w:szCs w:val="20"/>
                <w:color w:val="auto"/>
              </w:rPr>
            </w:pPr>
            <w:r>
              <w:rPr>
                <w:rFonts w:ascii="Arial" w:cs="Arial" w:eastAsia="Arial" w:hAnsi="Arial"/>
                <w:sz w:val="18"/>
                <w:szCs w:val="18"/>
                <w:color w:val="auto"/>
              </w:rPr>
              <w:t>$1.60</w:t>
            </w: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9760" w:type="dxa"/>
            <w:vAlign w:val="bottom"/>
            <w:gridSpan w:val="2"/>
            <w:shd w:val="clear" w:color="auto" w:fill="CCEEFF"/>
          </w:tcPr>
          <w:p>
            <w:pPr>
              <w:ind w:left="180"/>
              <w:spacing w:after="0" w:line="202" w:lineRule="exact"/>
              <w:rPr>
                <w:sz w:val="20"/>
                <w:szCs w:val="20"/>
                <w:color w:val="auto"/>
              </w:rPr>
            </w:pPr>
            <w:r>
              <w:rPr>
                <w:rFonts w:ascii="Arial" w:cs="Arial" w:eastAsia="Arial" w:hAnsi="Arial"/>
                <w:sz w:val="18"/>
                <w:szCs w:val="18"/>
                <w:color w:val="auto"/>
              </w:rPr>
              <w:t>Increase in net tangible book value per share attributable to the pro forma adjustment described above</w:t>
            </w:r>
          </w:p>
        </w:tc>
        <w:tc>
          <w:tcPr>
            <w:tcW w:w="740" w:type="dxa"/>
            <w:vAlign w:val="bottom"/>
            <w:gridSpan w:val="2"/>
            <w:shd w:val="clear" w:color="auto" w:fill="CCEEFF"/>
          </w:tcPr>
          <w:p>
            <w:pPr>
              <w:ind w:left="2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0.10</w:t>
            </w: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09"/>
        </w:trPr>
        <w:tc>
          <w:tcPr>
            <w:tcW w:w="9760" w:type="dxa"/>
            <w:vAlign w:val="bottom"/>
            <w:gridSpan w:val="2"/>
          </w:tcPr>
          <w:p>
            <w:pPr>
              <w:ind w:left="180"/>
              <w:spacing w:after="0"/>
              <w:rPr>
                <w:sz w:val="20"/>
                <w:szCs w:val="20"/>
                <w:color w:val="auto"/>
              </w:rPr>
            </w:pPr>
            <w:r>
              <w:rPr>
                <w:rFonts w:ascii="Arial" w:cs="Arial" w:eastAsia="Arial" w:hAnsi="Arial"/>
                <w:sz w:val="18"/>
                <w:szCs w:val="18"/>
                <w:color w:val="auto"/>
              </w:rPr>
              <w:t>Pro forma net tangible book value per share as of September 30, 2025</w:t>
            </w:r>
          </w:p>
        </w:tc>
        <w:tc>
          <w:tcPr>
            <w:tcW w:w="4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3"/>
              </w:rPr>
              <w:t>$1.70</w:t>
            </w:r>
          </w:p>
        </w:tc>
        <w:tc>
          <w:tcPr>
            <w:tcW w:w="28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r>
      <w:tr>
        <w:trPr>
          <w:trHeight w:val="184"/>
        </w:trPr>
        <w:tc>
          <w:tcPr>
            <w:tcW w:w="9760" w:type="dxa"/>
            <w:vAlign w:val="bottom"/>
            <w:gridSpan w:val="2"/>
            <w:shd w:val="clear" w:color="auto" w:fill="CCEEFF"/>
          </w:tcPr>
          <w:p>
            <w:pPr>
              <w:ind w:left="180"/>
              <w:spacing w:after="0" w:line="183" w:lineRule="exact"/>
              <w:rPr>
                <w:sz w:val="20"/>
                <w:szCs w:val="20"/>
                <w:color w:val="auto"/>
              </w:rPr>
            </w:pPr>
            <w:r>
              <w:rPr>
                <w:rFonts w:ascii="Arial" w:cs="Arial" w:eastAsia="Arial" w:hAnsi="Arial"/>
                <w:sz w:val="18"/>
                <w:szCs w:val="18"/>
                <w:color w:val="auto"/>
              </w:rPr>
              <w:t>Increase in pro forma net tangible book value per share attributable to new investors purchasing shares in this</w:t>
            </w:r>
          </w:p>
        </w:tc>
        <w:tc>
          <w:tcPr>
            <w:tcW w:w="4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r>
      <w:tr>
        <w:trPr>
          <w:trHeight w:val="221"/>
        </w:trPr>
        <w:tc>
          <w:tcPr>
            <w:tcW w:w="9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offering</w:t>
            </w:r>
          </w:p>
        </w:tc>
        <w:tc>
          <w:tcPr>
            <w:tcW w:w="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$0.59</w:t>
            </w:r>
          </w:p>
        </w:tc>
        <w:tc>
          <w:tcPr>
            <w:tcW w:w="4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r>
      <w:tr>
        <w:trPr>
          <w:trHeight w:val="203"/>
        </w:trPr>
        <w:tc>
          <w:tcPr>
            <w:tcW w:w="9760" w:type="dxa"/>
            <w:vAlign w:val="bottom"/>
            <w:gridSpan w:val="2"/>
          </w:tcPr>
          <w:p>
            <w:pPr>
              <w:spacing w:after="0" w:line="202" w:lineRule="exact"/>
              <w:rPr>
                <w:sz w:val="20"/>
                <w:szCs w:val="20"/>
                <w:color w:val="auto"/>
              </w:rPr>
            </w:pPr>
            <w:r>
              <w:rPr>
                <w:rFonts w:ascii="Arial" w:cs="Arial" w:eastAsia="Arial" w:hAnsi="Arial"/>
                <w:sz w:val="18"/>
                <w:szCs w:val="18"/>
                <w:color w:val="auto"/>
              </w:rPr>
              <w:t>Pro forma as adjusted net tangible book value after this offering</w:t>
            </w:r>
          </w:p>
        </w:tc>
        <w:tc>
          <w:tcPr>
            <w:tcW w:w="460" w:type="dxa"/>
            <w:vAlign w:val="bottom"/>
          </w:tcPr>
          <w:p>
            <w:pPr>
              <w:spacing w:after="0"/>
              <w:rPr>
                <w:sz w:val="17"/>
                <w:szCs w:val="17"/>
                <w:color w:val="auto"/>
              </w:rPr>
            </w:pPr>
          </w:p>
        </w:tc>
        <w:tc>
          <w:tcPr>
            <w:tcW w:w="800" w:type="dxa"/>
            <w:vAlign w:val="bottom"/>
            <w:gridSpan w:val="3"/>
          </w:tcPr>
          <w:p>
            <w:pPr>
              <w:ind w:left="2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2.29</w:t>
            </w:r>
          </w:p>
        </w:tc>
      </w:tr>
      <w:tr>
        <w:trPr>
          <w:trHeight w:val="27"/>
        </w:trPr>
        <w:tc>
          <w:tcPr>
            <w:tcW w:w="95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03"/>
        </w:trPr>
        <w:tc>
          <w:tcPr>
            <w:tcW w:w="95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Dilution per share to new investors in this offering</w:t>
            </w: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0" w:type="dxa"/>
            <w:vAlign w:val="bottom"/>
            <w:gridSpan w:val="3"/>
            <w:shd w:val="clear" w:color="auto" w:fill="CCEEFF"/>
          </w:tcPr>
          <w:p>
            <w:pPr>
              <w:ind w:left="280"/>
              <w:spacing w:after="0" w:line="202" w:lineRule="exact"/>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2.71</w:t>
            </w:r>
          </w:p>
        </w:tc>
      </w:tr>
      <w:tr>
        <w:trPr>
          <w:trHeight w:val="27"/>
        </w:trPr>
        <w:tc>
          <w:tcPr>
            <w:tcW w:w="95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shd w:val="clear" w:color="auto" w:fill="CCEEFF"/>
          </w:tcPr>
          <w:p>
            <w:pPr>
              <w:spacing w:after="0"/>
              <w:rPr>
                <w:sz w:val="2"/>
                <w:szCs w:val="2"/>
                <w:color w:val="auto"/>
              </w:rPr>
            </w:pPr>
          </w:p>
        </w:tc>
      </w:tr>
    </w:tbl>
    <w:p>
      <w:pPr>
        <w:spacing w:after="0" w:line="130" w:lineRule="exact"/>
        <w:rPr>
          <w:sz w:val="20"/>
          <w:szCs w:val="20"/>
          <w:color w:val="auto"/>
        </w:rPr>
      </w:pPr>
    </w:p>
    <w:p>
      <w:pPr>
        <w:ind w:left="120" w:right="180"/>
        <w:spacing w:after="0" w:line="247" w:lineRule="auto"/>
        <w:rPr>
          <w:sz w:val="20"/>
          <w:szCs w:val="20"/>
          <w:color w:val="auto"/>
        </w:rPr>
      </w:pPr>
      <w:r>
        <w:rPr>
          <w:rFonts w:ascii="Arial" w:cs="Arial" w:eastAsia="Arial" w:hAnsi="Arial"/>
          <w:sz w:val="18"/>
          <w:szCs w:val="18"/>
          <w:color w:val="auto"/>
        </w:rPr>
        <w:t>To the extent that outstanding options are exercised, investors purchasing shares of our common stock in this offering could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equity-based securities, the issuance of these securities could result in further dilution to our stockholders.</w:t>
      </w:r>
    </w:p>
    <w:p>
      <w:pPr>
        <w:spacing w:after="0" w:line="93" w:lineRule="exact"/>
        <w:rPr>
          <w:sz w:val="20"/>
          <w:szCs w:val="20"/>
          <w:color w:val="auto"/>
        </w:rPr>
      </w:pPr>
    </w:p>
    <w:p>
      <w:pPr>
        <w:ind w:left="120" w:right="120"/>
        <w:spacing w:after="0" w:line="244" w:lineRule="auto"/>
        <w:rPr>
          <w:sz w:val="20"/>
          <w:szCs w:val="20"/>
          <w:color w:val="auto"/>
        </w:rPr>
      </w:pPr>
      <w:r>
        <w:rPr>
          <w:rFonts w:ascii="Arial" w:cs="Arial" w:eastAsia="Arial" w:hAnsi="Arial"/>
          <w:sz w:val="18"/>
          <w:szCs w:val="18"/>
          <w:color w:val="auto"/>
        </w:rPr>
        <w:t>If the underwriters exercise their option to purchase an additional 3,000,000 shares of our common stock in full at the public offering price of $5.00 per share, our pro forma as adjusted net tangible book value as of September 30, 2025 would have been $244.4 million, or $2.36 per share. This amount would represent an immediate increase in net tangible book value of $0.66 per share to existing stockholders and an immediate dilution in net tangible book value of $2.64 per share to new investors purchasing common stock in this offering.</w:t>
      </w:r>
    </w:p>
    <w:p>
      <w:pPr>
        <w:spacing w:after="0" w:line="109"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The foregoing table and calculations (other than the historical net tangible book value calculation) are based on 80,590,392 shares of our common stock outstanding, which is based on 85,590,392 shares of our common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140"/>
          </w:cols>
          <w:pgMar w:left="320" w:top="455" w:right="4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740"/>
        <w:spacing w:after="0" w:line="253" w:lineRule="auto"/>
        <w:rPr>
          <w:sz w:val="20"/>
          <w:szCs w:val="20"/>
          <w:color w:val="auto"/>
        </w:rPr>
      </w:pPr>
      <w:r>
        <w:rPr>
          <w:rFonts w:ascii="Arial" w:cs="Arial" w:eastAsia="Arial" w:hAnsi="Arial"/>
          <w:sz w:val="18"/>
          <w:szCs w:val="18"/>
          <w:color w:val="auto"/>
        </w:rPr>
        <w:t>stock outstanding as of September 30, 2025 adjusted for the effect of the conversions in December 2025 and January 2026 of an aggregate 5,000,000 shares of our common stock into 500,000 shares of Series A Convertible Preferred Stock, and excludes the following:</w:t>
      </w:r>
    </w:p>
    <w:p>
      <w:pPr>
        <w:spacing w:after="0" w:line="101" w:lineRule="exact"/>
        <w:rPr>
          <w:sz w:val="20"/>
          <w:szCs w:val="20"/>
          <w:color w:val="auto"/>
        </w:rPr>
      </w:pPr>
    </w:p>
    <w:p>
      <w:pPr>
        <w:ind w:left="340" w:right="74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8,608,341 shares of our common stock issuable upon the exercise of stock options outstanding as of September 30, 2025 at a weighted-average exercise price of $6.51 per share;</w:t>
      </w:r>
    </w:p>
    <w:p>
      <w:pPr>
        <w:spacing w:after="0" w:line="86" w:lineRule="exact"/>
        <w:rPr>
          <w:rFonts w:ascii="Arial" w:cs="Arial" w:eastAsia="Arial" w:hAnsi="Arial"/>
          <w:sz w:val="18"/>
          <w:szCs w:val="18"/>
          <w:color w:val="auto"/>
        </w:rPr>
      </w:pPr>
    </w:p>
    <w:p>
      <w:pPr>
        <w:ind w:left="340" w:right="32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2,148,296 shares of our common stock issuable upon the exercise of stock options granted subsequent to September 30, 2025 at a weighted-average exercise price of $3.60 per share;</w:t>
      </w:r>
    </w:p>
    <w:p>
      <w:pPr>
        <w:spacing w:after="0" w:line="86" w:lineRule="exact"/>
        <w:rPr>
          <w:rFonts w:ascii="Arial" w:cs="Arial" w:eastAsia="Arial" w:hAnsi="Arial"/>
          <w:sz w:val="18"/>
          <w:szCs w:val="18"/>
          <w:color w:val="auto"/>
        </w:rPr>
      </w:pPr>
    </w:p>
    <w:p>
      <w:pPr>
        <w:ind w:left="340" w:right="106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1,009,791 shares of our common stock issuable upon the vesting and settlement of restricted stock units outstanding as of September 30, 2025;</w:t>
      </w:r>
    </w:p>
    <w:p>
      <w:pPr>
        <w:spacing w:after="0" w:line="86"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532,435 shares of our common stock issuable upon the vesting and settlement of restricted stock units that were granted subsequent to September 30, 2025;</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483,960 shares of our common stock available for future issuance as of September 30, 2025 under our 2020 Equity Incentive Plan; and</w:t>
      </w:r>
    </w:p>
    <w:p>
      <w:pPr>
        <w:spacing w:after="0" w:line="144" w:lineRule="exact"/>
        <w:rPr>
          <w:rFonts w:ascii="Arial" w:cs="Arial" w:eastAsia="Arial" w:hAnsi="Arial"/>
          <w:sz w:val="18"/>
          <w:szCs w:val="18"/>
          <w:color w:val="auto"/>
        </w:rPr>
      </w:pPr>
    </w:p>
    <w:p>
      <w:pPr>
        <w:ind w:left="340" w:right="140" w:hanging="224"/>
        <w:spacing w:after="0" w:line="271" w:lineRule="auto"/>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color w:val="auto"/>
        </w:rPr>
        <w:t>3,323,616 shares of our common stock added to shares available for future issuance on January 1, 2026 as permitted under our 2020 Equity Incentive Plan.</w:t>
      </w:r>
    </w:p>
    <w:p>
      <w:pPr>
        <w:spacing w:after="0" w:line="73" w:lineRule="exact"/>
        <w:rPr>
          <w:sz w:val="20"/>
          <w:szCs w:val="20"/>
          <w:color w:val="auto"/>
        </w:rPr>
      </w:pPr>
    </w:p>
    <w:p>
      <w:pPr>
        <w:ind w:left="120" w:right="540"/>
        <w:spacing w:after="0" w:line="271" w:lineRule="auto"/>
        <w:rPr>
          <w:sz w:val="20"/>
          <w:szCs w:val="20"/>
          <w:color w:val="auto"/>
        </w:rPr>
      </w:pPr>
      <w:r>
        <w:rPr>
          <w:rFonts w:ascii="Arial" w:cs="Arial" w:eastAsia="Arial" w:hAnsi="Arial"/>
          <w:sz w:val="18"/>
          <w:szCs w:val="18"/>
          <w:color w:val="auto"/>
        </w:rPr>
        <w:t>Unless otherwise indicated, all information in this prospectus supplement assumes no exercise of the outstanding options described above, no exercise by the underwriters of their option to purchase additional shares.</w:t>
      </w:r>
    </w:p>
    <w:p>
      <w:pPr>
        <w:spacing w:after="0" w:line="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120"/>
          </w:cols>
          <w:pgMar w:left="320" w:top="455" w:right="4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DIVIDEND POLICY</w:t>
      </w:r>
    </w:p>
    <w:p>
      <w:pPr>
        <w:spacing w:after="0" w:line="154"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all available funds and any future earnings, if any, to fund the development and expansion of our business and we do not anticipate paying any cash dividends in the foreseeable future. Any future determination to pay dividends on our common stock will be made at the discretion of our Board of Directors, or our Board, and will depend on various factors, including applicable laws, our results of operations, financial condition, future prospects, anticipated cash needs, plans for expansion and any other factors deemed relevant by our Board.</w:t>
      </w:r>
    </w:p>
    <w:p>
      <w:pPr>
        <w:spacing w:after="0" w:line="10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040"/>
          </w:cols>
          <w:pgMar w:left="320" w:top="455" w:right="5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right="460"/>
        <w:spacing w:after="0" w:line="288" w:lineRule="auto"/>
        <w:rPr>
          <w:sz w:val="20"/>
          <w:szCs w:val="20"/>
          <w:color w:val="auto"/>
        </w:rPr>
      </w:pPr>
      <w:r>
        <w:rPr>
          <w:rFonts w:ascii="Arial" w:cs="Arial" w:eastAsia="Arial" w:hAnsi="Arial"/>
          <w:sz w:val="29"/>
          <w:szCs w:val="29"/>
          <w:b w:val="1"/>
          <w:bCs w:val="1"/>
          <w:color w:val="auto"/>
        </w:rPr>
        <w:t>MATERIAL U.S. FEDERAL INCOME TAX CONSEQUENCES TO U.S. HOLDERS AND NON-U.S. HOLDERS</w:t>
      </w:r>
    </w:p>
    <w:p>
      <w:pPr>
        <w:spacing w:after="0" w:line="25" w:lineRule="exact"/>
        <w:rPr>
          <w:sz w:val="20"/>
          <w:szCs w:val="20"/>
          <w:color w:val="auto"/>
        </w:rPr>
      </w:pPr>
    </w:p>
    <w:p>
      <w:pPr>
        <w:ind w:left="120" w:right="120"/>
        <w:spacing w:after="0" w:line="239" w:lineRule="auto"/>
        <w:rPr>
          <w:sz w:val="20"/>
          <w:szCs w:val="20"/>
          <w:color w:val="auto"/>
        </w:rPr>
      </w:pPr>
      <w:r>
        <w:rPr>
          <w:rFonts w:ascii="Arial" w:cs="Arial" w:eastAsia="Arial" w:hAnsi="Arial"/>
          <w:sz w:val="18"/>
          <w:szCs w:val="18"/>
          <w:color w:val="auto"/>
        </w:rPr>
        <w:t>The following discussion is a summary of certain material U.S. federal income tax consequences to U.S. Holders and Non-U.S. Holders (as defined below) of the purchase, ownership and disposition of our common stock issued pursuant to this offering,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or the Code, the Treasury Regulations promulgated thereunder, judicial decisions, and published rulings and administrative pronouncements of the U.S. Internal Revenue Service, or the IRS, in each case, in effect as of the date hereof. These authorities may change or be subject to differing interpretations. Any such change or differing interpretation may be applied retroactively in a manner that could adversely affect a U.S. Holder or Non-U.S. Holder of our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common stock.</w:t>
      </w:r>
    </w:p>
    <w:p>
      <w:pPr>
        <w:spacing w:after="0" w:line="11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This discussion is limited to U.S. Holders and Non-U.S. Holders that hold our common stock as a “capital asset” within the meaning of Section 1221 of the Code (generally, property held for investment). This discussion does not address all U.S. federal income tax consequences relevant to a U.S. Holder’s or Non-U.S. Holder’s particular circumstances, including the impact of the Medicare contribution tax on net investment income, the special tax accounting rules under Section 451(b) of the Code and the alternative minimum tax. In addition, it does not address consequences relevant to U.S. Holders or Non-U.S. Holders subject to special rules, including, without limitation:</w:t>
      </w:r>
    </w:p>
    <w:p>
      <w:pPr>
        <w:spacing w:after="0" w:line="111" w:lineRule="exact"/>
        <w:rPr>
          <w:sz w:val="20"/>
          <w:szCs w:val="20"/>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U.S. expatriates and former citizens or long-term residents of the United States;</w:t>
      </w:r>
    </w:p>
    <w:p>
      <w:pPr>
        <w:spacing w:after="0" w:line="144" w:lineRule="exact"/>
        <w:rPr>
          <w:rFonts w:ascii="Arial" w:cs="Arial" w:eastAsia="Arial" w:hAnsi="Arial"/>
          <w:sz w:val="18"/>
          <w:szCs w:val="18"/>
          <w:color w:val="auto"/>
        </w:rPr>
      </w:pPr>
    </w:p>
    <w:p>
      <w:pPr>
        <w:ind w:left="340" w:right="6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holding our common stock as part of a hedge, straddle or other risk reduction strategy or as part of a conversion transaction or other integrated investment;</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banks, insurance companies and other financial institutions;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144" w:lineRule="exact"/>
        <w:rPr>
          <w:rFonts w:ascii="Arial" w:cs="Arial" w:eastAsia="Arial" w:hAnsi="Arial"/>
          <w:sz w:val="18"/>
          <w:szCs w:val="18"/>
          <w:color w:val="auto"/>
        </w:rPr>
      </w:pPr>
    </w:p>
    <w:p>
      <w:pPr>
        <w:ind w:left="340" w:right="44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“controlled foreign corporations,” “passive foreign investment companies” and corporations that accumulate earnings to avoid U.S. federal income tax;</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partnerships or other entities or arrangements treated as partnerships for U.S. federal income tax purposes (and investors therein);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tax-exempt organizations or governmental organizations;</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deemed to sell our common stock under the constructive sale provisions of the Code;</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who hold or receive our common stock pursuant to the exercise of any employee stock option or otherwise as compensation;</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tax-qualified retirement plans;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“qualified foreign pension funds” as defined in Section 897(l)(2) of the Code and entities all of the interests of which are held by qualified foreign pension funds; and</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persons that own, or have owned, actually or constructively, more than 5% of our common stock.</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jc w:val="both"/>
        <w:ind w:left="120" w:right="100"/>
        <w:spacing w:after="0" w:line="247" w:lineRule="auto"/>
        <w:rPr>
          <w:sz w:val="20"/>
          <w:szCs w:val="20"/>
          <w:color w:val="auto"/>
        </w:rPr>
      </w:pPr>
      <w:r>
        <w:rPr>
          <w:rFonts w:ascii="Arial" w:cs="Arial" w:eastAsia="Arial" w:hAnsi="Arial"/>
          <w:sz w:val="18"/>
          <w:szCs w:val="18"/>
          <w:color w:val="auto"/>
        </w:rPr>
        <w:t>If an entity or arrangement treated as a partnership for U.S. federal income tax purposes holds our common stock, the tax treatment of a partner in the partnership will depend on the status of the partner, the activities of the partnership and certain determinations made at the partner level. Accordingly, partnerships holding our common stock and the partners in such partnerships should consult their tax advisors regarding the U.S. federal income tax consequences to them.</w:t>
      </w:r>
    </w:p>
    <w:p>
      <w:pPr>
        <w:spacing w:after="0" w:line="9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U.S. Holder is a beneficial owner of our common stock, that, for U.S. federal income tax purposes, is:</w:t>
      </w:r>
    </w:p>
    <w:p>
      <w:pPr>
        <w:spacing w:after="0" w:line="144" w:lineRule="exact"/>
        <w:rPr>
          <w:sz w:val="20"/>
          <w:szCs w:val="20"/>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individual that is a citizen or resident of the United States;</w:t>
      </w:r>
    </w:p>
    <w:p>
      <w:pPr>
        <w:spacing w:after="0" w:line="144" w:lineRule="exact"/>
        <w:rPr>
          <w:rFonts w:ascii="Arial" w:cs="Arial" w:eastAsia="Arial" w:hAnsi="Arial"/>
          <w:sz w:val="18"/>
          <w:szCs w:val="18"/>
          <w:color w:val="auto"/>
        </w:rPr>
      </w:pPr>
    </w:p>
    <w:p>
      <w:pPr>
        <w:ind w:left="340" w:right="120" w:hanging="224"/>
        <w:spacing w:after="0" w:line="271"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corporation, or an entity treated as a corporation, created or organized in or under the laws of the United States, any state thereof or the District of Columbia;</w:t>
      </w:r>
    </w:p>
    <w:p>
      <w:pPr>
        <w:spacing w:after="0" w:line="86" w:lineRule="exact"/>
        <w:rPr>
          <w:rFonts w:ascii="Arial" w:cs="Arial" w:eastAsia="Arial" w:hAnsi="Arial"/>
          <w:sz w:val="18"/>
          <w:szCs w:val="18"/>
          <w:color w:val="auto"/>
        </w:rPr>
      </w:pPr>
    </w:p>
    <w:p>
      <w:pPr>
        <w:ind w:left="340" w:hanging="224"/>
        <w:spacing w:after="0" w:line="253"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trust that (1) is subject to (A) the primary supervision of a court within the United States and (B) the authority of one or more “United States persons” (within the meaning of Section 7701(a)(30) of the Code) to control all substantial decisions of the trust or (2) has a valid election in effect under applicable Treasury regulations to be treated as a United States person; or</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estate that is subject to U.S. federal income tax on its income regardless of its source.</w:t>
      </w:r>
    </w:p>
    <w:p>
      <w:pPr>
        <w:spacing w:after="0" w:line="144"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A non-U.S. holder is a beneficial owner of our common stock that is not an entity or arrangement treated as a partnership for U.S. federal income tax purposes and not, for U.S. federal income tax purposes:</w:t>
      </w:r>
    </w:p>
    <w:p>
      <w:pPr>
        <w:spacing w:after="0" w:line="86" w:lineRule="exact"/>
        <w:rPr>
          <w:sz w:val="20"/>
          <w:szCs w:val="20"/>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144" w:lineRule="exact"/>
        <w:rPr>
          <w:rFonts w:ascii="Arial" w:cs="Arial" w:eastAsia="Arial" w:hAnsi="Arial"/>
          <w:sz w:val="18"/>
          <w:szCs w:val="18"/>
          <w:color w:val="auto"/>
        </w:rPr>
      </w:pPr>
    </w:p>
    <w:p>
      <w:pPr>
        <w:ind w:left="340" w:hanging="224"/>
        <w:spacing w:after="0" w:line="27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corporation (or entity treated as a corporation for U.S. federal income tax purposes) created or organized under the laws of the United States, any state thereof or the District of Columbia;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 regardless of its source; or</w:t>
      </w:r>
    </w:p>
    <w:p>
      <w:pPr>
        <w:spacing w:after="0" w:line="144" w:lineRule="exact"/>
        <w:rPr>
          <w:rFonts w:ascii="Arial" w:cs="Arial" w:eastAsia="Arial" w:hAnsi="Arial"/>
          <w:sz w:val="18"/>
          <w:szCs w:val="18"/>
          <w:color w:val="auto"/>
        </w:rPr>
      </w:pPr>
    </w:p>
    <w:p>
      <w:pPr>
        <w:ind w:left="340" w:right="180" w:hanging="224"/>
        <w:spacing w:after="0" w:line="253"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trust (1) the administration of which is subject to the primary supervision of a U.S. court and that has one or more U.S. persons with the authority to control all substantial decisions of the trust or (2) that has a valid election in effect under applicable Treasury Regulations to be treated as a U.S. person.</w:t>
      </w:r>
    </w:p>
    <w:p>
      <w:pPr>
        <w:spacing w:after="0" w:line="101" w:lineRule="exact"/>
        <w:rPr>
          <w:sz w:val="20"/>
          <w:szCs w:val="20"/>
          <w:color w:val="auto"/>
        </w:rPr>
      </w:pPr>
    </w:p>
    <w:p>
      <w:pPr>
        <w:ind w:left="120" w:right="200"/>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INVESTORS SHOULD CONSULT THEIR TAX ADVISORS WITH RESPECT TO THE APPLICATION OF THE U.S. FEDERAL INCOME TAX LAWS TO THEIR PARTICULAR SITUATIONS AS WELL AS ANY TAX CONSEQUENCES OF THE PURCHASE, OWNERSHIP AND DISPOSITION OF OUR COMMON STOCK ARISING UNDER THE U.S. FEDERAL ESTATE OR GIFT TAX LAWS OR UNDER THE LAWS OF ANY STATE, LOCAL OR NON-U.S. TAXING JURISDICTION OR UNDER ANY APPLICABLE INCOME TAX TREATY.</w:t>
      </w:r>
    </w:p>
    <w:p>
      <w:pPr>
        <w:spacing w:after="0" w:line="226"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considerations applicable to U.S. Holders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 on the Shares</w:t>
      </w:r>
    </w:p>
    <w:p>
      <w:pPr>
        <w:spacing w:after="0" w:line="14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Dividends received by a corporate U.S. Holder may be eligible for a dividends received deduction, subject to applicable limitations. Dividends received by certain non-corporate U.S. Holders, including individuals, are generally taxed at the lower applicable capital gains rate provided certain holding period and other requirements are satisfied. Distributions in excess of our current and accumulated earnings and profits will</w:t>
      </w:r>
    </w:p>
    <w:p>
      <w:pPr>
        <w:spacing w:after="0" w:line="11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100"/>
          </w:cols>
          <w:pgMar w:left="320" w:top="455" w:right="47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constitute a return of capital and first be applied against and reduce a U.S. Holder’s adjusted tax basis in its common stock, but not below zero. Any excess will be treated as capital gain and will be treated as described below under “Sale or Other Taxable Disposition.”</w:t>
      </w:r>
    </w:p>
    <w:p>
      <w:pPr>
        <w:spacing w:after="0" w:line="2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 of the common stock</w:t>
      </w:r>
    </w:p>
    <w:p>
      <w:pPr>
        <w:spacing w:after="0" w:line="142"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Upon the sale, exchange or other taxable disposition of the common shares, a U.S. Holder will generally recognize capital gain or loss equal to the difference between the amount of cash and the fair market value of any other property received upon the sale, exchange or other taxable disposition and such U.S. Holder’s adjusted tax basis in the common shares. This capital gain or loss will be long-term capital gain or loss if the U.S. Holder’s holding period in such common shares or is more than one year at the time of the sale, exchange or other taxable disposition. Long-term capital gains recognized by certain non-corporate U.S. Holders, including individuals, generally will be subject to reduced rates of U.S. federal income tax. The deductibility of capital losses is subject to certain limitations.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Backup withholding and information reporting</w:t>
      </w:r>
    </w:p>
    <w:p>
      <w:pPr>
        <w:spacing w:after="0" w:line="142" w:lineRule="exact"/>
        <w:rPr>
          <w:sz w:val="20"/>
          <w:szCs w:val="20"/>
          <w:color w:val="auto"/>
        </w:rPr>
      </w:pPr>
    </w:p>
    <w:p>
      <w:pPr>
        <w:ind w:left="120" w:right="180"/>
        <w:spacing w:after="0"/>
        <w:rPr>
          <w:sz w:val="20"/>
          <w:szCs w:val="20"/>
          <w:color w:val="auto"/>
        </w:rPr>
      </w:pPr>
      <w:r>
        <w:rPr>
          <w:rFonts w:ascii="Arial" w:cs="Arial" w:eastAsia="Arial" w:hAnsi="Arial"/>
          <w:sz w:val="18"/>
          <w:szCs w:val="18"/>
          <w:color w:val="auto"/>
        </w:rPr>
        <w:t>In general, backup withholding and information reporting requirements may apply to distributions on the common shares, and to the receipt of proceeds on the sale, exchange or other taxable disposition of the common stock. Backup withholding (currently at a rate of 24 percent) may apply if a U.S. Holder fails to furnish its taxpayer identification number, a U.S. Holder fails to certify under penalties of perjury that such taxpayer identification number is correct and that such U.S. Holder is not subject to backup withholding (generally on a properly completed and duly executed IRS Form W-9), the applicable withholding agent is notified by the IRS that the U.S. Holder previously failed to properly report payments of interest or dividends, or such U.S. Holder otherwise fails to comply with the applicable requirements of the backup withholding rules.</w:t>
      </w:r>
    </w:p>
    <w:p>
      <w:pPr>
        <w:spacing w:after="0" w:line="104" w:lineRule="exact"/>
        <w:rPr>
          <w:sz w:val="20"/>
          <w:szCs w:val="20"/>
          <w:color w:val="auto"/>
        </w:rPr>
      </w:pPr>
    </w:p>
    <w:p>
      <w:pPr>
        <w:ind w:left="120" w:right="80"/>
        <w:spacing w:after="0" w:line="242" w:lineRule="auto"/>
        <w:rPr>
          <w:sz w:val="20"/>
          <w:szCs w:val="20"/>
          <w:color w:val="auto"/>
        </w:rPr>
      </w:pPr>
      <w:r>
        <w:rPr>
          <w:rFonts w:ascii="Arial" w:cs="Arial" w:eastAsia="Arial" w:hAnsi="Arial"/>
          <w:sz w:val="18"/>
          <w:szCs w:val="18"/>
          <w:color w:val="auto"/>
        </w:rPr>
        <w:t>Certain U.S. Holders generally are not subject to backup withholding and information reporting requirements, provided that their exemptions from backup withholding and information reporting are properly established. Backup withholding is not an additional tax. Any amounts withheld from a payment to a U.S. Holder under the backup withholding rules generally will be allowed as a credit against such U.S. Holder’s U.S. federal income tax liability and may entitle such U.S. Holder to a refund, provided the required information is furnished to the IRS in a timely manner. U.S. Holders should consult their tax advisors regarding the application of backup withholding, the availability of an exemption from backup withholding, and the procedure for obtaining such an exemption, if available.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Tax considerations applicable to non-U.S. Holders</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Distributions</w:t>
      </w:r>
    </w:p>
    <w:p>
      <w:pPr>
        <w:spacing w:after="0" w:line="142" w:lineRule="exact"/>
        <w:rPr>
          <w:sz w:val="20"/>
          <w:szCs w:val="20"/>
          <w:color w:val="auto"/>
        </w:rPr>
      </w:pPr>
    </w:p>
    <w:p>
      <w:pPr>
        <w:ind w:left="120"/>
        <w:spacing w:after="0" w:line="242" w:lineRule="auto"/>
        <w:rPr>
          <w:sz w:val="20"/>
          <w:szCs w:val="20"/>
          <w:color w:val="auto"/>
        </w:rPr>
      </w:pPr>
      <w:r>
        <w:rPr>
          <w:rFonts w:ascii="Arial" w:cs="Arial" w:eastAsia="Arial" w:hAnsi="Arial"/>
          <w:sz w:val="18"/>
          <w:szCs w:val="18"/>
          <w:color w:val="auto"/>
        </w:rPr>
        <w:t>As described in the section titled “Dividend Policy,” we do not currently intend to pay any cash dividends on our capital stock in the foreseeable future. However, if we make distributions of cash or property on our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common stock, but not below zero. Any excess will be treated as capital gain and will be treated as described below under “Sale or Other Taxable Disposition.”</w:t>
      </w:r>
    </w:p>
    <w:p>
      <w:pPr>
        <w:spacing w:after="0" w:line="98" w:lineRule="exact"/>
        <w:rPr>
          <w:sz w:val="20"/>
          <w:szCs w:val="20"/>
          <w:color w:val="auto"/>
        </w:rPr>
      </w:pPr>
    </w:p>
    <w:p>
      <w:pPr>
        <w:ind w:left="120" w:right="40"/>
        <w:spacing w:after="0" w:line="271" w:lineRule="auto"/>
        <w:rPr>
          <w:sz w:val="20"/>
          <w:szCs w:val="20"/>
          <w:color w:val="auto"/>
        </w:rPr>
      </w:pPr>
      <w:r>
        <w:rPr>
          <w:rFonts w:ascii="Arial" w:cs="Arial" w:eastAsia="Arial" w:hAnsi="Arial"/>
          <w:sz w:val="18"/>
          <w:szCs w:val="18"/>
          <w:color w:val="auto"/>
        </w:rPr>
        <w:t>Subject to the discussions below on effectively connected income, backup withholding and FATCA (as defined below), dividends paid to a Non-U.S. Holder of our common stock will be subject to U.S. federal withholding tax</w:t>
      </w:r>
    </w:p>
    <w:p>
      <w:pPr>
        <w:spacing w:after="0" w:line="8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S-22</w:t>
      </w:r>
    </w:p>
    <w:p>
      <w:pPr>
        <w:sectPr>
          <w:pgSz w:w="11900" w:h="16838" w:orient="portrait"/>
          <w:cols w:equalWidth="0" w:num="1">
            <w:col w:w="11080"/>
          </w:cols>
          <w:pgMar w:left="320" w:top="455"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w:t>
      </w:r>
    </w:p>
    <w:p>
      <w:pPr>
        <w:spacing w:after="0" w:line="95" w:lineRule="exact"/>
        <w:rPr>
          <w:sz w:val="20"/>
          <w:szCs w:val="20"/>
          <w:color w:val="auto"/>
        </w:rPr>
      </w:pPr>
    </w:p>
    <w:p>
      <w:pPr>
        <w:ind w:left="120"/>
        <w:spacing w:after="0" w:line="261" w:lineRule="auto"/>
        <w:rPr>
          <w:sz w:val="20"/>
          <w:szCs w:val="20"/>
          <w:color w:val="auto"/>
        </w:rPr>
      </w:pPr>
      <w:r>
        <w:rPr>
          <w:rFonts w:ascii="Arial" w:cs="Arial" w:eastAsia="Arial" w:hAnsi="Arial"/>
          <w:sz w:val="17"/>
          <w:szCs w:val="17"/>
          <w:color w:val="auto"/>
        </w:rPr>
        <w:t>If dividends paid to a Non-U.S. Holder are effectively connected with the Non-U.S. Holder’s conduct of a trade or business within the United States (and, if required by an applicable income tax treaty, the Non-U.S. Holder maintains a permanent establishment or fixed base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w:t>
      </w:r>
    </w:p>
    <w:p>
      <w:pPr>
        <w:spacing w:after="0" w:line="98" w:lineRule="exact"/>
        <w:rPr>
          <w:sz w:val="20"/>
          <w:szCs w:val="20"/>
          <w:color w:val="auto"/>
        </w:rPr>
      </w:pPr>
    </w:p>
    <w:p>
      <w:pPr>
        <w:ind w:left="120" w:right="240"/>
        <w:spacing w:after="0" w:line="244" w:lineRule="auto"/>
        <w:rPr>
          <w:sz w:val="20"/>
          <w:szCs w:val="20"/>
          <w:color w:val="auto"/>
        </w:rPr>
      </w:pPr>
      <w:r>
        <w:rPr>
          <w:rFonts w:ascii="Arial" w:cs="Arial" w:eastAsia="Arial" w:hAnsi="Arial"/>
          <w:sz w:val="18"/>
          <w:szCs w:val="18"/>
          <w:color w:val="auto"/>
        </w:rPr>
        <w:t>Any such effectively connected dividends generally will be subject to U.S. federal income tax on a net income basis at the regular U.S. federal income tax rates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dividends, as adjusted for certain items. Non-U.S. Holders should consult their tax advisors regarding any applicable tax treaties that may provide for different rules.</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Sale or Other Taxable Disposition</w:t>
      </w:r>
    </w:p>
    <w:p>
      <w:pPr>
        <w:spacing w:after="0" w:line="142"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Subject to the discussions below regarding backup withholding and FATCA, a Non-U.S. Holder generally will not be subject to U.S. federal income tax on any gain realized upon the sale or other taxable disposition of our common stock unless:</w:t>
      </w:r>
    </w:p>
    <w:p>
      <w:pPr>
        <w:spacing w:after="0" w:line="86" w:lineRule="exact"/>
        <w:rPr>
          <w:sz w:val="20"/>
          <w:szCs w:val="20"/>
          <w:color w:val="auto"/>
        </w:rPr>
      </w:pPr>
    </w:p>
    <w:p>
      <w:pPr>
        <w:jc w:val="both"/>
        <w:ind w:left="340" w:right="100" w:hanging="224"/>
        <w:spacing w:after="0" w:line="25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gain is effectively connected with the Non-U.S. Holder’s conduct of a trade or business within the United States (and, if required by an applicable income tax treaty, the Non-U.S. Holder maintains a permanent establishment or fixed base in the United States to which such gain is attributable);</w:t>
      </w:r>
    </w:p>
    <w:p>
      <w:pPr>
        <w:spacing w:after="0" w:line="101" w:lineRule="exact"/>
        <w:rPr>
          <w:rFonts w:ascii="Arial" w:cs="Arial" w:eastAsia="Arial" w:hAnsi="Arial"/>
          <w:sz w:val="18"/>
          <w:szCs w:val="18"/>
          <w:color w:val="auto"/>
        </w:rPr>
      </w:pPr>
    </w:p>
    <w:p>
      <w:pPr>
        <w:ind w:left="340" w:right="240" w:hanging="224"/>
        <w:spacing w:after="0" w:line="271"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Non-U.S. Holder is a nonresident alien individual present in the United States for 183 days or more during the taxable year of the disposition and certain other requirements are met; or</w:t>
      </w:r>
    </w:p>
    <w:p>
      <w:pPr>
        <w:spacing w:after="0" w:line="86" w:lineRule="exact"/>
        <w:rPr>
          <w:rFonts w:ascii="Arial" w:cs="Arial" w:eastAsia="Arial" w:hAnsi="Arial"/>
          <w:sz w:val="18"/>
          <w:szCs w:val="18"/>
          <w:color w:val="auto"/>
        </w:rPr>
      </w:pPr>
    </w:p>
    <w:p>
      <w:pPr>
        <w:ind w:left="340" w:right="500" w:hanging="224"/>
        <w:spacing w:after="0" w:line="253"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common stock constitutes a U.S. real property interest, or USRPI, by reason of our status as a U.S. real property holding corporation, or USRPHC, for U.S. federal income tax purposes at any time within the shorter of the five-year period preceding the disposition or the Non-U.S. Holder’s holding period for our common stock.</w:t>
      </w:r>
    </w:p>
    <w:p>
      <w:pPr>
        <w:spacing w:after="0" w:line="8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Gain described in the first bullet point above generally will be subject to U.S. federal income tax on a net income basis at the regular U.S. federal income tax rates in the same manner as if the Non-U.S. Holder were a resident of the United States. A Non-U.S. Holder that is a corporation also generally will be subject to a branch profits tax at a rate of 30% (or such lower rate specified by an applicable income tax treaty) on its effectively connected earnings and profits attributable to such gain, as adjusted for certain items.</w:t>
      </w:r>
    </w:p>
    <w:p>
      <w:pPr>
        <w:spacing w:after="0" w:line="106" w:lineRule="exact"/>
        <w:rPr>
          <w:sz w:val="20"/>
          <w:szCs w:val="20"/>
          <w:color w:val="auto"/>
        </w:rPr>
      </w:pPr>
    </w:p>
    <w:p>
      <w:pPr>
        <w:ind w:left="120" w:right="160"/>
        <w:spacing w:after="0" w:line="247" w:lineRule="auto"/>
        <w:rPr>
          <w:sz w:val="20"/>
          <w:szCs w:val="20"/>
          <w:color w:val="auto"/>
        </w:rPr>
      </w:pPr>
      <w:r>
        <w:rPr>
          <w:rFonts w:ascii="Arial" w:cs="Arial" w:eastAsia="Arial" w:hAnsi="Arial"/>
          <w:sz w:val="18"/>
          <w:szCs w:val="18"/>
          <w:color w:val="auto"/>
        </w:rPr>
        <w:t>A Non-U.S. Holder described in the second bullet point above will be subject to U.S. federal income tax at a rate of 30% (or such lower rate specified by an applicable income tax treaty) on gain realized upon the sale or other taxable disposition of our common stock, which may be offset by U.S. source capital losses of the Non-U.S. Holder (even though the individual is not considered a resident of the United States), provided the Non-U.S. Holder has timely filed U.S. federal income tax returns with respect to such losses.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S-23</w:t>
      </w:r>
    </w:p>
    <w:p>
      <w:pPr>
        <w:sectPr>
          <w:pgSz w:w="11900" w:h="16838" w:orient="portrait"/>
          <w:cols w:equalWidth="0" w:num="1">
            <w:col w:w="11100"/>
          </w:cols>
          <w:pgMar w:left="320" w:top="455" w:right="4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52" w:lineRule="auto"/>
        <w:rPr>
          <w:sz w:val="20"/>
          <w:szCs w:val="20"/>
          <w:color w:val="auto"/>
        </w:rPr>
      </w:pPr>
      <w:r>
        <w:rPr>
          <w:rFonts w:ascii="Arial" w:cs="Arial" w:eastAsia="Arial" w:hAnsi="Arial"/>
          <w:sz w:val="17"/>
          <w:szCs w:val="17"/>
          <w:color w:val="auto"/>
        </w:rPr>
        <w:t>With respect to the third bullet point above, we believe we currently are not, and do not anticipate becoming, a USRPHC. However, because the determination of whether we are a USRPHC depends on the fair market value of our USRPIs relative to the fair market value of our non-U.S. real property interests and our other business assets, there can be no assurance we currently are not a USRPHC or will not become one in the future. Even if we are or were to become a USRPHC, gain arising from the sale or other taxable disposition by a Non-U.S. Holder of our common stock will not be subject to U.S. federal income tax if our common stock is “regularly traded,” as defined by applicable Treasury Regulations, on an established securities market, and such Non-U.S. Holder owned, actually and constructively,</w:t>
      </w:r>
    </w:p>
    <w:p>
      <w:pPr>
        <w:spacing w:after="0" w:line="2"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5% or less of our common stock throughout the shorter of the five-year period ending on the date of the sale or other taxable disposition or the Non-U.S. Holder’s holding period. If we are a USRPHC and either our common stock is not regularly traded on an established securities market or a Non-U.S. Holder holds more than 5% of our common stock, actually or constructively, during the applicable testing period, such Non-U.S. Holder will generally be taxed on any gain in the same manner as gain that is effectively connected with the conduct of a U.S. trade or business, except that the branch profits tax generally will not apply.</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Non-U.S. Holders should consult their tax advisors regarding any applicable income tax treaties that may provide for different rules.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Information Reporting and Backup Withholding</w:t>
      </w:r>
    </w:p>
    <w:p>
      <w:pPr>
        <w:spacing w:after="0" w:line="129" w:lineRule="exact"/>
        <w:rPr>
          <w:sz w:val="20"/>
          <w:szCs w:val="20"/>
          <w:color w:val="auto"/>
        </w:rPr>
      </w:pPr>
    </w:p>
    <w:p>
      <w:pPr>
        <w:ind w:left="120" w:right="40"/>
        <w:spacing w:after="0" w:line="239" w:lineRule="auto"/>
        <w:rPr>
          <w:sz w:val="20"/>
          <w:szCs w:val="20"/>
          <w:color w:val="auto"/>
        </w:rPr>
      </w:pPr>
      <w:r>
        <w:rPr>
          <w:rFonts w:ascii="Arial" w:cs="Arial" w:eastAsia="Arial" w:hAnsi="Arial"/>
          <w:sz w:val="18"/>
          <w:szCs w:val="18"/>
          <w:color w:val="auto"/>
        </w:rPr>
        <w:t>Payments of dividends on our common stock will not be subject to backup withholding, provided the applicable withholding agent does not have actual knowledge or reason to know the holder is a United States person and the holder either certifies its non-U.S. status by furnishing a valid IRS Form W-8BEN, W-8BEN-E or W-8ECI or otherwise establishes an exemption. However, information returns are required to be filed with the IRS in connection with any distributions on our common stock paid to the Non-U.S. Holder, regardless of whether such distributions constitute dividends or whether any tax was actually withheld. In addition, proceeds of the sale or other taxable disposition of our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common stock conducted through a non-U.S. office of a non-U.S. broker that does not have certain enumerated relationships with the United States generally will not be subject to backup withholding or information reporting.</w:t>
      </w:r>
    </w:p>
    <w:p>
      <w:pPr>
        <w:spacing w:after="0" w:line="112"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Copies of information returns that are filed with the IRS also may be made available under the provisions of an applicable treaty or agreement to the tax authorities of the country in which the Non-U.S. Holder resides or is established. Non-U.S. Holders should consult their tax advisors regarding the possibility of and procedure for obtaining a refund or a credit against their U.S. federal income tax liability, if any.</w:t>
      </w:r>
    </w:p>
    <w:p>
      <w:pPr>
        <w:spacing w:after="0" w:line="93"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Backup withholding is not an additional tax. Any amounts withheld under the backup withholding rules may be allowed as a refund or a credit against a Non-U.S. Holder’s U.S. federal income tax liability, provided the required information is timely furnished to the IRS.</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Additional Withholding Tax on Payments Made to Foreign Accounts</w:t>
      </w:r>
    </w:p>
    <w:p>
      <w:pPr>
        <w:spacing w:after="0" w:line="129"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dividends on, or (subject to the proposed Treasury Regulations discussed below) gross proceeds</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39" w:lineRule="auto"/>
        <w:rPr>
          <w:sz w:val="20"/>
          <w:szCs w:val="20"/>
          <w:color w:val="auto"/>
        </w:rPr>
      </w:pPr>
      <w:r>
        <w:rPr>
          <w:rFonts w:ascii="Arial" w:cs="Arial" w:eastAsia="Arial" w:hAnsi="Arial"/>
          <w:sz w:val="18"/>
          <w:szCs w:val="18"/>
          <w:color w:val="auto"/>
        </w:rPr>
        <w:t>from the sale or other disposition of, our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w:t>
      </w:r>
    </w:p>
    <w:p>
      <w:pPr>
        <w:spacing w:after="0" w:line="99"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Under proposed Treasury Regulations, FATCA withholding on payments of gross proceeds has been eliminated. Taxpayers generally may rely on these proposed Treasury Regulations until final Treasury Regulations are issued.</w:t>
      </w:r>
    </w:p>
    <w:p>
      <w:pPr>
        <w:spacing w:after="0" w:line="86" w:lineRule="exact"/>
        <w:rPr>
          <w:sz w:val="20"/>
          <w:szCs w:val="20"/>
          <w:color w:val="auto"/>
        </w:rPr>
      </w:pPr>
    </w:p>
    <w:p>
      <w:pPr>
        <w:ind w:left="120" w:right="100"/>
        <w:spacing w:after="0" w:line="271" w:lineRule="auto"/>
        <w:rPr>
          <w:sz w:val="20"/>
          <w:szCs w:val="20"/>
          <w:color w:val="auto"/>
        </w:rPr>
      </w:pPr>
      <w:r>
        <w:rPr>
          <w:rFonts w:ascii="Arial" w:cs="Arial" w:eastAsia="Arial" w:hAnsi="Arial"/>
          <w:sz w:val="18"/>
          <w:szCs w:val="18"/>
          <w:color w:val="auto"/>
        </w:rPr>
        <w:t>Prospective investors should consult their tax advisors regarding the potential application of withholding under FATCA to their investment in our common stock.</w:t>
      </w:r>
    </w:p>
    <w:p>
      <w:pPr>
        <w:spacing w:after="0" w:line="86" w:lineRule="exact"/>
        <w:rPr>
          <w:sz w:val="20"/>
          <w:szCs w:val="20"/>
          <w:color w:val="auto"/>
        </w:rPr>
      </w:pPr>
    </w:p>
    <w:p>
      <w:pPr>
        <w:ind w:left="120" w:right="20"/>
        <w:spacing w:after="0" w:line="246" w:lineRule="auto"/>
        <w:rPr>
          <w:sz w:val="20"/>
          <w:szCs w:val="20"/>
          <w:color w:val="auto"/>
        </w:rPr>
      </w:pPr>
      <w:r>
        <w:rPr>
          <w:rFonts w:ascii="Arial" w:cs="Arial" w:eastAsia="Arial" w:hAnsi="Arial"/>
          <w:sz w:val="18"/>
          <w:szCs w:val="18"/>
          <w:b w:val="1"/>
          <w:bCs w:val="1"/>
          <w:color w:val="auto"/>
        </w:rPr>
        <w:t>THIS DISCUSSION IS FOR INFORMATIONAL PURPOSES ONLY AND IS NOT TAX ADVICE. PROSPECTIVE INVESTORS SHOULD CONSULT THEIR TAX ADVISORS REGARDING THE U.S. FEDERAL, STATE, AND LOCAL AND NON-U.S. INCOME AND NON-INCOME TAX CONSEQUENCES OF THE PURCHASE, OWNERSHIP, AND DISPOSITION OF OUR COMMON STOCK IN THEIR PARTICULAR CIRCUMSTANCES, INCLUDING INFORMATION REPORTING REQUIREMENTS, THE IMPACT OF ANY APPLICABLE TAX TREATIES, AND THE IMPACT OF ANY POTENTIAL CHANGE IN APPLICABLE LAW.</w:t>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S-25</w:t>
      </w:r>
    </w:p>
    <w:p>
      <w:pPr>
        <w:sectPr>
          <w:pgSz w:w="11900" w:h="16838" w:orient="portrait"/>
          <w:cols w:equalWidth="0" w:num="1">
            <w:col w:w="11080"/>
          </w:cols>
          <w:pgMar w:left="320" w:top="455"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UNDERWRITING</w:t>
      </w:r>
    </w:p>
    <w:p>
      <w:pPr>
        <w:spacing w:after="0" w:line="154" w:lineRule="exact"/>
        <w:rPr>
          <w:sz w:val="20"/>
          <w:szCs w:val="20"/>
          <w:color w:val="auto"/>
        </w:rPr>
      </w:pPr>
    </w:p>
    <w:p>
      <w:pPr>
        <w:ind w:left="120" w:right="100"/>
        <w:spacing w:after="0" w:line="242" w:lineRule="auto"/>
        <w:rPr>
          <w:sz w:val="20"/>
          <w:szCs w:val="20"/>
          <w:color w:val="auto"/>
        </w:rPr>
      </w:pPr>
      <w:r>
        <w:rPr>
          <w:rFonts w:ascii="Arial" w:cs="Arial" w:eastAsia="Arial" w:hAnsi="Arial"/>
          <w:sz w:val="18"/>
          <w:szCs w:val="18"/>
          <w:color w:val="auto"/>
        </w:rPr>
        <w:t>We are offering the securities described in this prospectus supplement through a number of underwriters. J.P. Morgan Securities LLC and Guggenheim Securities, LLC are acting as joint book-running managers of the offering and as representatives of the underwriters. We have entered into an underwriting agreement with the representatives. Subject to the terms and conditions of the underwriting agreement, we have agreed to sell to the underwriters, and each underwriter has severally agreed to purchase, at the public offering price less the underwriting discounts and commissions set forth on the cover page of this prospectus supplement, the number of shares of common stock listed next to its name in the following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951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163"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9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spacing w:after="0"/>
              <w:rPr>
                <w:sz w:val="20"/>
                <w:szCs w:val="20"/>
                <w:color w:val="auto"/>
              </w:rPr>
            </w:pPr>
            <w:r>
              <w:rPr>
                <w:rFonts w:ascii="Arial" w:cs="Arial" w:eastAsia="Arial" w:hAnsi="Arial"/>
                <w:sz w:val="16"/>
                <w:szCs w:val="16"/>
                <w:b w:val="1"/>
                <w:bCs w:val="1"/>
                <w:color w:val="auto"/>
              </w:rPr>
              <w:t>Number of</w:t>
            </w:r>
          </w:p>
        </w:tc>
      </w:tr>
      <w:tr>
        <w:trPr>
          <w:trHeight w:val="203"/>
        </w:trPr>
        <w:tc>
          <w:tcPr>
            <w:tcW w:w="980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Underwriters</w:t>
            </w:r>
          </w:p>
        </w:tc>
        <w:tc>
          <w:tcPr>
            <w:tcW w:w="122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rPr>
              <w:t>Shares</w:t>
            </w:r>
          </w:p>
        </w:tc>
      </w:tr>
      <w:tr>
        <w:trPr>
          <w:trHeight w:val="196"/>
        </w:trPr>
        <w:tc>
          <w:tcPr>
            <w:tcW w:w="98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J.P. Morgan Securities LLC</w:t>
            </w:r>
          </w:p>
        </w:tc>
        <w:tc>
          <w:tcPr>
            <w:tcW w:w="1220" w:type="dxa"/>
            <w:vAlign w:val="bottom"/>
            <w:gridSpan w:val="2"/>
            <w:shd w:val="clear" w:color="auto" w:fill="CCEEFF"/>
          </w:tcPr>
          <w:p>
            <w:pPr>
              <w:jc w:val="right"/>
              <w:ind w:right="80"/>
              <w:spacing w:after="0" w:line="196" w:lineRule="exact"/>
              <w:rPr>
                <w:sz w:val="20"/>
                <w:szCs w:val="20"/>
                <w:color w:val="auto"/>
              </w:rPr>
            </w:pPr>
            <w:r>
              <w:rPr>
                <w:rFonts w:ascii="Arial" w:cs="Arial" w:eastAsia="Arial" w:hAnsi="Arial"/>
                <w:sz w:val="18"/>
                <w:szCs w:val="18"/>
                <w:color w:val="auto"/>
              </w:rPr>
              <w:t>9,000,000</w:t>
            </w: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Guggenheim Securities, LLC</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5,200,000</w:t>
            </w: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LifeSci Capital LLC</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2,000,000</w:t>
            </w: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William Blair &amp; Company, L.L.C.</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2,000,000</w:t>
            </w:r>
          </w:p>
        </w:tc>
      </w:tr>
      <w:tr>
        <w:trPr>
          <w:trHeight w:val="203"/>
        </w:trPr>
        <w:tc>
          <w:tcPr>
            <w:tcW w:w="98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Citizens JMP Securities, LLC</w:t>
            </w:r>
          </w:p>
        </w:tc>
        <w:tc>
          <w:tcPr>
            <w:tcW w:w="122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1,200,000</w:t>
            </w:r>
          </w:p>
        </w:tc>
      </w:tr>
      <w:tr>
        <w:trPr>
          <w:trHeight w:val="203"/>
        </w:trPr>
        <w:tc>
          <w:tcPr>
            <w:tcW w:w="9800" w:type="dxa"/>
            <w:vAlign w:val="bottom"/>
            <w:gridSpan w:val="2"/>
          </w:tcPr>
          <w:p>
            <w:pPr>
              <w:spacing w:after="0" w:line="202" w:lineRule="exact"/>
              <w:rPr>
                <w:sz w:val="20"/>
                <w:szCs w:val="20"/>
                <w:color w:val="auto"/>
              </w:rPr>
            </w:pPr>
            <w:r>
              <w:rPr>
                <w:rFonts w:ascii="Arial" w:cs="Arial" w:eastAsia="Arial" w:hAnsi="Arial"/>
                <w:sz w:val="18"/>
                <w:szCs w:val="18"/>
                <w:color w:val="auto"/>
              </w:rPr>
              <w:t>JonesTrading Institutional Services LLC</w:t>
            </w:r>
          </w:p>
        </w:tc>
        <w:tc>
          <w:tcPr>
            <w:tcW w:w="122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600,000</w:t>
            </w:r>
          </w:p>
        </w:tc>
      </w:tr>
      <w:tr>
        <w:trPr>
          <w:trHeight w:val="115"/>
        </w:trPr>
        <w:tc>
          <w:tcPr>
            <w:tcW w:w="9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r>
      <w:tr>
        <w:trPr>
          <w:trHeight w:val="216"/>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20,000,000</w:t>
            </w:r>
          </w:p>
        </w:tc>
      </w:tr>
      <w:tr>
        <w:trPr>
          <w:trHeight w:val="20"/>
        </w:trPr>
        <w:tc>
          <w:tcPr>
            <w:tcW w:w="9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30" w:lineRule="exact"/>
        <w:rPr>
          <w:sz w:val="20"/>
          <w:szCs w:val="20"/>
          <w:color w:val="auto"/>
        </w:rPr>
      </w:pPr>
    </w:p>
    <w:p>
      <w:pPr>
        <w:jc w:val="both"/>
        <w:ind w:left="120" w:right="160"/>
        <w:spacing w:after="0" w:line="253" w:lineRule="auto"/>
        <w:rPr>
          <w:sz w:val="20"/>
          <w:szCs w:val="20"/>
          <w:color w:val="auto"/>
        </w:rPr>
      </w:pPr>
      <w:r>
        <w:rPr>
          <w:rFonts w:ascii="Arial" w:cs="Arial" w:eastAsia="Arial" w:hAnsi="Arial"/>
          <w:sz w:val="18"/>
          <w:szCs w:val="18"/>
          <w:color w:val="auto"/>
        </w:rPr>
        <w:t>The underwriters are committed to purchase all the shares of common stock offered by us if they purchase any shares of common stock. The underwriting agreement also provides that if an underwriter defaults, the purchase commitments of non-defaulting underwriters may also be increased or the offering may be terminated.</w:t>
      </w:r>
    </w:p>
    <w:p>
      <w:pPr>
        <w:spacing w:after="0" w:line="101"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The underwriters propose to offer the shares of common stock directly to the public at the respective public offering prices set forth on the cover page of this prospectus supplement and to certain dealers at that price less a concession not in excess of $0.18 per share of common stock. After the offering of the shares of common stock to the public, if all of the shares of common stock are not sold at the respective public offering prices, the underwriters may change the offering price and the other selling terms. Sales of any shares of common stock made outside of the United States may be made by affiliates of the underwriters.</w:t>
      </w:r>
    </w:p>
    <w:p>
      <w:pPr>
        <w:spacing w:after="0" w:line="9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Option to Purchase Additional Shares</w:t>
      </w:r>
    </w:p>
    <w:p>
      <w:pPr>
        <w:spacing w:after="0" w:line="148" w:lineRule="exact"/>
        <w:rPr>
          <w:sz w:val="20"/>
          <w:szCs w:val="20"/>
          <w:color w:val="auto"/>
        </w:rPr>
      </w:pPr>
    </w:p>
    <w:p>
      <w:pPr>
        <w:ind w:left="120" w:right="80"/>
        <w:spacing w:after="0" w:line="244" w:lineRule="auto"/>
        <w:rPr>
          <w:sz w:val="20"/>
          <w:szCs w:val="20"/>
          <w:color w:val="auto"/>
        </w:rPr>
      </w:pPr>
      <w:r>
        <w:rPr>
          <w:rFonts w:ascii="Arial" w:cs="Arial" w:eastAsia="Arial" w:hAnsi="Arial"/>
          <w:sz w:val="18"/>
          <w:szCs w:val="18"/>
          <w:color w:val="auto"/>
        </w:rPr>
        <w:t>The underwriters have an option to buy up to 3,000,000 additional shares of common stock from us to cover sales of shares by the underwriters. The underwriters have 30 days from the date of this prospectus supplement to exercise this option to purchase additional shares. If any shares are purchased with this option to purchase additional shares, the underwriters will purchase shares in approximately the same proportion as shown in the table above. If any additional shares of common stock are purchased, the underwriters will offer the additional shares on the same terms as those on which the shares are being offered.</w:t>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Commissions and Expenses</w:t>
      </w:r>
    </w:p>
    <w:p>
      <w:pPr>
        <w:spacing w:after="0" w:line="148" w:lineRule="exact"/>
        <w:rPr>
          <w:sz w:val="20"/>
          <w:szCs w:val="20"/>
          <w:color w:val="auto"/>
        </w:rPr>
      </w:pPr>
    </w:p>
    <w:p>
      <w:pPr>
        <w:ind w:left="120" w:right="80"/>
        <w:spacing w:after="0" w:line="247" w:lineRule="auto"/>
        <w:rPr>
          <w:sz w:val="20"/>
          <w:szCs w:val="20"/>
          <w:color w:val="auto"/>
        </w:rPr>
      </w:pPr>
      <w:r>
        <w:rPr>
          <w:rFonts w:ascii="Arial" w:cs="Arial" w:eastAsia="Arial" w:hAnsi="Arial"/>
          <w:sz w:val="18"/>
          <w:szCs w:val="18"/>
          <w:color w:val="auto"/>
        </w:rPr>
        <w:t>The underwriting fee is equal to the public offering price per share of common stock less the amount paid by the underwriters to us per share of common stock. The underwriting fee is $0.30 per share. The following table shows the per share and total underwriting discounts and commissions to be paid to the underwriters assuming both no exercise and full exercise of the underwriters’ option to purchase additional shares.</w:t>
      </w:r>
    </w:p>
    <w:p>
      <w:pPr>
        <w:spacing w:after="0" w:line="10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S-26</w:t>
      </w:r>
    </w:p>
    <w:p>
      <w:pPr>
        <w:sectPr>
          <w:pgSz w:w="11900" w:h="16838" w:orient="portrait"/>
          <w:cols w:equalWidth="0" w:num="1">
            <w:col w:w="11140"/>
          </w:cols>
          <w:pgMar w:left="320" w:top="455" w:right="4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pacing w:after="0" w:line="375" w:lineRule="exact"/>
        <w:rPr>
          <w:sz w:val="20"/>
          <w:szCs w:val="20"/>
          <w:color w:val="auto"/>
        </w:rPr>
      </w:pPr>
    </w:p>
    <w:tbl>
      <w:tblPr>
        <w:tblLayout w:type="fixed"/>
        <w:tblInd w:w="120" w:type="dxa"/>
        <w:tblCellMar>
          <w:top w:w="0" w:type="dxa"/>
          <w:left w:w="0" w:type="dxa"/>
          <w:bottom w:w="0" w:type="dxa"/>
          <w:right w:w="0" w:type="dxa"/>
        </w:tblCellMar>
      </w:tblPr>
      <w:tr>
        <w:trPr>
          <w:trHeight w:val="189"/>
        </w:trPr>
        <w:tc>
          <w:tcPr>
            <w:tcW w:w="6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Arial" w:cs="Arial" w:eastAsia="Arial" w:hAnsi="Arial"/>
                <w:sz w:val="16"/>
                <w:szCs w:val="16"/>
                <w:b w:val="1"/>
                <w:bCs w:val="1"/>
                <w:color w:val="auto"/>
              </w:rPr>
              <w:t>Without option to</w:t>
            </w: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rPr>
              <w:t>With full option to</w:t>
            </w:r>
          </w:p>
        </w:tc>
      </w:tr>
      <w:tr>
        <w:trPr>
          <w:trHeight w:val="189"/>
        </w:trPr>
        <w:tc>
          <w:tcPr>
            <w:tcW w:w="6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380" w:type="dxa"/>
            <w:vAlign w:val="bottom"/>
            <w:gridSpan w:val="3"/>
          </w:tcPr>
          <w:p>
            <w:pPr>
              <w:spacing w:after="0"/>
              <w:rPr>
                <w:sz w:val="20"/>
                <w:szCs w:val="20"/>
                <w:color w:val="auto"/>
              </w:rPr>
            </w:pPr>
            <w:r>
              <w:rPr>
                <w:rFonts w:ascii="Arial" w:cs="Arial" w:eastAsia="Arial" w:hAnsi="Arial"/>
                <w:sz w:val="16"/>
                <w:szCs w:val="16"/>
                <w:b w:val="1"/>
                <w:bCs w:val="1"/>
                <w:color w:val="auto"/>
              </w:rPr>
              <w:t>purchase additional</w:t>
            </w:r>
          </w:p>
        </w:tc>
        <w:tc>
          <w:tcPr>
            <w:tcW w:w="1600" w:type="dxa"/>
            <w:vAlign w:val="bottom"/>
            <w:gridSpan w:val="3"/>
          </w:tcPr>
          <w:p>
            <w:pPr>
              <w:spacing w:after="0"/>
              <w:rPr>
                <w:sz w:val="20"/>
                <w:szCs w:val="20"/>
                <w:color w:val="auto"/>
              </w:rPr>
            </w:pPr>
            <w:r>
              <w:rPr>
                <w:rFonts w:ascii="Arial" w:cs="Arial" w:eastAsia="Arial" w:hAnsi="Arial"/>
                <w:sz w:val="16"/>
                <w:szCs w:val="16"/>
                <w:b w:val="1"/>
                <w:bCs w:val="1"/>
                <w:color w:val="auto"/>
              </w:rPr>
              <w:t>purchase additional</w:t>
            </w:r>
          </w:p>
        </w:tc>
      </w:tr>
      <w:tr>
        <w:trPr>
          <w:trHeight w:val="203"/>
        </w:trPr>
        <w:tc>
          <w:tcPr>
            <w:tcW w:w="62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exercise</w:t>
            </w:r>
          </w:p>
        </w:tc>
        <w:tc>
          <w:tcPr>
            <w:tcW w:w="1600" w:type="dxa"/>
            <w:vAlign w:val="bottom"/>
            <w:tcBorders>
              <w:bottom w:val="single" w:sz="8" w:color="auto"/>
            </w:tcBorders>
            <w:gridSpan w:val="3"/>
          </w:tcPr>
          <w:p>
            <w:pPr>
              <w:spacing w:after="0"/>
              <w:rPr>
                <w:sz w:val="20"/>
                <w:szCs w:val="20"/>
                <w:color w:val="auto"/>
              </w:rPr>
            </w:pPr>
            <w:r>
              <w:rPr>
                <w:rFonts w:ascii="Arial" w:cs="Arial" w:eastAsia="Arial" w:hAnsi="Arial"/>
                <w:sz w:val="16"/>
                <w:szCs w:val="16"/>
                <w:b w:val="1"/>
                <w:bCs w:val="1"/>
                <w:color w:val="auto"/>
              </w:rPr>
              <w:t>shares exercise</w:t>
            </w:r>
          </w:p>
        </w:tc>
      </w:tr>
      <w:tr>
        <w:trPr>
          <w:trHeight w:val="196"/>
        </w:trPr>
        <w:tc>
          <w:tcPr>
            <w:tcW w:w="704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Per Share</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960" w:type="dxa"/>
            <w:vAlign w:val="bottom"/>
            <w:gridSpan w:val="2"/>
            <w:shd w:val="clear" w:color="auto" w:fill="CCEEFF"/>
          </w:tcPr>
          <w:p>
            <w:pPr>
              <w:jc w:val="right"/>
              <w:ind w:right="840"/>
              <w:spacing w:after="0" w:line="196" w:lineRule="exact"/>
              <w:rPr>
                <w:sz w:val="20"/>
                <w:szCs w:val="20"/>
                <w:color w:val="auto"/>
              </w:rPr>
            </w:pPr>
            <w:r>
              <w:rPr>
                <w:rFonts w:ascii="Arial" w:cs="Arial" w:eastAsia="Arial" w:hAnsi="Arial"/>
                <w:sz w:val="18"/>
                <w:szCs w:val="18"/>
                <w:color w:val="auto"/>
              </w:rPr>
              <w:t>0.30</w:t>
            </w:r>
          </w:p>
        </w:tc>
        <w:tc>
          <w:tcPr>
            <w:tcW w:w="4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0.30</w:t>
            </w:r>
          </w:p>
        </w:tc>
        <w:tc>
          <w:tcPr>
            <w:tcW w:w="60" w:type="dxa"/>
            <w:vAlign w:val="bottom"/>
            <w:shd w:val="clear" w:color="auto" w:fill="CCEEFF"/>
          </w:tcPr>
          <w:p>
            <w:pPr>
              <w:spacing w:after="0"/>
              <w:rPr>
                <w:sz w:val="17"/>
                <w:szCs w:val="17"/>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Total</w:t>
            </w:r>
          </w:p>
        </w:tc>
        <w:tc>
          <w:tcPr>
            <w:tcW w:w="780" w:type="dxa"/>
            <w:vAlign w:val="bottom"/>
          </w:tcPr>
          <w:p>
            <w:pPr>
              <w:spacing w:after="0"/>
              <w:rPr>
                <w:sz w:val="18"/>
                <w:szCs w:val="18"/>
                <w:color w:val="auto"/>
              </w:rPr>
            </w:pP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6,000,000</w:t>
            </w:r>
          </w:p>
        </w:tc>
        <w:tc>
          <w:tcPr>
            <w:tcW w:w="42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6,900,000</w:t>
            </w:r>
          </w:p>
        </w:tc>
        <w:tc>
          <w:tcPr>
            <w:tcW w:w="60" w:type="dxa"/>
            <w:vAlign w:val="bottom"/>
          </w:tcPr>
          <w:p>
            <w:pPr>
              <w:spacing w:after="0"/>
              <w:rPr>
                <w:sz w:val="18"/>
                <w:szCs w:val="18"/>
                <w:color w:val="auto"/>
              </w:rPr>
            </w:pPr>
          </w:p>
        </w:tc>
      </w:tr>
      <w:tr>
        <w:trPr>
          <w:trHeight w:val="20"/>
        </w:trPr>
        <w:tc>
          <w:tcPr>
            <w:tcW w:w="626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16" w:lineRule="exact"/>
        <w:rPr>
          <w:sz w:val="20"/>
          <w:szCs w:val="20"/>
          <w:color w:val="auto"/>
        </w:rPr>
      </w:pPr>
    </w:p>
    <w:p>
      <w:pPr>
        <w:ind w:left="120" w:right="380"/>
        <w:spacing w:after="0" w:line="271" w:lineRule="auto"/>
        <w:rPr>
          <w:sz w:val="20"/>
          <w:szCs w:val="20"/>
          <w:color w:val="auto"/>
        </w:rPr>
      </w:pPr>
      <w:r>
        <w:rPr>
          <w:rFonts w:ascii="Arial" w:cs="Arial" w:eastAsia="Arial" w:hAnsi="Arial"/>
          <w:sz w:val="18"/>
          <w:szCs w:val="18"/>
          <w:color w:val="auto"/>
        </w:rPr>
        <w:t>We estimate that the total expenses of this offering, including registration, filing and listing fees, printing fees and legal and accounting expenses, but excluding the underwriting discounts and commissions, will be approximately $500,000.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Electronic Distribution</w:t>
      </w:r>
    </w:p>
    <w:p>
      <w:pPr>
        <w:spacing w:after="0" w:line="135"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A prospectus supplement and accompanying prospectus in electronic format may be made available on the web sites maintained by one or more underwriters, or selling group members, if any, participating in the offering. The underwriters may agree to allocate a number of securities to underwriters and selling group members for sale to their online brokerage account holders. Internet distributions will be allocated by the representatives to underwriters and selling group members that may make Internet distributions on the same basis as other allocations.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 Sales of Similar Securities</w:t>
      </w:r>
    </w:p>
    <w:p>
      <w:pPr>
        <w:spacing w:after="0" w:line="135" w:lineRule="exact"/>
        <w:rPr>
          <w:sz w:val="20"/>
          <w:szCs w:val="20"/>
          <w:color w:val="auto"/>
        </w:rPr>
      </w:pPr>
    </w:p>
    <w:p>
      <w:pPr>
        <w:ind w:left="120" w:right="560"/>
        <w:spacing w:after="0" w:line="253" w:lineRule="auto"/>
        <w:rPr>
          <w:sz w:val="20"/>
          <w:szCs w:val="20"/>
          <w:color w:val="auto"/>
        </w:rPr>
      </w:pPr>
      <w:r>
        <w:rPr>
          <w:rFonts w:ascii="Arial" w:cs="Arial" w:eastAsia="Arial" w:hAnsi="Arial"/>
          <w:sz w:val="18"/>
          <w:szCs w:val="18"/>
          <w:color w:val="auto"/>
        </w:rPr>
        <w:t>We have agreed not to sell or transfer any of our common stock or securities convertible into or exchangeable or exercisable for our common stock, for 60 days after the date of this prospectus supplement without first obtaining the written consent of J.P. Morgan Securities LLC and Guggenheim Securities, LLC on behalf of the underwriters.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Specifically, we have agreed, with certain limited exceptions, not to directly or indirectly:</w:t>
      </w:r>
    </w:p>
    <w:p>
      <w:pPr>
        <w:spacing w:after="0" w:line="144" w:lineRule="exact"/>
        <w:rPr>
          <w:sz w:val="20"/>
          <w:szCs w:val="20"/>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sell, offer to sell, contract to sell or lend any of our common stock;</w:t>
      </w:r>
    </w:p>
    <w:p>
      <w:pPr>
        <w:spacing w:after="0" w:line="144" w:lineRule="exact"/>
        <w:rPr>
          <w:rFonts w:ascii="Arial" w:cs="Arial" w:eastAsia="Arial" w:hAnsi="Arial"/>
          <w:sz w:val="18"/>
          <w:szCs w:val="18"/>
          <w:color w:val="auto"/>
        </w:rPr>
      </w:pPr>
    </w:p>
    <w:p>
      <w:pPr>
        <w:ind w:left="340" w:right="18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any short sale, or establish or increase any put equivalent position or liquidate or decrease any call equivalent position of any of our common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pledge any of our common stock;</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any other way transfer or dispose of any of our common stock;</w:t>
      </w:r>
    </w:p>
    <w:p>
      <w:pPr>
        <w:spacing w:after="0" w:line="144" w:lineRule="exact"/>
        <w:rPr>
          <w:rFonts w:ascii="Arial" w:cs="Arial" w:eastAsia="Arial" w:hAnsi="Arial"/>
          <w:sz w:val="18"/>
          <w:szCs w:val="18"/>
          <w:color w:val="auto"/>
        </w:rPr>
      </w:pPr>
    </w:p>
    <w:p>
      <w:pPr>
        <w:ind w:left="340" w:right="56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 into any swap, hedge or similar arrangement that transfers, in whole or in part, the economic risk of ownership of any of our common stock, regardless of whether any such transaction is to be settled in securities, in case or otherwise;</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announce the offering of any common stock;</w:t>
      </w:r>
    </w:p>
    <w:p>
      <w:pPr>
        <w:spacing w:after="0" w:line="144" w:lineRule="exact"/>
        <w:rPr>
          <w:rFonts w:ascii="Arial" w:cs="Arial" w:eastAsia="Arial" w:hAnsi="Arial"/>
          <w:sz w:val="18"/>
          <w:szCs w:val="18"/>
          <w:color w:val="auto"/>
        </w:rPr>
      </w:pPr>
    </w:p>
    <w:p>
      <w:pPr>
        <w:ind w:left="340" w:right="26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submit or file any registration statement under the Securities Act in respect of any common stock (other than as contemplated by this prospectus supplement);</w:t>
      </w:r>
    </w:p>
    <w:p>
      <w:pPr>
        <w:spacing w:after="0" w:line="86" w:lineRule="exact"/>
        <w:rPr>
          <w:rFonts w:ascii="Arial" w:cs="Arial" w:eastAsia="Arial" w:hAnsi="Arial"/>
          <w:sz w:val="18"/>
          <w:szCs w:val="18"/>
          <w:color w:val="auto"/>
        </w:rPr>
      </w:pPr>
    </w:p>
    <w:p>
      <w:pPr>
        <w:ind w:left="340" w:right="200" w:hanging="224"/>
        <w:spacing w:after="0" w:line="27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 a reverse stock split, recapitalization, share consolidation, reclassification or similar transaction affecting the outstanding shares of common stock; or</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31" w:lineRule="exact"/>
        <w:rPr>
          <w:sz w:val="20"/>
          <w:szCs w:val="20"/>
          <w:color w:val="auto"/>
        </w:rPr>
      </w:pPr>
    </w:p>
    <w:p>
      <w:pPr>
        <w:ind w:left="120" w:right="840"/>
        <w:spacing w:after="0" w:line="271" w:lineRule="auto"/>
        <w:rPr>
          <w:sz w:val="20"/>
          <w:szCs w:val="20"/>
          <w:color w:val="auto"/>
        </w:rPr>
      </w:pPr>
      <w:r>
        <w:rPr>
          <w:rFonts w:ascii="Arial" w:cs="Arial" w:eastAsia="Arial" w:hAnsi="Arial"/>
          <w:sz w:val="18"/>
          <w:szCs w:val="18"/>
          <w:color w:val="auto"/>
        </w:rPr>
        <w:t>These lock-up provisions are subject to certain exceptions, including: that we may (i) effect the transactions contemplated by the underwriting agreement, (ii) issue shares of common stock upon the exercise of an option</w:t>
      </w:r>
    </w:p>
    <w:p>
      <w:pPr>
        <w:spacing w:after="0" w:line="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S-27</w:t>
      </w:r>
    </w:p>
    <w:p>
      <w:pPr>
        <w:sectPr>
          <w:pgSz w:w="11900" w:h="16838" w:orient="portrait"/>
          <w:cols w:equalWidth="0" w:num="1">
            <w:col w:w="11140"/>
          </w:cols>
          <w:pgMar w:left="320" w:top="455"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or warrant, the vesting of restricted stock units, performance stock units or deferred stock units or the conversion or exchange of a security outstanding on the date hereof as referred to in the base prospectus and this prospectus supplement, (iii) pursuant to our stock-based compensation plans as referred to in the registration statement of which this prospectus supplement forms a part, or pursuant to any qualifying inducement award under Nasdaq Listing Rule 5635(c)(4), (iv) issue shares of common stock or other securities issued in connection with a transaction with an unaffiliated third party that includes a bona fide commercial relationship (including joint ventures, marketing or distribution arrangements, collaboration agreements or intellectual property license agreements) or any acquisition of assets of not less than a majority or controlling portion of the equity of another entity, provided that the aggregate number of shares of common stock that we may sell or issue or agree to sell or issue shall not exceed 5% of the total number of shares of common stock issued and outstanding immediately following the issuance and sale of the common stock offered pursuant to the underwriting agreement, (v) file registration statements on Form S-8 or a successor form thereto relating to the shares of common stock granted pursuant to or reserved for issuance under our stock-based compensation plans referred to in clause (iii), (vi) assist any of our stockholders in the establishment of a trading plan by such stockholder pursuant to Rule 10b5-1 under the Exchange Act for the transfer of shares of common stock, provided that (1) such plan does not provide for the transfer of shares of common stock during the lock-up period, (2) to the extent a public announcement of filing under the Exchange Act, if any, is required by or behalf of the securityholders or us regarding the establishment of such plan, such announcement or filing shall include a statement to the effect that no transfers by the securityholders may be made under such plan during the lock-up period and (3) such plan is otherwise permitted to be implemented during the lock-up period pursuant to the terms of a lock-up agreement between such stockholder and the Underwriters in connection with the offering contemplated by the underwriting agreement and (vii) issue shares of common stock pursuant to the Sales Agreement, dated May 9, 2024, between the Company and Guggenheim Securities, LLC, as sales agent, or any replacement “at the market” offering program provided that (a) no such sales shall be made prior to the expiration of the underwriters’ option to purchase additional shares, unless the underwriters’ option has been fully exercised and all such shares have been issued, and (b) the most recent official closing price as reported on Nasdaq equals or exceeds the public offering price per share in this offering.</w:t>
      </w:r>
    </w:p>
    <w:p>
      <w:pPr>
        <w:spacing w:after="0" w:line="112" w:lineRule="exact"/>
        <w:rPr>
          <w:sz w:val="20"/>
          <w:szCs w:val="20"/>
          <w:color w:val="auto"/>
        </w:rPr>
      </w:pPr>
    </w:p>
    <w:p>
      <w:pPr>
        <w:ind w:left="120" w:right="100"/>
        <w:spacing w:after="0" w:line="301" w:lineRule="auto"/>
        <w:rPr>
          <w:sz w:val="20"/>
          <w:szCs w:val="20"/>
          <w:color w:val="auto"/>
        </w:rPr>
      </w:pPr>
      <w:r>
        <w:rPr>
          <w:rFonts w:ascii="Arial" w:cs="Arial" w:eastAsia="Arial" w:hAnsi="Arial"/>
          <w:sz w:val="17"/>
          <w:szCs w:val="17"/>
          <w:color w:val="auto"/>
        </w:rPr>
        <w:t>The lock-up provisions apply to our common stock and to securities convertible into or exchangeable or exercisable for or convertible into our common stock, or to acquire other securities or rights ultimately exchangeable or exercisable for, or convertible into, common stock.</w:t>
      </w:r>
    </w:p>
    <w:p>
      <w:pPr>
        <w:spacing w:after="0" w:line="63" w:lineRule="exact"/>
        <w:rPr>
          <w:sz w:val="20"/>
          <w:szCs w:val="20"/>
          <w:color w:val="auto"/>
        </w:rPr>
      </w:pPr>
    </w:p>
    <w:p>
      <w:pPr>
        <w:ind w:left="120" w:right="480"/>
        <w:spacing w:after="0" w:line="247" w:lineRule="auto"/>
        <w:rPr>
          <w:sz w:val="20"/>
          <w:szCs w:val="20"/>
          <w:color w:val="auto"/>
        </w:rPr>
      </w:pPr>
      <w:r>
        <w:rPr>
          <w:rFonts w:ascii="Arial" w:cs="Arial" w:eastAsia="Arial" w:hAnsi="Arial"/>
          <w:sz w:val="18"/>
          <w:szCs w:val="18"/>
          <w:color w:val="auto"/>
        </w:rPr>
        <w:t>Our executive officers and directors and certain of our other existing security holders have agreed not to sell or transfer any of our common stock or securities convertible into or exchangeable or exercisable for our common stock, for 90 days after the date of this prospectus supplement without first obtaining the written consent of J.P. Morgan Securities LLC and Guggenheim Securities, LLC on behalf of the underwriters.</w:t>
      </w:r>
    </w:p>
    <w:p>
      <w:pPr>
        <w:spacing w:after="0" w:line="106"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Specifically, our executive officers and directors and certain of our other existing security holders, with certain limited exceptions, not to directly or indirectly:</w:t>
      </w:r>
    </w:p>
    <w:p>
      <w:pPr>
        <w:spacing w:after="0" w:line="86" w:lineRule="exact"/>
        <w:rPr>
          <w:sz w:val="20"/>
          <w:szCs w:val="20"/>
          <w:color w:val="auto"/>
        </w:rPr>
      </w:pPr>
    </w:p>
    <w:p>
      <w:pPr>
        <w:ind w:left="340" w:right="540" w:hanging="224"/>
        <w:spacing w:after="0" w:line="271"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offer, sell, agree to offer or sell, solicit offers to purchase, grant any call option or purchase any put option with respect to, pledge, borrow or otherwise dispose of, any of our common stock;</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 or increase any put equivalent position or liquidate or decrease any call equivalent position with respect to any common stock;</w:t>
      </w:r>
    </w:p>
    <w:p>
      <w:pPr>
        <w:spacing w:after="0" w:line="144" w:lineRule="exact"/>
        <w:rPr>
          <w:rFonts w:ascii="Arial" w:cs="Arial" w:eastAsia="Arial" w:hAnsi="Arial"/>
          <w:sz w:val="18"/>
          <w:szCs w:val="18"/>
          <w:color w:val="auto"/>
        </w:rPr>
      </w:pPr>
    </w:p>
    <w:p>
      <w:pPr>
        <w:jc w:val="both"/>
        <w:ind w:left="340" w:right="200" w:hanging="224"/>
        <w:spacing w:after="0" w:line="253"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otherwise enter into any swap, hedge, derivative or other transaction or arrangement that transfers to another, in whole or in part, any economic consequence of ownership of common stock, whether or not such transaction is to be settled by delivery of common stock, other securities, cash or other consideration; or</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publicly announce any intention to do any of the foregoing.</w:t>
      </w:r>
    </w:p>
    <w:p>
      <w:pPr>
        <w:spacing w:after="0" w:line="14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S-28</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6" w:lineRule="auto"/>
        <w:rPr>
          <w:sz w:val="20"/>
          <w:szCs w:val="20"/>
          <w:color w:val="auto"/>
        </w:rPr>
      </w:pPr>
      <w:r>
        <w:rPr>
          <w:rFonts w:ascii="Arial" w:cs="Arial" w:eastAsia="Arial" w:hAnsi="Arial"/>
          <w:sz w:val="18"/>
          <w:szCs w:val="18"/>
          <w:color w:val="auto"/>
        </w:rPr>
        <w:t>These lock-up provisions are subject to certain exceptions, including: (i) the transfer of securities as bona fide gifts, by will or other testamentary document, or intestate succession, to family members, to a trust for the benefit of the securityholder or its family members, by operation of law, including to pursuant to a domestic order, divorce settlement, divorce decree, separation agreement or pursuant to an order of a court of competent jurisdiction enforcing such agreement, to a charitable trust or if the securityholder is a trust, to the beneficiary of such trust; (ii) transfers to us (A) as forfeitures to satisfy tax withholding obligations of the securityholder existing as of the date of this prospectus supplement in connection with the vesting or exercise of equity awards, (B) pursuant to a net exercise or cashless exercise (to satisfy exercise price or related withholding obligations) by the securityholder of outstanding equity awards existing as of the date of this prospectus supplement, provided that any shares of common stock acquired upon the net exercise or cashless exercise of equity awards described in this clause (ii)(B) shall be subject to the restrictions in the lock-up agreement, or (C) upon the death, disability or termination of an executive officer; (iii) distributions to limited partners, members or stockholders; (iv) transactions relating to securities acquired in the offering or in the open market after the closing of the offering; (v) the transfer pursuant to a bona fide third-party tender offer for all outstanding shares of our common stock, merger, consolidation or other similar transaction made to all holders of our securities involving a change of control (including, without limitation, the entering into of any lock-up, voting or similar agreement pursuant to which the securityholder may agree to transfer, sell, tender or otherwise dispose of securities in connection with such transaction, or vote any securities in favor of any transaction), provided that in the event that such tender offer, merger, consolidation or other such transaction is not completed, such securities held by the securityholder shall remain subject to the provisions of the lock-up agreement; (vi) the transfer to a corporation, limited liability company or partnership wholly owned by the securityholder and/or its family members or to the securityholder’s direct or indirect affiliates or to any investment fund or manager thereof or other entity controlled or under common control with the securityholder (including, for the avoidance of doubt, where the securityholder is a partnership, to its general partner or a successor partnership or fund or any other funds managed by such partnership); and (vii) in the case of one of our existing securityholders, pledges of securities as collateral pursuant to a bona fide margin loan (including any subsequent transfer upon foreclosure under any such pledge); provided that, in the case of transfers or distributions pursuant to clauses (i), (ii), (iii), (iv) or (vi), no public disclosure or filing is required or voluntarily made (other than in certain cases where reports under Section 13 or 16 of the Exchange Act may be permitted if the report clearly indicates in footnotes or otherwise discloses the nature of the transfer, as applicable); and provided further that, in the case of clauses (i), (iii), (vi) and (vii) (solely in the case of subsequent transfer upon foreclosure under any such pledge) that, each resulting transferee of securities agrees to be bound by the same lock-up restrictions.</w:t>
      </w:r>
    </w:p>
    <w:p>
      <w:pPr>
        <w:spacing w:after="0" w:line="108" w:lineRule="exact"/>
        <w:rPr>
          <w:sz w:val="20"/>
          <w:szCs w:val="20"/>
          <w:color w:val="auto"/>
        </w:rPr>
      </w:pPr>
    </w:p>
    <w:p>
      <w:pPr>
        <w:ind w:left="120" w:right="60"/>
        <w:spacing w:after="0" w:line="253" w:lineRule="auto"/>
        <w:rPr>
          <w:sz w:val="20"/>
          <w:szCs w:val="20"/>
          <w:color w:val="auto"/>
        </w:rPr>
      </w:pPr>
      <w:r>
        <w:rPr>
          <w:rFonts w:ascii="Arial" w:cs="Arial" w:eastAsia="Arial" w:hAnsi="Arial"/>
          <w:sz w:val="18"/>
          <w:szCs w:val="18"/>
          <w:color w:val="auto"/>
        </w:rPr>
        <w:t>The lock-up provisions apply to our common stock and to securities convertible into or exchangeable or exercisable for our common stock or any such equity security. They also apply to our common stock owned now or acquired later by the person executing the lock-up agreement or for which the person executing the lock-up agreement later acquires the power of disposition.</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Listing</w:t>
      </w:r>
    </w:p>
    <w:p>
      <w:pPr>
        <w:spacing w:after="0" w:line="1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Our common stock is listed on the Nasdaq Global Market under the symbol “LRMR.”</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Stabilization</w:t>
      </w:r>
    </w:p>
    <w:p>
      <w:pPr>
        <w:spacing w:after="0" w:line="135" w:lineRule="exact"/>
        <w:rPr>
          <w:sz w:val="20"/>
          <w:szCs w:val="20"/>
          <w:color w:val="auto"/>
        </w:rPr>
      </w:pPr>
    </w:p>
    <w:p>
      <w:pPr>
        <w:ind w:left="120" w:right="40"/>
        <w:spacing w:after="0" w:line="247" w:lineRule="auto"/>
        <w:rPr>
          <w:sz w:val="20"/>
          <w:szCs w:val="20"/>
          <w:color w:val="auto"/>
        </w:rPr>
      </w:pPr>
      <w:r>
        <w:rPr>
          <w:rFonts w:ascii="Arial" w:cs="Arial" w:eastAsia="Arial" w:hAnsi="Arial"/>
          <w:sz w:val="18"/>
          <w:szCs w:val="18"/>
          <w:color w:val="auto"/>
        </w:rPr>
        <w:t>In connection with this offering, the underwriters may engage in stabilizing transactions, which involves making bids for, purchasing and selling shares of common stock in the open market for the purpose of preventing or retarding a decline in the market price of the common stock while this offering is in progress. These stabilizing transactions may include making short sales of common stock, which involves the sale by the underwriters of a</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S-29</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greater number of shares of common stock than they are required to purchase in this offering, and purchasing shares of common stock on the open market to cover positions created by short sales. Short sales may be “covered” shorts, which are short positions in an amount not greater than the underwriters’ option to purchase additional shares referred to above, or may be “naked” shorts, which are short positions in excess of that amount. The underwriters may close out any covered short position either by exercising their option to purchase additional shares, in whole or in part, or by purchasing shares in the open market. In making this determination, the underwriters will consider, among other things, the price of shares available for purchase in the open market compared to the price at which the underwriters may purchase shares through the option to purchase additional shares. A naked short position is more likely to be created if the underwriters are concerned that there may be downward pressure on the price of the common stock in the open market that could adversely affect investors who purchase in this offering. To the extent that the underwriters create a naked short position, they will purchase shares in the open market to cover the position.</w:t>
      </w:r>
    </w:p>
    <w:p>
      <w:pPr>
        <w:spacing w:after="0" w:line="99"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The underwriters have advised us that, pursuant to Regulation M of the Securities Act, they may also engage in other activities that stabilize, maintain or otherwise affect the price of the common stock, including the imposition of penalty bids. This means that if the representatives of the underwriters purchase common stock in the open market in stabilizing transactions or to cover short sales, the representatives can require the underwriters that sold those shares as part of this offering to repay the underwriting discount received by them.</w:t>
      </w:r>
    </w:p>
    <w:p>
      <w:pPr>
        <w:spacing w:after="0" w:line="109" w:lineRule="exact"/>
        <w:rPr>
          <w:sz w:val="20"/>
          <w:szCs w:val="20"/>
          <w:color w:val="auto"/>
        </w:rPr>
      </w:pPr>
    </w:p>
    <w:p>
      <w:pPr>
        <w:ind w:left="120" w:right="100"/>
        <w:spacing w:after="0" w:line="247" w:lineRule="auto"/>
        <w:rPr>
          <w:sz w:val="20"/>
          <w:szCs w:val="20"/>
          <w:color w:val="auto"/>
        </w:rPr>
      </w:pPr>
      <w:r>
        <w:rPr>
          <w:rFonts w:ascii="Arial" w:cs="Arial" w:eastAsia="Arial" w:hAnsi="Arial"/>
          <w:sz w:val="18"/>
          <w:szCs w:val="18"/>
          <w:color w:val="auto"/>
        </w:rPr>
        <w:t>These activities may have the effect of raising or maintaining the market price of the common stock or preventing or retarding a decline in the market price of the common stock, and, as a result, the price of the common stock may be higher than the price that otherwise might exist in the open market. If the underwriters commence these activities, they may discontinue them at any time. The underwriters may carry out these transactions on the Nasdaq Global Select Market, in the over-the-counter market or otherwise.</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Other Activities and Relationships</w:t>
      </w:r>
    </w:p>
    <w:p>
      <w:pPr>
        <w:spacing w:after="0" w:line="148" w:lineRule="exact"/>
        <w:rPr>
          <w:sz w:val="20"/>
          <w:szCs w:val="20"/>
          <w:color w:val="auto"/>
        </w:rPr>
      </w:pPr>
    </w:p>
    <w:p>
      <w:pPr>
        <w:ind w:left="120" w:right="140"/>
        <w:spacing w:after="0" w:line="242" w:lineRule="auto"/>
        <w:rPr>
          <w:sz w:val="20"/>
          <w:szCs w:val="20"/>
          <w:color w:val="auto"/>
        </w:rPr>
      </w:pPr>
      <w:r>
        <w:rPr>
          <w:rFonts w:ascii="Arial" w:cs="Arial" w:eastAsia="Arial" w:hAnsi="Arial"/>
          <w:sz w:val="18"/>
          <w:szCs w:val="18"/>
          <w:color w:val="auto"/>
        </w:rPr>
        <w:t>Certain of the underwriters and their affiliates have provided in the past to us and our affiliates and may provide from time to time in the future certain commercial banking, financial advisory, investment banking and other services for us and such affiliates in the ordinary course of their business, for which they have received and may continue to receive customary fees and commissions. In addition, from time to time, certain of the underwriters and their affiliates may effect transactions for their own account or the account of customers, and hold on behalf of themselves or their customers, long or short positions in our debt or equity securities or loans, and may do so in the future.</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Selling Restrictions</w:t>
      </w:r>
    </w:p>
    <w:p>
      <w:pPr>
        <w:spacing w:after="0" w:line="148" w:lineRule="exact"/>
        <w:rPr>
          <w:sz w:val="20"/>
          <w:szCs w:val="20"/>
          <w:color w:val="auto"/>
        </w:rPr>
      </w:pPr>
    </w:p>
    <w:p>
      <w:pPr>
        <w:ind w:left="120"/>
        <w:spacing w:after="0" w:line="239" w:lineRule="auto"/>
        <w:rPr>
          <w:sz w:val="20"/>
          <w:szCs w:val="20"/>
          <w:color w:val="auto"/>
        </w:rPr>
      </w:pPr>
      <w:r>
        <w:rPr>
          <w:rFonts w:ascii="Arial" w:cs="Arial" w:eastAsia="Arial" w:hAnsi="Arial"/>
          <w:sz w:val="18"/>
          <w:szCs w:val="18"/>
          <w:color w:val="auto"/>
        </w:rPr>
        <w:t>Other than in the United States, no action has been taken by us or the underwriters that would permit a public offering of the shares of our common stock offered by this prospectus supplement in any jurisdiction where action for that purpose is required. The shares of our common stock offered by this prospectus supplement may not be offered or sold, directly or indirectly, nor may this prospectus supplement or any other offering material or advertisements in connection with the offer and sale of any such securities be distributed or published in any jurisdiction, except under circumstances that will result in compliance with the applicable rules and regulations of that jurisdiction. Persons into whose possession this prospectus supplement comes are advised to inform themselves about and to observe any restrictions relating to the offering and the distribution of this prospectus supplement. This prospectus supplement does not constitute an offer to sell or a solicitation of an offer to buy any shares of our common stock offered by this prospectus in any jurisdiction in which such an offer or a solicitation is unlawful.</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European Economic Area</w:t>
      </w:r>
    </w:p>
    <w:p>
      <w:pPr>
        <w:spacing w:after="0" w:line="135" w:lineRule="exact"/>
        <w:rPr>
          <w:sz w:val="20"/>
          <w:szCs w:val="20"/>
          <w:color w:val="auto"/>
        </w:rPr>
      </w:pPr>
    </w:p>
    <w:p>
      <w:pPr>
        <w:ind w:left="120" w:right="220"/>
        <w:spacing w:after="0" w:line="261" w:lineRule="auto"/>
        <w:rPr>
          <w:sz w:val="20"/>
          <w:szCs w:val="20"/>
          <w:color w:val="auto"/>
        </w:rPr>
      </w:pPr>
      <w:r>
        <w:rPr>
          <w:rFonts w:ascii="Arial" w:cs="Arial" w:eastAsia="Arial" w:hAnsi="Arial"/>
          <w:sz w:val="17"/>
          <w:szCs w:val="17"/>
          <w:color w:val="auto"/>
        </w:rPr>
        <w:t>In relation to each Member State of the European Economic Area (each a “Relevant State”), no shares of our common stock have been offered or will be offered pursuant to the offering to the public in that Relevant State prior to the publication of a prospectus in relation to the shares of our common stock which has been approved by the competent authority in that Relevant State or, where appropriate, approved in another Relevant State and notified to the competent authority in that Relevant State, all in accordance with the Prospectus Regulation, except that offers of the shares of our common stock may be offered to the public in that Relevant State at any time:</w:t>
      </w:r>
    </w:p>
    <w:p>
      <w:pPr>
        <w:spacing w:after="0" w:line="98" w:lineRule="exact"/>
        <w:rPr>
          <w:sz w:val="20"/>
          <w:szCs w:val="20"/>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any qualified investor as defined under Article 2 of the Prospectus Regulation;</w:t>
      </w:r>
    </w:p>
    <w:p>
      <w:pPr>
        <w:spacing w:after="0" w:line="144" w:lineRule="exact"/>
        <w:rPr>
          <w:rFonts w:ascii="Arial" w:cs="Arial" w:eastAsia="Arial" w:hAnsi="Arial"/>
          <w:sz w:val="18"/>
          <w:szCs w:val="18"/>
          <w:color w:val="auto"/>
        </w:rPr>
      </w:pPr>
    </w:p>
    <w:p>
      <w:pPr>
        <w:ind w:left="540" w:right="280" w:hanging="424"/>
        <w:spacing w:after="0" w:line="271" w:lineRule="auto"/>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Article 2 of the Prospectus Regulation), subject to obtaining the prior consent of the Global Co-ordinator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120"/>
        <w:spacing w:after="0" w:line="25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the shares of our common stock shall require the Company or any manager to publish a prospectus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Article 3 of the Prospectus Regulation, supplement a prospectus pursuant to Article 23 of the Prospectus Regulation or publish an Annex IX document pursuant to Article 1(4) of the Prospectus Regulation.</w:t>
      </w:r>
    </w:p>
    <w:p>
      <w:pPr>
        <w:spacing w:after="0" w:line="101" w:lineRule="exact"/>
        <w:rPr>
          <w:sz w:val="20"/>
          <w:szCs w:val="20"/>
          <w:color w:val="auto"/>
        </w:rPr>
      </w:pPr>
    </w:p>
    <w:p>
      <w:pPr>
        <w:ind w:left="120" w:right="3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our common stock in any Relevant State means the communication in any form and by any means of sufficient information on the terms of the offer and any shares of our common stock to be offered so as to enable an investor to decide to purchase or subscribe for any securities, and the expression “Prospectus Regulation” means Regulation (EU) 2017/1129.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Kingdom</w:t>
      </w:r>
    </w:p>
    <w:p>
      <w:pPr>
        <w:spacing w:after="0" w:line="135" w:lineRule="exact"/>
        <w:rPr>
          <w:sz w:val="20"/>
          <w:szCs w:val="20"/>
          <w:color w:val="auto"/>
        </w:rPr>
      </w:pPr>
    </w:p>
    <w:p>
      <w:pPr>
        <w:ind w:left="120" w:right="280"/>
        <w:spacing w:after="0" w:line="271" w:lineRule="auto"/>
        <w:rPr>
          <w:sz w:val="20"/>
          <w:szCs w:val="20"/>
          <w:color w:val="auto"/>
        </w:rPr>
      </w:pPr>
      <w:r>
        <w:rPr>
          <w:rFonts w:ascii="Arial" w:cs="Arial" w:eastAsia="Arial" w:hAnsi="Arial"/>
          <w:sz w:val="18"/>
          <w:szCs w:val="18"/>
          <w:color w:val="auto"/>
        </w:rPr>
        <w:t>No shares of our common stock have been offered or will be offered pursuant to the offering to the public in the United Kingdom except that the shares of our common stock may be offered to the public in the United Kingdom at any time:</w:t>
      </w:r>
    </w:p>
    <w:p>
      <w:pPr>
        <w:spacing w:after="0" w:line="86" w:lineRule="exact"/>
        <w:rPr>
          <w:sz w:val="20"/>
          <w:szCs w:val="20"/>
          <w:color w:val="auto"/>
        </w:rPr>
      </w:pPr>
    </w:p>
    <w:p>
      <w:pPr>
        <w:ind w:left="540" w:right="60" w:hanging="424"/>
        <w:spacing w:after="0" w:line="247"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where (i) the offer is conditional on the admission of the shares of our common stock to trading on the London Stock Exchange plc’s main market (in reliance on the exception in paragraph 6(a) of Schedule 1 of the POATR) or (ii) the shares of our common stock being offered are at the time of the offer already admitted to trading on London Stock Exchange plc’s main market (in reliance on the exception in paragraph 6(b) of Schedule 1 of the POATR);</w:t>
      </w:r>
    </w:p>
    <w:p>
      <w:pPr>
        <w:spacing w:after="0" w:line="106"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any qualified investor as defined in paragraph 15 of Schedule 1 of the POATR;</w:t>
      </w:r>
    </w:p>
    <w:p>
      <w:pPr>
        <w:spacing w:after="0" w:line="144" w:lineRule="exact"/>
        <w:rPr>
          <w:rFonts w:ascii="Arial" w:cs="Arial" w:eastAsia="Arial" w:hAnsi="Arial"/>
          <w:sz w:val="18"/>
          <w:szCs w:val="18"/>
          <w:color w:val="auto"/>
        </w:rPr>
      </w:pPr>
    </w:p>
    <w:p>
      <w:pPr>
        <w:ind w:left="540" w:right="660" w:hanging="424"/>
        <w:spacing w:after="0" w:line="271" w:lineRule="auto"/>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fewer than 150 persons (other than qualified investors as defined in paragraph 15 of Schedule 1 of the POATR), subject to obtaining the prior consent of the Global Co-ordinator for any such offer; or</w:t>
      </w:r>
    </w:p>
    <w:p>
      <w:pPr>
        <w:spacing w:after="0" w:line="86" w:lineRule="exact"/>
        <w:rPr>
          <w:rFonts w:ascii="Arial" w:cs="Arial" w:eastAsia="Arial" w:hAnsi="Arial"/>
          <w:sz w:val="18"/>
          <w:szCs w:val="18"/>
          <w:color w:val="auto"/>
        </w:rPr>
      </w:pPr>
    </w:p>
    <w:p>
      <w:pPr>
        <w:ind w:left="540" w:hanging="424"/>
        <w:spacing w:after="0"/>
        <w:tabs>
          <w:tab w:leader="none" w:pos="5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any other circumstances falling within Part 1 of Schedule 1 of the POATR.</w:t>
      </w:r>
    </w:p>
    <w:p>
      <w:pPr>
        <w:spacing w:after="0" w:line="144" w:lineRule="exact"/>
        <w:rPr>
          <w:sz w:val="20"/>
          <w:szCs w:val="20"/>
          <w:color w:val="auto"/>
        </w:rPr>
      </w:pPr>
    </w:p>
    <w:p>
      <w:pPr>
        <w:ind w:left="120" w:right="420"/>
        <w:spacing w:after="0" w:line="247" w:lineRule="auto"/>
        <w:rPr>
          <w:sz w:val="20"/>
          <w:szCs w:val="20"/>
          <w:color w:val="auto"/>
        </w:rPr>
      </w:pPr>
      <w:r>
        <w:rPr>
          <w:rFonts w:ascii="Arial" w:cs="Arial" w:eastAsia="Arial" w:hAnsi="Arial"/>
          <w:sz w:val="18"/>
          <w:szCs w:val="18"/>
          <w:color w:val="auto"/>
        </w:rPr>
        <w:t>For the purposes of this provision, the expression an “offer to the public” in relation to the shares of our common stock in the United Kingdom means the communication to any person which presents sufficient information on: (a) the shares of our common stock to be offered; and (b) the terms on which they are to be offered, to enable an investor to decide to buy or subscribe for the shares of our common stock and the expression “POATR” means the Public Offers and Admissions to Trading Regulations 2024.</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Hong Kong</w:t>
      </w:r>
    </w:p>
    <w:p>
      <w:pPr>
        <w:spacing w:after="0" w:line="135"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No shares of our common stock have been offered or sold, and no shares of our common stock may be offered or sold, in Hong Kong, by means of any document, other than: (i) to persons whose ordinary business is to buy or sell shares or debentures, whether as principal or agent; or (ii) to “professional investors” as defined in the Securities and Futures Ordinance (Cap. 571) of Hong Kong (the “SFO”) and any rules made under that Ordinance; or in other circumstances which do not result in the document being a “prospectus” as defined in the Companies Ordinance (Cap. 32) of Hong Kong (the “CO”) or which do not constitute an offer or invitation to the public for the purpose of the CO or the SFO. No document, invitation or advertisement relating to the shares of our common stock has been issued or may be issued or may be in the possession of any person for the purpose of issue (in each case whether in Hong Kong or elsewhere), that is directed at, or the contents of which are likely to be accessed or read by, the public of Hong Kong (except if permitted under the securities laws of Hong Kong) other than with respect to shares of our common stock that are or are intended to be disposed of only to persons outside Hong Kong or only to “professional investors” as defined in the SFO and any rules made under that Ordinance.</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accompanying prospectus have not been registered with the Registrar of Companies in Hong Kong. Accordingly, this prospectus supplement and the accompanying prospectus may not be issued, circulated or distributed in Hong Kong, and the shares of our common stock may not be offered for subscription to members of the public in Hong Kong. Each person acquiring the shares of our common stock will be required, and is deemed by the acquisition of the shares of our common stock to confirm that he is aware of the restriction on offers of the shares of our common stock described in this prospectus supplement and accompanying prospectus and that he is not acquiring, and has not been offered, any shares of our common stock in circumstances that contravene any such restrictions.</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Japan</w:t>
      </w:r>
    </w:p>
    <w:p>
      <w:pPr>
        <w:spacing w:after="0" w:line="148"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The offering has not been and will not be registered under the Financial Instruments and Exchange Law of Japan (Law No. 25 of 1948 of Japan, as amended, the “FIEL”) and the underwriters will not offer or sell any shares of our common stock, directly or indirectly, in Japan or to, or for the benefit of, any resident of Japan (the term as used herein means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Singapore</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accompanying prospectus have not been and will not be lodged or registered as a prospectus with the Monetary Authority of Singapore. Accordingly, this prospectus supplement and the accompanying prospectus and any other document or material in connection with the offer or sale, or invitation for subscription or purchase, of the shares of our common stock offered hereby may not be circulated or distributed, nor may the shares of our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S-32</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Where the shares of our common stock are subscribed or purchased under Section 275 of the SFA by a relevant person that is:</w:t>
      </w:r>
    </w:p>
    <w:p>
      <w:pPr>
        <w:spacing w:after="0" w:line="144" w:lineRule="exact"/>
        <w:rPr>
          <w:sz w:val="20"/>
          <w:szCs w:val="20"/>
          <w:color w:val="auto"/>
        </w:rPr>
      </w:pPr>
    </w:p>
    <w:p>
      <w:pPr>
        <w:ind w:left="340" w:right="440" w:hanging="224"/>
        <w:spacing w:after="0" w:line="301"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63" w:lineRule="exact"/>
        <w:rPr>
          <w:rFonts w:ascii="Arial" w:cs="Arial" w:eastAsia="Arial" w:hAnsi="Arial"/>
          <w:sz w:val="17"/>
          <w:szCs w:val="17"/>
          <w:color w:val="auto"/>
        </w:rPr>
      </w:pPr>
    </w:p>
    <w:p>
      <w:pPr>
        <w:ind w:left="340" w:right="140" w:hanging="224"/>
        <w:spacing w:after="0" w:line="24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securities pursuant to an offer made under Section 275 of the SFA except:</w:t>
      </w:r>
    </w:p>
    <w:p>
      <w:pPr>
        <w:spacing w:after="0" w:line="106"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 institutional investor or to a relevant person defined in Section 275(2) of the SFA, or to any person arising from an offer referred to in Section 275(1A) or Section 276(4)(i)(B) of the SFA;</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44" w:lineRule="exact"/>
        <w:rPr>
          <w:rFonts w:ascii="Arial" w:cs="Arial" w:eastAsia="Arial" w:hAnsi="Arial"/>
          <w:sz w:val="18"/>
          <w:szCs w:val="18"/>
          <w:color w:val="auto"/>
        </w:rPr>
      </w:pPr>
    </w:p>
    <w:p>
      <w:pPr>
        <w:ind w:left="340" w:right="520" w:hanging="224"/>
        <w:spacing w:after="0" w:line="271"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Canada</w:t>
      </w:r>
    </w:p>
    <w:p>
      <w:pPr>
        <w:spacing w:after="0" w:line="15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Resale Restrictions</w:t>
      </w:r>
    </w:p>
    <w:p>
      <w:pPr>
        <w:spacing w:after="0" w:line="1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offering of the shares of our common stock in Canada is being made only in the provinces of Ontario, Quebec, Alberta and British Columbia on a private placement basis exempt from the requirement that the we prepare and file a prospectus with the securities regulatory authorities in each province where trades of the shares of our common stock are made. Any resale of the shares of our common stock in Canada must be made under applicable securities laws which may vary depending on the relevant jurisdiction and which may require resales to be made under available statutory exemptions or under a discretionary exemption granted by the applicable Canadian securities regulatory authority. Purchasers are advised to seek legal advice prior to any resale of the shares of our common stock.</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Representations of Canadian Purchasers</w:t>
      </w:r>
    </w:p>
    <w:p>
      <w:pPr>
        <w:spacing w:after="0" w:line="129" w:lineRule="exact"/>
        <w:rPr>
          <w:sz w:val="20"/>
          <w:szCs w:val="20"/>
          <w:color w:val="auto"/>
        </w:rPr>
      </w:pPr>
    </w:p>
    <w:p>
      <w:pPr>
        <w:ind w:left="120" w:right="80"/>
        <w:spacing w:after="0" w:line="271" w:lineRule="auto"/>
        <w:rPr>
          <w:sz w:val="20"/>
          <w:szCs w:val="20"/>
          <w:color w:val="auto"/>
        </w:rPr>
      </w:pPr>
      <w:r>
        <w:rPr>
          <w:rFonts w:ascii="Arial" w:cs="Arial" w:eastAsia="Arial" w:hAnsi="Arial"/>
          <w:sz w:val="18"/>
          <w:szCs w:val="18"/>
          <w:color w:val="auto"/>
        </w:rPr>
        <w:t>By purchasing the shares of our common stock in Canada and accepting delivery of a purchase confirmation, a purchaser is representing to us and the dealer from whom the purchase confirmation is received that:</w:t>
      </w:r>
    </w:p>
    <w:p>
      <w:pPr>
        <w:spacing w:after="0" w:line="86" w:lineRule="exact"/>
        <w:rPr>
          <w:sz w:val="20"/>
          <w:szCs w:val="20"/>
          <w:color w:val="auto"/>
        </w:rPr>
      </w:pPr>
    </w:p>
    <w:p>
      <w:pPr>
        <w:ind w:left="340" w:hanging="224"/>
        <w:spacing w:after="0" w:line="253"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purchaser is entitled under applicable provincial securities laws to purchase the shares of our common stock without the benefit of a prospectus qualified under those securities laws, as it is an “accredited investor” as defined under National Instrument 45-106-Prospectus Exemptions;</w:t>
      </w:r>
    </w:p>
    <w:p>
      <w:pPr>
        <w:spacing w:after="0" w:line="101" w:lineRule="exact"/>
        <w:rPr>
          <w:rFonts w:ascii="Arial" w:cs="Arial" w:eastAsia="Arial" w:hAnsi="Arial"/>
          <w:sz w:val="18"/>
          <w:szCs w:val="18"/>
          <w:color w:val="auto"/>
        </w:rPr>
      </w:pPr>
    </w:p>
    <w:p>
      <w:pPr>
        <w:ind w:left="340" w:right="20" w:hanging="224"/>
        <w:spacing w:after="0" w:line="271"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purchaser is a “permitted client” as defined under National Instrument 31-103-Registration Requirements, Exemptions and Ongoing Registrant Obligations;</w:t>
      </w:r>
    </w:p>
    <w:p>
      <w:pPr>
        <w:spacing w:after="0" w:line="86"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where required by law, the purchaser is purchasing as principal and not as agent; and</w:t>
      </w:r>
    </w:p>
    <w:p>
      <w:pPr>
        <w:spacing w:after="0" w:line="144" w:lineRule="exact"/>
        <w:rPr>
          <w:rFonts w:ascii="Arial" w:cs="Arial" w:eastAsia="Arial" w:hAnsi="Arial"/>
          <w:sz w:val="18"/>
          <w:szCs w:val="18"/>
          <w:color w:val="auto"/>
        </w:rPr>
      </w:pPr>
    </w:p>
    <w:p>
      <w:pPr>
        <w:ind w:left="340" w:hanging="224"/>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purchaser has reviewed the text above under “Resale Restrictions.”</w:t>
      </w:r>
    </w:p>
    <w:p>
      <w:pPr>
        <w:spacing w:after="0" w:line="14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S-33</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Conflicts of Interest</w:t>
      </w:r>
    </w:p>
    <w:p>
      <w:pPr>
        <w:spacing w:after="0" w:line="129" w:lineRule="exact"/>
        <w:rPr>
          <w:sz w:val="20"/>
          <w:szCs w:val="20"/>
          <w:color w:val="auto"/>
        </w:rPr>
      </w:pPr>
    </w:p>
    <w:p>
      <w:pPr>
        <w:ind w:left="120" w:right="300"/>
        <w:spacing w:after="0" w:line="271" w:lineRule="auto"/>
        <w:rPr>
          <w:sz w:val="20"/>
          <w:szCs w:val="20"/>
          <w:color w:val="auto"/>
        </w:rPr>
      </w:pPr>
      <w:r>
        <w:rPr>
          <w:rFonts w:ascii="Arial" w:cs="Arial" w:eastAsia="Arial" w:hAnsi="Arial"/>
          <w:sz w:val="18"/>
          <w:szCs w:val="18"/>
          <w:color w:val="auto"/>
        </w:rPr>
        <w:t>Canadian purchasers are hereby notified that the underwriters relying on the exemption set out in section 3A.3 or 3A.4, if applicable, of National Instrument 33-105-</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to not provide certain conflict of interest disclosures in this document.</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Statutory Rights of Action</w:t>
      </w:r>
    </w:p>
    <w:p>
      <w:pPr>
        <w:spacing w:after="0" w:line="129"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the offering memorandum (including any amendment thereto) such as this document contains a misrepresentation, provided that the remedies for rescission or damages are exercised by the purchaser within the time limit prescribed by the securities legislation of the purchaser’s province or territory. The purchaser of these shares of our common stock in Canada should refer to any applicable provisions of the securities legislation of the purchaser’s province or territory for particulars of these rights or consult with a legal advisor.</w:t>
      </w:r>
    </w:p>
    <w:p>
      <w:pPr>
        <w:spacing w:after="0" w:line="25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Enforcement of Legal Rights</w:t>
      </w:r>
    </w:p>
    <w:p>
      <w:pPr>
        <w:spacing w:after="0" w:line="129" w:lineRule="exact"/>
        <w:rPr>
          <w:sz w:val="20"/>
          <w:szCs w:val="20"/>
          <w:color w:val="auto"/>
        </w:rPr>
      </w:pPr>
    </w:p>
    <w:p>
      <w:pPr>
        <w:ind w:left="120" w:right="180"/>
        <w:spacing w:after="0" w:line="244" w:lineRule="auto"/>
        <w:rPr>
          <w:sz w:val="20"/>
          <w:szCs w:val="20"/>
          <w:color w:val="auto"/>
        </w:rPr>
      </w:pPr>
      <w:r>
        <w:rPr>
          <w:rFonts w:ascii="Arial" w:cs="Arial" w:eastAsia="Arial" w:hAnsi="Arial"/>
          <w:sz w:val="18"/>
          <w:szCs w:val="18"/>
          <w:color w:val="auto"/>
        </w:rPr>
        <w:t>All of our directors and officers as well as the experts named herein may be located outside of Canada, and, as a result, it may not be possible for Canadian purchasers to effect service of process within Canada upon us or those persons. All or a substantial portion of our assets, and the assets of those persons may be located outside of Canada, and, as a result, it may not be possible to satisfy a judgment against us or those persons in Canada or to enforce a judgment obtained in Canadian courts against us or those persons outside of Canada.</w:t>
      </w:r>
    </w:p>
    <w:p>
      <w:pPr>
        <w:spacing w:after="0" w:line="24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Taxation and Eligibility for Investment</w:t>
      </w:r>
    </w:p>
    <w:p>
      <w:pPr>
        <w:spacing w:after="0" w:line="142" w:lineRule="exact"/>
        <w:rPr>
          <w:sz w:val="20"/>
          <w:szCs w:val="20"/>
          <w:color w:val="auto"/>
        </w:rPr>
      </w:pPr>
    </w:p>
    <w:p>
      <w:pPr>
        <w:ind w:left="120" w:right="120"/>
        <w:spacing w:after="0" w:line="253" w:lineRule="auto"/>
        <w:rPr>
          <w:sz w:val="20"/>
          <w:szCs w:val="20"/>
          <w:color w:val="auto"/>
        </w:rPr>
      </w:pPr>
      <w:r>
        <w:rPr>
          <w:rFonts w:ascii="Arial" w:cs="Arial" w:eastAsia="Arial" w:hAnsi="Arial"/>
          <w:sz w:val="18"/>
          <w:szCs w:val="18"/>
          <w:color w:val="auto"/>
        </w:rPr>
        <w:t>Canadian purchasers of the shares of our common stock should consult their own legal and tax advisors with respect to the tax consequences of an investment in the shares of our common stock in their particular circumstances and about the eligibility of the shares of our common stock for investment by the purchaser under relevant Canadian legislation.</w:t>
      </w:r>
    </w:p>
    <w:p>
      <w:pPr>
        <w:spacing w:after="0" w:line="22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Australia</w:t>
      </w:r>
    </w:p>
    <w:p>
      <w:pPr>
        <w:spacing w:after="0" w:line="148"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This prospectus supplement and the accompanying prospectus is not a disclosure document for the purposes of Australia’s Corporations Act 2001 (Cth) of Australia (the “Corporations Act”), has not been lodged with the Australian Securities and Investments Commission and is only directed to the categories of exempt persons set out below. Accordingly, if you receive this prospectus supplement and the accompanying prospectus in Australia, you confirm and warrant that you are either:</w:t>
      </w:r>
    </w:p>
    <w:p>
      <w:pPr>
        <w:spacing w:after="0" w:line="106" w:lineRule="exact"/>
        <w:rPr>
          <w:sz w:val="20"/>
          <w:szCs w:val="20"/>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“sophisticated investor” under Section 708(8)(a) or (b) of the Corporations Act;</w:t>
      </w:r>
    </w:p>
    <w:p>
      <w:pPr>
        <w:spacing w:after="0" w:line="144" w:lineRule="exact"/>
        <w:rPr>
          <w:rFonts w:ascii="Arial" w:cs="Arial" w:eastAsia="Arial" w:hAnsi="Arial"/>
          <w:sz w:val="18"/>
          <w:szCs w:val="18"/>
          <w:color w:val="auto"/>
        </w:rPr>
      </w:pPr>
    </w:p>
    <w:p>
      <w:pPr>
        <w:ind w:left="340" w:right="60" w:hanging="224"/>
        <w:spacing w:after="0" w:line="25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“sophisticated investor” under Section 708(8)(c) or (d) of the Corporations Act and that you have provided an accountant’s certificate to the Company that complies with the requirements of Section 708(8)(c)(i) or (ii) of the Corporations Act and related regulations before the offer has been made;</w:t>
      </w:r>
    </w:p>
    <w:p>
      <w:pPr>
        <w:spacing w:after="0" w:line="101" w:lineRule="exact"/>
        <w:rPr>
          <w:rFonts w:ascii="Arial" w:cs="Arial" w:eastAsia="Arial" w:hAnsi="Arial"/>
          <w:sz w:val="18"/>
          <w:szCs w:val="18"/>
          <w:color w:val="auto"/>
        </w:rPr>
      </w:pPr>
    </w:p>
    <w:p>
      <w:pPr>
        <w:ind w:left="340" w:hanging="224"/>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person associated with the Company under Section 708(12) of the Corporations Act; or</w:t>
      </w:r>
    </w:p>
    <w:p>
      <w:pPr>
        <w:spacing w:after="0" w:line="144" w:lineRule="exact"/>
        <w:rPr>
          <w:rFonts w:ascii="Arial" w:cs="Arial" w:eastAsia="Arial" w:hAnsi="Arial"/>
          <w:sz w:val="18"/>
          <w:szCs w:val="18"/>
          <w:color w:val="auto"/>
        </w:rPr>
      </w:pPr>
    </w:p>
    <w:p>
      <w:pPr>
        <w:jc w:val="both"/>
        <w:ind w:left="340" w:hanging="224"/>
        <w:spacing w:after="0" w:line="253"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“professional investor” under Section 708(11)(a) or (b) of the Corporations Act. To the extent that you are unable to confirm or warrant that you are an exempt sophisticated investor, associated person or professional investor under the Corporations Act, any offer made to you under this prospectus supplement and the accompanying prospectus is void and incapable of acceptance.</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80"/>
        <w:spacing w:after="0" w:line="275" w:lineRule="auto"/>
        <w:rPr>
          <w:sz w:val="20"/>
          <w:szCs w:val="20"/>
          <w:color w:val="auto"/>
        </w:rPr>
      </w:pPr>
      <w:r>
        <w:rPr>
          <w:rFonts w:ascii="Arial" w:cs="Arial" w:eastAsia="Arial" w:hAnsi="Arial"/>
          <w:sz w:val="17"/>
          <w:szCs w:val="17"/>
          <w:color w:val="auto"/>
        </w:rPr>
        <w:t>Further, you warrant and agree that you will not offer any of the shares of our common stock issued to you pursuant to this prospectus supplement and the accompanying prospectus for resale in Australia within 12 months of those shares of our common stock being issued unless any such resale offer is exempt from the requirement to issue a disclosure document under Section 708 of the Corporations Act.</w:t>
      </w:r>
    </w:p>
    <w:p>
      <w:pPr>
        <w:spacing w:after="0" w:line="20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Israel</w:t>
      </w:r>
    </w:p>
    <w:p>
      <w:pPr>
        <w:spacing w:after="0" w:line="148" w:lineRule="exact"/>
        <w:rPr>
          <w:sz w:val="20"/>
          <w:szCs w:val="20"/>
          <w:color w:val="auto"/>
        </w:rPr>
      </w:pPr>
    </w:p>
    <w:p>
      <w:pPr>
        <w:ind w:left="120" w:right="80"/>
        <w:spacing w:after="0" w:line="239" w:lineRule="auto"/>
        <w:rPr>
          <w:sz w:val="20"/>
          <w:szCs w:val="20"/>
          <w:color w:val="auto"/>
        </w:rPr>
      </w:pPr>
      <w:r>
        <w:rPr>
          <w:rFonts w:ascii="Arial" w:cs="Arial" w:eastAsia="Arial" w:hAnsi="Arial"/>
          <w:sz w:val="18"/>
          <w:szCs w:val="18"/>
          <w:color w:val="auto"/>
        </w:rPr>
        <w:t>This document does not constitute a prospectus under the Israeli Securities Law, 5728-1968 (the “Israeli Securities Law”), and has not been filed with or approved by the Israel Securities Authority. In Israel, this prospectus supplement and the accompanying prospectus is being distributed only to, and is directed only at, and any offer of the shares of our common stock offered hereby is directed only at: (i) a limited number of persons in accordance with the Israeli Securities Law; and (ii) investors listed in the first addendum to the Israeli Securities Law, as it may be amended from time to time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collectively referred to as qualified investors (in each case, purchasing for their own account or, where permitted under the Addendum, for the accounts of their clients who are investors listed in the Addendum). Qualified investors are required to submit written confirmation that they fall within the scope of the Addendum, are aware of the meaning of the Addendum and agree to it.</w:t>
      </w:r>
    </w:p>
    <w:p>
      <w:pPr>
        <w:spacing w:after="0" w:line="23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Switzerland</w:t>
      </w:r>
    </w:p>
    <w:p>
      <w:pPr>
        <w:spacing w:after="0" w:line="148" w:lineRule="exact"/>
        <w:rPr>
          <w:sz w:val="20"/>
          <w:szCs w:val="20"/>
          <w:color w:val="auto"/>
        </w:rPr>
      </w:pPr>
    </w:p>
    <w:p>
      <w:pPr>
        <w:ind w:left="120" w:right="20"/>
        <w:spacing w:after="0"/>
        <w:rPr>
          <w:sz w:val="20"/>
          <w:szCs w:val="20"/>
          <w:color w:val="auto"/>
        </w:rPr>
      </w:pPr>
      <w:r>
        <w:rPr>
          <w:rFonts w:ascii="Arial" w:cs="Arial" w:eastAsia="Arial" w:hAnsi="Arial"/>
          <w:sz w:val="18"/>
          <w:szCs w:val="18"/>
          <w:color w:val="auto"/>
        </w:rPr>
        <w:t>The shares of our common stock may not be publicly offered in Switzerland and will not be listed on the SIX Swiss Exchange (“SIX”) or on any other stock exchange or regulated trading facility in Switzerland. This prospectus supplement and the accompanying prospectus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prospectus supplement and the accompanying prospectus, nor any other offering or marketing material relating to the shares of our common stock or the offering, may be publicly distributed or otherwise made publicly available in Switzerland.</w:t>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Neither this prospectus supplement and the accompanying prospectus, nor any other offering or marketing material relating to the offering, the Company or the shares of our common stock offered hereby, have been or will be filed with or approved by any Swiss regulatory authority. In particular, this prospectus supplement and the accompanying prospectus will not be filed with, and the offer of shares of our common stock will not be supervised by, the Swiss Financial Market Supervisory Authority FINMA, and the offer of shares of our common stock has not been and will not be authorized under the Swiss Federal Act on Collective Investment Schemes (the “CISA”). The investor protection afforded to acquirers of interests in collective investment schemes under the CISA does not extend to acquirers of the shares of our common stock offered hereby.</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United Arab Emirates</w:t>
      </w:r>
    </w:p>
    <w:p>
      <w:pPr>
        <w:spacing w:after="0" w:line="148" w:lineRule="exact"/>
        <w:rPr>
          <w:sz w:val="20"/>
          <w:szCs w:val="20"/>
          <w:color w:val="auto"/>
        </w:rPr>
      </w:pPr>
    </w:p>
    <w:p>
      <w:pPr>
        <w:ind w:left="120" w:right="140"/>
        <w:spacing w:after="0" w:line="247" w:lineRule="auto"/>
        <w:rPr>
          <w:sz w:val="20"/>
          <w:szCs w:val="20"/>
          <w:color w:val="auto"/>
        </w:rPr>
      </w:pPr>
      <w:r>
        <w:rPr>
          <w:rFonts w:ascii="Arial" w:cs="Arial" w:eastAsia="Arial" w:hAnsi="Arial"/>
          <w:sz w:val="18"/>
          <w:szCs w:val="18"/>
          <w:color w:val="auto"/>
        </w:rPr>
        <w:t>The shares of our common stock have not been, and are not being, publicly offered, sold, promoted or advertised in the United Arab Emirates (including the Dubai International Financial Centre (“DIFC”)) other than in compliance with the laws of the United Arab Emirates (and the DIFC) governing the issue, offering and sale of shares of our common stock. Further, this prospectus supplement and the accompanying prospectus do not</w:t>
      </w:r>
    </w:p>
    <w:p>
      <w:pPr>
        <w:spacing w:after="0" w:line="10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7" w:lineRule="auto"/>
        <w:rPr>
          <w:sz w:val="20"/>
          <w:szCs w:val="20"/>
          <w:color w:val="auto"/>
        </w:rPr>
      </w:pPr>
      <w:r>
        <w:rPr>
          <w:rFonts w:ascii="Arial" w:cs="Arial" w:eastAsia="Arial" w:hAnsi="Arial"/>
          <w:sz w:val="18"/>
          <w:szCs w:val="18"/>
          <w:color w:val="auto"/>
        </w:rPr>
        <w:t>constitute a public offer of shares of our common stock in the United Arab Emirates (including the DIFC) and is not intended to be a public offer. This prospectus supplement and the accompanying prospectus have not been approved by or filed with the Central Bank of the United Arab Emirates, the Securities and Commodities Authority, Financial Services Regulatory Authority or the Dubai Financial Services Authority.</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Saudi Arabia</w:t>
      </w:r>
    </w:p>
    <w:p>
      <w:pPr>
        <w:spacing w:after="0" w:line="148" w:lineRule="exact"/>
        <w:rPr>
          <w:sz w:val="20"/>
          <w:szCs w:val="20"/>
          <w:color w:val="auto"/>
        </w:rPr>
      </w:pPr>
    </w:p>
    <w:p>
      <w:pPr>
        <w:ind w:left="120" w:right="80"/>
        <w:spacing w:after="0"/>
        <w:rPr>
          <w:sz w:val="20"/>
          <w:szCs w:val="20"/>
          <w:color w:val="auto"/>
        </w:rPr>
      </w:pPr>
      <w:r>
        <w:rPr>
          <w:rFonts w:ascii="Arial" w:cs="Arial" w:eastAsia="Arial" w:hAnsi="Arial"/>
          <w:sz w:val="18"/>
          <w:szCs w:val="18"/>
          <w:color w:val="auto"/>
        </w:rPr>
        <w:t>This document may not be distributed in the Kingdom of Saudi Arabia except to such persons as are permitted under the Rules on the Offer of Securities and Continuing Obligations Regulations as issued by the board of the Saudi Arabian Capital Market Authority (“CMA”), pursuant to resolution number 3-123-2017 dated 27 December 2017, as amended. The CMA does not make any representation as to the accuracy or completeness of this document and expressly disclaims any liability whatsoever for any loss arising from, or incurred in reliance upon, any part of this document. Prospective purchasers of the shares of our common stock offered hereby should conduct their own due diligence on the accuracy of the information relating to the shares of our common stock. If you do not understand the contents of this document, you should consult an authorized financial adviser.</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Bermuda</w:t>
      </w:r>
    </w:p>
    <w:p>
      <w:pPr>
        <w:spacing w:after="0" w:line="148"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The shares of our common stock may be offered or sold in Bermuda only in compliance with the provisions of the Investment Business Act of 2003 of Bermuda which regulates the sale of shares of our common stock in Bermuda. Additionally, non-Bermudian persons (including companies) may not carry on or engage in any trade or business in Bermuda unless such persons are permitted to do so under applicable Bermuda legislation.</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British Virgin Islands</w:t>
      </w:r>
    </w:p>
    <w:p>
      <w:pPr>
        <w:spacing w:after="0" w:line="135" w:lineRule="exact"/>
        <w:rPr>
          <w:sz w:val="20"/>
          <w:szCs w:val="20"/>
          <w:color w:val="auto"/>
        </w:rPr>
      </w:pPr>
    </w:p>
    <w:p>
      <w:pPr>
        <w:ind w:left="120" w:right="120"/>
        <w:spacing w:after="0" w:line="247" w:lineRule="auto"/>
        <w:rPr>
          <w:sz w:val="20"/>
          <w:szCs w:val="20"/>
          <w:color w:val="auto"/>
        </w:rPr>
      </w:pPr>
      <w:r>
        <w:rPr>
          <w:rFonts w:ascii="Arial" w:cs="Arial" w:eastAsia="Arial" w:hAnsi="Arial"/>
          <w:sz w:val="18"/>
          <w:szCs w:val="18"/>
          <w:color w:val="auto"/>
        </w:rPr>
        <w:t>The shares of our common stock are not being, and may not be offered, to the public or to any person in the British Virgin Islands for purchase or subscription by or on behalf of the Issuer. The shares of our common stock may be offered to companies incorporated under the BVI Business Companies Act, 2004 (British Virgin Islands) (“BVI Companies”), but only where the offer will be made to, and received by, the relevant BVI Company entirely outside of the British Virgin Islands.</w:t>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Cayman Islands</w:t>
      </w:r>
    </w:p>
    <w:p>
      <w:pPr>
        <w:spacing w:after="0" w:line="135" w:lineRule="exact"/>
        <w:rPr>
          <w:sz w:val="20"/>
          <w:szCs w:val="20"/>
          <w:color w:val="auto"/>
        </w:rPr>
      </w:pPr>
    </w:p>
    <w:p>
      <w:pPr>
        <w:ind w:left="120" w:right="320"/>
        <w:spacing w:after="0" w:line="271" w:lineRule="auto"/>
        <w:rPr>
          <w:sz w:val="20"/>
          <w:szCs w:val="20"/>
          <w:color w:val="auto"/>
        </w:rPr>
      </w:pPr>
      <w:r>
        <w:rPr>
          <w:rFonts w:ascii="Arial" w:cs="Arial" w:eastAsia="Arial" w:hAnsi="Arial"/>
          <w:sz w:val="18"/>
          <w:szCs w:val="18"/>
          <w:color w:val="auto"/>
        </w:rPr>
        <w:t>No invitation whether directly or indirectly may be made to the public in the Cayman Islands to subscribe for the shares of our common stock and no such invitation is made hereby.</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China</w:t>
      </w:r>
    </w:p>
    <w:p>
      <w:pPr>
        <w:spacing w:after="0" w:line="135" w:lineRule="exact"/>
        <w:rPr>
          <w:sz w:val="20"/>
          <w:szCs w:val="20"/>
          <w:color w:val="auto"/>
        </w:rPr>
      </w:pPr>
    </w:p>
    <w:p>
      <w:pPr>
        <w:ind w:left="120" w:right="20"/>
        <w:spacing w:after="0" w:line="244" w:lineRule="auto"/>
        <w:rPr>
          <w:sz w:val="20"/>
          <w:szCs w:val="20"/>
          <w:color w:val="auto"/>
        </w:rPr>
      </w:pPr>
      <w:r>
        <w:rPr>
          <w:rFonts w:ascii="Arial" w:cs="Arial" w:eastAsia="Arial" w:hAnsi="Arial"/>
          <w:sz w:val="18"/>
          <w:szCs w:val="18"/>
          <w:color w:val="auto"/>
        </w:rPr>
        <w:t>This prospectus supplement will not be circulated or distributed in the PRC and the shares of our common stock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spacing w:after="0" w:line="248"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the Dubai International Financial Centre (“DIFC”)</w:t>
      </w:r>
    </w:p>
    <w:p>
      <w:pPr>
        <w:spacing w:after="0" w:line="135"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This prospectus supplement relates to an Exempt Offer in accordance with the Markets Law, DIFC Law No. 1 of 2012, as amended. This prospectus supplement is intended for distribution only to persons of a type specified in the Markets Law, DIFC Law No. 1 of 2012, as amended. It must not be delivered to, or relied on by, any other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60"/>
        <w:spacing w:after="0" w:line="242" w:lineRule="auto"/>
        <w:rPr>
          <w:sz w:val="20"/>
          <w:szCs w:val="20"/>
          <w:color w:val="auto"/>
        </w:rPr>
      </w:pPr>
      <w:r>
        <w:rPr>
          <w:rFonts w:ascii="Arial" w:cs="Arial" w:eastAsia="Arial" w:hAnsi="Arial"/>
          <w:sz w:val="18"/>
          <w:szCs w:val="18"/>
          <w:color w:val="auto"/>
        </w:rPr>
        <w:t>person. The Dubai Financial Services Authority (“DFSA”) has no responsibility for reviewing or verifying any documents in connection with Exempt Offers. The DFSA has not approved this prospectus supplement nor taken steps to verify the information set forth herein and has no responsibility for this document. The shares of our common stock to which this document relates may be illiquid and/or subject to restrictions on their resale. Prospective purchasers of the shares of our common stock offered should conduct their own due diligence on the shares of our common stock. If you do not understand the contents of this document you should consult an authorized financial advisor.</w:t>
      </w:r>
    </w:p>
    <w:p>
      <w:pPr>
        <w:spacing w:after="0" w:line="98" w:lineRule="exact"/>
        <w:rPr>
          <w:sz w:val="20"/>
          <w:szCs w:val="20"/>
          <w:color w:val="auto"/>
        </w:rPr>
      </w:pPr>
    </w:p>
    <w:p>
      <w:pPr>
        <w:jc w:val="both"/>
        <w:ind w:left="120" w:right="180"/>
        <w:spacing w:after="0" w:line="253" w:lineRule="auto"/>
        <w:rPr>
          <w:sz w:val="20"/>
          <w:szCs w:val="20"/>
          <w:color w:val="auto"/>
        </w:rPr>
      </w:pPr>
      <w:r>
        <w:rPr>
          <w:rFonts w:ascii="Arial" w:cs="Arial" w:eastAsia="Arial" w:hAnsi="Arial"/>
          <w:sz w:val="18"/>
          <w:szCs w:val="18"/>
          <w:color w:val="auto"/>
        </w:rPr>
        <w:t>In relation to its use in the DIFC, this document is strictly private and confidential and is being distributed to a limited number of investors and must not be provided to any person other than the original recipient, and may not be reproduced or used for any other purpose. The interests in the shares of our common stock may not be offered or sold directly or indirectly to the public in the DIFC.</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Korea</w:t>
      </w:r>
    </w:p>
    <w:p>
      <w:pPr>
        <w:spacing w:after="0" w:line="135" w:lineRule="exact"/>
        <w:rPr>
          <w:sz w:val="20"/>
          <w:szCs w:val="20"/>
          <w:color w:val="auto"/>
        </w:rPr>
      </w:pPr>
    </w:p>
    <w:p>
      <w:pPr>
        <w:ind w:left="120"/>
        <w:spacing w:after="0" w:line="238" w:lineRule="auto"/>
        <w:rPr>
          <w:sz w:val="20"/>
          <w:szCs w:val="20"/>
          <w:color w:val="auto"/>
        </w:rPr>
      </w:pPr>
      <w:r>
        <w:rPr>
          <w:rFonts w:ascii="Arial" w:cs="Arial" w:eastAsia="Arial" w:hAnsi="Arial"/>
          <w:sz w:val="18"/>
          <w:szCs w:val="18"/>
          <w:color w:val="auto"/>
        </w:rPr>
        <w:t>The shares of our common stock have not been and will not be registered under the Financial Investments Services and Capital Markets Act of Korea and the decrees and regulations thereunder (the “FSCMA”), and the shares of our common stock have been and will be offered in Korea as a private placement under the FSCMA. None of the shares of our common stock may be offered, sold or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The shares of our common stock have not been listed on any of securities exchanges in the world including, without limitation, the Korea Exchange in Korea. Furthermore, the purchaser of the shares of our common stock shall comply with all applicable regulatory requirements (including but not limited to requirements under the FETL) in connection with the purchase of the shares of our common stock. By the purchase of the shares of our common stock, the relevant holder thereof will be deemed to represent and warrant that if it is in Korea or is a resident of Korea, it purchased the shares of our common stock pursuant to the applicable laws and regulations of Korea.</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Malaysia</w:t>
      </w:r>
    </w:p>
    <w:p>
      <w:pPr>
        <w:spacing w:after="0" w:line="135" w:lineRule="exact"/>
        <w:rPr>
          <w:sz w:val="20"/>
          <w:szCs w:val="20"/>
          <w:color w:val="auto"/>
        </w:rPr>
      </w:pPr>
    </w:p>
    <w:p>
      <w:pPr>
        <w:ind w:left="120" w:right="20"/>
        <w:spacing w:after="0" w:line="236" w:lineRule="auto"/>
        <w:rPr>
          <w:sz w:val="20"/>
          <w:szCs w:val="20"/>
          <w:color w:val="auto"/>
        </w:rPr>
      </w:pPr>
      <w:r>
        <w:rPr>
          <w:rFonts w:ascii="Arial" w:cs="Arial" w:eastAsia="Arial" w:hAnsi="Arial"/>
          <w:sz w:val="18"/>
          <w:szCs w:val="18"/>
          <w:color w:val="auto"/>
        </w:rPr>
        <w:t>No prospectus or other offering material or document in connection with the offer and sale of the shares of our common stock has been or will be registered with the Securities Commission of Malaysia (“Commission”) for the Commission’s approval pursuant to the Capital Markets and Services Act 2007. Accordingly, this prospectus supplement and any other document or material in connection with the offer or sale, or invitation for subscription or purchase, of the shares of our common stock may not be circulated or distributed, nor may the shares of our common stock be offered or sold, or be made the subject of an invitation for subscription or purchase, whether directly or indirectly, to persons in Malaysia other than (i) a closed end fund approved by the Commission; (ii) a holder of a Capital Markets Services Licence; (iii) a person who acquires the shares of our common stock, as principal, if the offer is on terms that the securities may only be acquired at a consideration of not less than RM250,000 (or its equivalent in foreign currencies) for each transaction; (iv) an individual whose total net personal assets or total net joint assets with his or her spouse exceeds RM3 million (or its equivalent in foreign currencies), excluding the value of the primary residence of the individual; (v) an individual who has a gross annual income exceeding RM300,000 (or its equivalent in foreign currencies) per annum in the preceding twelve months; (vi) an individual who, jointly with his or her spouse, has a gross annual income of RM400,000 (or its equivalent in foreign currencies), per annum in the preceding twelve months;</w:t>
      </w:r>
    </w:p>
    <w:p>
      <w:pPr>
        <w:spacing w:after="0" w:line="6" w:lineRule="exact"/>
        <w:rPr>
          <w:sz w:val="20"/>
          <w:szCs w:val="20"/>
          <w:color w:val="auto"/>
        </w:rPr>
      </w:pPr>
    </w:p>
    <w:p>
      <w:pPr>
        <w:ind w:left="120" w:right="200" w:hanging="4"/>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with total net assets exceeding RM10 million (or its equivalent in a foreign currencies) based on the last audited accounts; (viii) a partnership with total net assets exceeding RM10 million (or its equivalent in foreign currencies); (ix) a bank licensee or insurance licensee as defined in the Labuan Financial Services and Securities Act 2010; (x) an Islamic bank licensee or takaful licensee as defined in the</w:t>
      </w:r>
    </w:p>
    <w:p>
      <w:pPr>
        <w:spacing w:after="0" w:line="11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S-37</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20"/>
        <w:spacing w:after="0" w:line="242" w:lineRule="auto"/>
        <w:rPr>
          <w:sz w:val="20"/>
          <w:szCs w:val="20"/>
          <w:color w:val="auto"/>
        </w:rPr>
      </w:pPr>
      <w:r>
        <w:rPr>
          <w:rFonts w:ascii="Arial" w:cs="Arial" w:eastAsia="Arial" w:hAnsi="Arial"/>
          <w:sz w:val="18"/>
          <w:szCs w:val="18"/>
          <w:color w:val="auto"/>
        </w:rPr>
        <w:t>Labuan Financial Services and Securities Act 2010; and (xi) any other person as may be specified by the Commission; provided that, in the each of the preceding categories (i) to (xi), the distribution of the shares of our common stock is made by a holder of a Capital Markets Services Licence who carries on the business of dealing in shares of our common stock. The distribution in Malaysia of this prospectus supplement is subject to Malaysian laws. This prospectus supplement does not constitute and may not be used for the purpose of public offering or an issue, offer for subscription or purchase, invitation to subscribe for or purchase any shares of our common stock requiring the registration of a prospectus with the Commission under the Capital Markets and Services Act 2007.</w:t>
      </w:r>
    </w:p>
    <w:p>
      <w:pPr>
        <w:spacing w:after="0" w:line="237"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South Africa</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Due to restrictions under the securities laws of South Africa, no “offer to the public” (as such term is defined in the South African Companies Act, No. 71 of 2008 (as amended or re-enacted) (the “South African Companies Act”)) is being made in connection with the issue of the shares of our common stock in South Africa. Accordingly, this document does not, nor is it intended to, constitute a “registered prospectus” (as that term is defined in the South African Companies Act) prepared and registered under the South African Companies Act and has not been approved by, and/or filed with, the South African Companies and Intellectual Property Commission or any other regulatory authority in South Africa. The shares of our common stock are not offered, and the offer shall not be transferred, sold, renounced or delivered, in South Africa or to a person with an address in South Africa, unless one or other of the following exemptions stipulated in section 96 (1) applies:</w:t>
      </w:r>
    </w:p>
    <w:p>
      <w:pPr>
        <w:spacing w:after="0" w:line="113" w:lineRule="exact"/>
        <w:rPr>
          <w:sz w:val="20"/>
          <w:szCs w:val="20"/>
          <w:color w:val="auto"/>
        </w:rPr>
      </w:pPr>
    </w:p>
    <w:p>
      <w:pPr>
        <w:ind w:left="540" w:hanging="424"/>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offer, transfer, sale, renunciation or delivery is to:</w:t>
      </w:r>
    </w:p>
    <w:p>
      <w:pPr>
        <w:spacing w:after="0" w:line="130" w:lineRule="exact"/>
        <w:rPr>
          <w:rFonts w:ascii="Arial" w:cs="Arial" w:eastAsia="Arial" w:hAnsi="Arial"/>
          <w:sz w:val="18"/>
          <w:szCs w:val="18"/>
          <w:color w:val="auto"/>
        </w:rPr>
      </w:pPr>
    </w:p>
    <w:p>
      <w:pPr>
        <w:ind w:left="560" w:right="280" w:hanging="4"/>
        <w:spacing w:after="0" w:line="271" w:lineRule="auto"/>
        <w:tabs>
          <w:tab w:leader="none" w:pos="77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persons whose ordinary business, or part of whose ordinary business, is to deal in shares of our common stock, as principal or agent;</w:t>
      </w:r>
    </w:p>
    <w:p>
      <w:pPr>
        <w:spacing w:after="0" w:line="86" w:lineRule="exact"/>
        <w:rPr>
          <w:rFonts w:ascii="Arial" w:cs="Arial" w:eastAsia="Arial" w:hAnsi="Arial"/>
          <w:sz w:val="18"/>
          <w:szCs w:val="18"/>
          <w:color w:val="auto"/>
        </w:rPr>
      </w:pPr>
    </w:p>
    <w:p>
      <w:pPr>
        <w:ind w:left="800" w:hanging="244"/>
        <w:spacing w:after="0"/>
        <w:tabs>
          <w:tab w:leader="none" w:pos="8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the South African Public Investment Corporation;</w:t>
      </w:r>
    </w:p>
    <w:p>
      <w:pPr>
        <w:spacing w:after="0" w:line="130" w:lineRule="exact"/>
        <w:rPr>
          <w:rFonts w:ascii="Arial" w:cs="Arial" w:eastAsia="Arial" w:hAnsi="Arial"/>
          <w:sz w:val="18"/>
          <w:szCs w:val="18"/>
          <w:color w:val="auto"/>
        </w:rPr>
      </w:pPr>
    </w:p>
    <w:p>
      <w:pPr>
        <w:ind w:left="840" w:hanging="284"/>
        <w:spacing w:after="0"/>
        <w:tabs>
          <w:tab w:leader="none" w:pos="840" w:val="left"/>
        </w:tabs>
        <w:numPr>
          <w:ilvl w:val="1"/>
          <w:numId w:val="20"/>
        </w:numPr>
        <w:rPr>
          <w:rFonts w:ascii="Arial" w:cs="Arial" w:eastAsia="Arial" w:hAnsi="Arial"/>
          <w:sz w:val="18"/>
          <w:szCs w:val="18"/>
          <w:color w:val="auto"/>
        </w:rPr>
      </w:pPr>
      <w:r>
        <w:rPr>
          <w:rFonts w:ascii="Arial" w:cs="Arial" w:eastAsia="Arial" w:hAnsi="Arial"/>
          <w:sz w:val="18"/>
          <w:szCs w:val="18"/>
          <w:color w:val="auto"/>
        </w:rPr>
        <w:t>persons or entities regulated by the Reserve Bank of South Africa;</w:t>
      </w:r>
    </w:p>
    <w:p>
      <w:pPr>
        <w:spacing w:after="0" w:line="144" w:lineRule="exact"/>
        <w:rPr>
          <w:rFonts w:ascii="Arial" w:cs="Arial" w:eastAsia="Arial" w:hAnsi="Arial"/>
          <w:sz w:val="18"/>
          <w:szCs w:val="18"/>
          <w:color w:val="auto"/>
        </w:rPr>
      </w:pPr>
    </w:p>
    <w:p>
      <w:pPr>
        <w:ind w:left="860" w:hanging="304"/>
        <w:spacing w:after="0"/>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authorised financial service providers under South African law;</w:t>
      </w:r>
    </w:p>
    <w:p>
      <w:pPr>
        <w:spacing w:after="0" w:line="144" w:lineRule="exact"/>
        <w:rPr>
          <w:rFonts w:ascii="Arial" w:cs="Arial" w:eastAsia="Arial" w:hAnsi="Arial"/>
          <w:sz w:val="18"/>
          <w:szCs w:val="18"/>
          <w:color w:val="auto"/>
        </w:rPr>
      </w:pPr>
    </w:p>
    <w:p>
      <w:pPr>
        <w:ind w:left="820" w:hanging="264"/>
        <w:spacing w:after="0"/>
        <w:tabs>
          <w:tab w:leader="none" w:pos="8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financial institutions recognised as such under South African law;</w:t>
      </w:r>
    </w:p>
    <w:p>
      <w:pPr>
        <w:spacing w:after="0" w:line="130" w:lineRule="exact"/>
        <w:rPr>
          <w:rFonts w:ascii="Arial" w:cs="Arial" w:eastAsia="Arial" w:hAnsi="Arial"/>
          <w:sz w:val="18"/>
          <w:szCs w:val="18"/>
          <w:color w:val="auto"/>
        </w:rPr>
      </w:pPr>
    </w:p>
    <w:p>
      <w:pPr>
        <w:jc w:val="both"/>
        <w:ind w:left="560" w:right="60" w:hanging="4"/>
        <w:spacing w:after="0" w:line="253" w:lineRule="auto"/>
        <w:tabs>
          <w:tab w:leader="none" w:pos="86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 wholly-owned subsidiary of any person or entity contemplated in (c), (d) or (e), acting as agent in the capacity of an authorised portfolio manager for a pension fund, or as manager for a collective investment scheme (in each case duly registered as such under South African law); or</w:t>
      </w:r>
    </w:p>
    <w:p>
      <w:pPr>
        <w:spacing w:after="0" w:line="101" w:lineRule="exact"/>
        <w:rPr>
          <w:rFonts w:ascii="Arial" w:cs="Arial" w:eastAsia="Arial" w:hAnsi="Arial"/>
          <w:sz w:val="18"/>
          <w:szCs w:val="18"/>
          <w:color w:val="auto"/>
        </w:rPr>
      </w:pPr>
    </w:p>
    <w:p>
      <w:pPr>
        <w:ind w:left="900" w:hanging="344"/>
        <w:spacing w:after="0"/>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combination of the person in (i) to (vi); or</w:t>
      </w:r>
    </w:p>
    <w:p>
      <w:pPr>
        <w:spacing w:after="0" w:line="144" w:lineRule="exact"/>
        <w:rPr>
          <w:rFonts w:ascii="Arial" w:cs="Arial" w:eastAsia="Arial" w:hAnsi="Arial"/>
          <w:sz w:val="18"/>
          <w:szCs w:val="18"/>
          <w:color w:val="auto"/>
        </w:rPr>
      </w:pPr>
    </w:p>
    <w:p>
      <w:pPr>
        <w:ind w:left="540" w:right="60" w:hanging="424"/>
        <w:spacing w:after="0" w:line="253"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total contemplated acquisition cost of the shares of our common stock, for any single addressee acting as principal is equal to or greater than ZAR1,000,000 or such higher amount as may be promulgated by notice in the Government Gazette of South Africa pursuant to section 96(2)(a) of the South African Companies Act.</w:t>
      </w:r>
    </w:p>
    <w:p>
      <w:pPr>
        <w:spacing w:after="0" w:line="101" w:lineRule="exact"/>
        <w:rPr>
          <w:sz w:val="20"/>
          <w:szCs w:val="20"/>
          <w:color w:val="auto"/>
        </w:rPr>
      </w:pPr>
    </w:p>
    <w:p>
      <w:pPr>
        <w:ind w:left="120" w:right="140"/>
        <w:spacing w:after="0" w:line="271" w:lineRule="auto"/>
        <w:rPr>
          <w:sz w:val="20"/>
          <w:szCs w:val="20"/>
          <w:color w:val="auto"/>
        </w:rPr>
      </w:pPr>
      <w:r>
        <w:rPr>
          <w:rFonts w:ascii="Arial" w:cs="Arial" w:eastAsia="Arial" w:hAnsi="Arial"/>
          <w:sz w:val="18"/>
          <w:szCs w:val="18"/>
          <w:color w:val="auto"/>
        </w:rPr>
        <w:t>Information made available in this prospectus supplement should not be considered as “advice” as defined in the South African Financial Advisory and Intermediary Services Act, 2002.</w:t>
      </w:r>
    </w:p>
    <w:p>
      <w:pPr>
        <w:spacing w:after="0" w:line="73" w:lineRule="exact"/>
        <w:rPr>
          <w:sz w:val="20"/>
          <w:szCs w:val="20"/>
          <w:color w:val="auto"/>
        </w:rPr>
      </w:pPr>
    </w:p>
    <w:p>
      <w:pPr>
        <w:ind w:left="120" w:right="100"/>
        <w:spacing w:after="0" w:line="244" w:lineRule="auto"/>
        <w:rPr>
          <w:sz w:val="20"/>
          <w:szCs w:val="20"/>
          <w:color w:val="auto"/>
        </w:rPr>
      </w:pPr>
      <w:r>
        <w:rPr>
          <w:rFonts w:ascii="Arial" w:cs="Arial" w:eastAsia="Arial" w:hAnsi="Arial"/>
          <w:sz w:val="18"/>
          <w:szCs w:val="18"/>
          <w:color w:val="auto"/>
        </w:rPr>
        <w:t>If Exchange Controls are applicable, add: No South African residents or offshore subsidiary of a South African resident may subscribe for or purchase any of the shares of our common stock or beneficially own or hold any of the shares of our common stock unless specific approval has been obtained from the financial surveillance department of the South African Reserve Bank (the “SARB”) by such persons or such subscription, purchase or beneficial holding or ownership is otherwise permitted under the South African Exchange Control Regulations</w:t>
      </w:r>
    </w:p>
    <w:p>
      <w:pPr>
        <w:spacing w:after="0" w:line="1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S-38</w:t>
      </w:r>
    </w:p>
    <w:p>
      <w:pPr>
        <w:sectPr>
          <w:pgSz w:w="11900" w:h="16838" w:orient="portrait"/>
          <w:cols w:equalWidth="0" w:num="1">
            <w:col w:w="11100"/>
          </w:cols>
          <w:pgMar w:left="320" w:top="455"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120" w:right="500"/>
        <w:spacing w:after="0" w:line="301" w:lineRule="auto"/>
        <w:rPr>
          <w:sz w:val="20"/>
          <w:szCs w:val="20"/>
          <w:color w:val="auto"/>
        </w:rPr>
      </w:pPr>
      <w:r>
        <w:rPr>
          <w:rFonts w:ascii="Arial" w:cs="Arial" w:eastAsia="Arial" w:hAnsi="Arial"/>
          <w:sz w:val="17"/>
          <w:szCs w:val="17"/>
          <w:color w:val="auto"/>
        </w:rPr>
        <w:t>or the rulings promulgated thereunder (including, without limitation, the rulings issued by the SARB providing for foreign investment allowances applicable to persons who are residents of South Africa under the applicable exchange control laws of South Africa).</w:t>
      </w:r>
    </w:p>
    <w:p>
      <w:pPr>
        <w:spacing w:after="0" w:line="189" w:lineRule="exact"/>
        <w:rPr>
          <w:sz w:val="20"/>
          <w:szCs w:val="20"/>
          <w:color w:val="auto"/>
        </w:rPr>
      </w:pPr>
    </w:p>
    <w:p>
      <w:pPr>
        <w:ind w:left="120"/>
        <w:spacing w:after="0"/>
        <w:rPr>
          <w:sz w:val="20"/>
          <w:szCs w:val="20"/>
          <w:color w:val="auto"/>
        </w:rPr>
      </w:pPr>
      <w:r>
        <w:rPr>
          <w:rFonts w:ascii="Arial" w:cs="Arial" w:eastAsia="Arial" w:hAnsi="Arial"/>
          <w:sz w:val="22"/>
          <w:szCs w:val="22"/>
          <w:b w:val="1"/>
          <w:bCs w:val="1"/>
          <w:color w:val="auto"/>
        </w:rPr>
        <w:t>Notice to Prospective Investors in Taiwan</w:t>
      </w:r>
    </w:p>
    <w:p>
      <w:pPr>
        <w:spacing w:after="0" w:line="148" w:lineRule="exact"/>
        <w:rPr>
          <w:sz w:val="20"/>
          <w:szCs w:val="20"/>
          <w:color w:val="auto"/>
        </w:rPr>
      </w:pPr>
    </w:p>
    <w:p>
      <w:pPr>
        <w:ind w:left="120"/>
        <w:spacing w:after="0" w:line="244" w:lineRule="auto"/>
        <w:rPr>
          <w:sz w:val="20"/>
          <w:szCs w:val="20"/>
          <w:color w:val="auto"/>
        </w:rPr>
      </w:pPr>
      <w:r>
        <w:rPr>
          <w:rFonts w:ascii="Arial" w:cs="Arial" w:eastAsia="Arial" w:hAnsi="Arial"/>
          <w:sz w:val="18"/>
          <w:szCs w:val="18"/>
          <w:color w:val="auto"/>
        </w:rPr>
        <w:t>The shares of our common stock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Commission of Taiwan. No person or entity in Taiwan has been authorised to offer, sell, give advice regarding or otherwise intermediate the offering and sale of the shares of our common stock in Taiwan.</w:t>
      </w:r>
    </w:p>
    <w:p>
      <w:pPr>
        <w:spacing w:after="0" w:line="10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S-39</w:t>
      </w:r>
    </w:p>
    <w:p>
      <w:pPr>
        <w:sectPr>
          <w:pgSz w:w="11900" w:h="16838" w:orient="portrait"/>
          <w:cols w:equalWidth="0" w:num="1">
            <w:col w:w="11020"/>
          </w:cols>
          <w:pgMar w:left="320" w:top="455" w:right="5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8"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LEGAL MATTERS</w:t>
      </w:r>
    </w:p>
    <w:p>
      <w:pPr>
        <w:spacing w:after="0" w:line="154" w:lineRule="exact"/>
        <w:rPr>
          <w:sz w:val="20"/>
          <w:szCs w:val="20"/>
          <w:color w:val="auto"/>
        </w:rPr>
      </w:pPr>
    </w:p>
    <w:p>
      <w:pPr>
        <w:ind w:left="120"/>
        <w:spacing w:after="0" w:line="271" w:lineRule="auto"/>
        <w:rPr>
          <w:sz w:val="20"/>
          <w:szCs w:val="20"/>
          <w:color w:val="auto"/>
        </w:rPr>
      </w:pPr>
      <w:r>
        <w:rPr>
          <w:rFonts w:ascii="Arial" w:cs="Arial" w:eastAsia="Arial" w:hAnsi="Arial"/>
          <w:sz w:val="18"/>
          <w:szCs w:val="18"/>
          <w:color w:val="auto"/>
        </w:rPr>
        <w:t>The validity of the shares of our common stock being offered in this prospectus supplement will be passed upon for us by Goodwin Procter LLP. Certain legal matters will be passed upon for the underwriters by Mintz, Levin, Cohn, Ferris, Glovsky and Popeo, P.C.</w:t>
      </w:r>
    </w:p>
    <w:p>
      <w:pPr>
        <w:spacing w:after="0" w:line="219"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EXPERTS</w:t>
      </w:r>
    </w:p>
    <w:p>
      <w:pPr>
        <w:spacing w:after="0" w:line="154" w:lineRule="exact"/>
        <w:rPr>
          <w:sz w:val="20"/>
          <w:szCs w:val="20"/>
          <w:color w:val="auto"/>
        </w:rPr>
      </w:pPr>
    </w:p>
    <w:p>
      <w:pPr>
        <w:ind w:left="120" w:right="160"/>
        <w:spacing w:after="0" w:line="244" w:lineRule="auto"/>
        <w:rPr>
          <w:sz w:val="20"/>
          <w:szCs w:val="20"/>
          <w:color w:val="auto"/>
        </w:rPr>
      </w:pPr>
      <w:r>
        <w:rPr>
          <w:rFonts w:ascii="Arial" w:cs="Arial" w:eastAsia="Arial" w:hAnsi="Arial"/>
          <w:sz w:val="18"/>
          <w:szCs w:val="18"/>
          <w:color w:val="auto"/>
        </w:rPr>
        <w:t>The financial statements incorporated in this prospectus supplement by reference to the Annual Report on Form 10-K for the year ended December 31, 2024 have been so incorporated in reliance on the report (which contains an explanatory paragraph relating to the Company requiring additional financing to fund future operations as described in Note 1 to the financial statements) of PricewaterhouseCoopers LLP, an independent registered public accounting firm, given on the authority of said firm as experts in auditing and accounting.</w:t>
      </w:r>
    </w:p>
    <w:p>
      <w:pPr>
        <w:spacing w:after="0" w:line="242"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WHERE YOU CAN FIND MORE INFORMATION</w:t>
      </w:r>
    </w:p>
    <w:p>
      <w:pPr>
        <w:spacing w:after="0" w:line="154" w:lineRule="exact"/>
        <w:rPr>
          <w:sz w:val="20"/>
          <w:szCs w:val="20"/>
          <w:color w:val="auto"/>
        </w:rPr>
      </w:pPr>
    </w:p>
    <w:p>
      <w:pPr>
        <w:ind w:left="120" w:right="40"/>
        <w:spacing w:after="0" w:line="242" w:lineRule="auto"/>
        <w:rPr>
          <w:sz w:val="20"/>
          <w:szCs w:val="20"/>
          <w:color w:val="auto"/>
        </w:rPr>
      </w:pPr>
      <w:r>
        <w:rPr>
          <w:rFonts w:ascii="Arial" w:cs="Arial" w:eastAsia="Arial" w:hAnsi="Arial"/>
          <w:sz w:val="18"/>
          <w:szCs w:val="18"/>
          <w:color w:val="auto"/>
        </w:rPr>
        <w:t>This prospectus supplement and the accompanying prospectus form part of a registration statement on Form S-3 filed with the SEC under the Securities Act. This prospectus supplement and the accompanying prospectus do not contain all the information set forth in the registration statement and the exhibits to the registration statement or the documents incorporated by reference herein and therein. For further information with respect to us and the shares of our common stock that we are offering under this prospectus supplement and accompanying prospectus, we refer you to the registration statement and the exhibits and schedules filed as a part of the registration statement and the documents incorporated by reference herein and therein.</w:t>
      </w:r>
    </w:p>
    <w:p>
      <w:pPr>
        <w:spacing w:after="0" w:line="111" w:lineRule="exact"/>
        <w:rPr>
          <w:sz w:val="20"/>
          <w:szCs w:val="20"/>
          <w:color w:val="auto"/>
        </w:rPr>
      </w:pPr>
    </w:p>
    <w:p>
      <w:pPr>
        <w:ind w:left="120"/>
        <w:spacing w:after="0" w:line="247" w:lineRule="auto"/>
        <w:rPr>
          <w:sz w:val="20"/>
          <w:szCs w:val="20"/>
          <w:color w:val="auto"/>
        </w:rPr>
      </w:pPr>
      <w:r>
        <w:rPr>
          <w:rFonts w:ascii="Arial" w:cs="Arial" w:eastAsia="Arial" w:hAnsi="Arial"/>
          <w:sz w:val="18"/>
          <w:szCs w:val="18"/>
          <w:color w:val="auto"/>
        </w:rPr>
        <w:t>We are currently subject to the reporting requirements of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 supplement or the accompanying prospectus.</w:t>
      </w:r>
    </w:p>
    <w:p>
      <w:pPr>
        <w:spacing w:after="0" w:line="375" w:lineRule="exact"/>
        <w:rPr>
          <w:sz w:val="20"/>
          <w:szCs w:val="20"/>
          <w:color w:val="auto"/>
        </w:rPr>
      </w:pPr>
    </w:p>
    <w:p>
      <w:pPr>
        <w:ind w:left="120"/>
        <w:spacing w:after="0"/>
        <w:rPr>
          <w:sz w:val="20"/>
          <w:szCs w:val="20"/>
          <w:color w:val="auto"/>
        </w:rPr>
      </w:pPr>
      <w:r>
        <w:rPr>
          <w:rFonts w:ascii="Arial" w:cs="Arial" w:eastAsia="Arial" w:hAnsi="Arial"/>
          <w:sz w:val="29"/>
          <w:szCs w:val="29"/>
          <w:b w:val="1"/>
          <w:bCs w:val="1"/>
          <w:color w:val="auto"/>
        </w:rPr>
        <w:t>INCORPORATION OF CERTAIN INFORMATION BY REFERENCE</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prospectus supplement and the accompanying prospectus are part of a registration statement filed with the SEC. The SEC allows us to “incorporate by reference” into this prospectus supplement and the accompanying prospectus information from other documents that we file with it, which means that we can disclose important information to you by referring you to those documents. The information incorporated by reference is considered to be part of this prospectus supplement. Information in this prospectus supplement supersedes information incorporated by reference that we filed with the SEC prior to the date of this prospectus supplement, while information that we file later with the SEC will automatically update and supersede the information in this prospectus supplement. We incorporate by reference into this prospectus supplement and the registration statement of which this prospectus supplement is a part the information or documents listed below that we have filed with the SEC:</w:t>
      </w:r>
    </w:p>
    <w:p>
      <w:pPr>
        <w:spacing w:after="0" w:line="113" w:lineRule="exact"/>
        <w:rPr>
          <w:sz w:val="20"/>
          <w:szCs w:val="20"/>
          <w:color w:val="auto"/>
        </w:rPr>
      </w:pPr>
    </w:p>
    <w:p>
      <w:pPr>
        <w:ind w:left="340" w:hanging="224"/>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Annual Report on </w:t>
      </w:r>
      <w:hyperlink r:id="rId58">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2024, filed with the SEC on March 24, 2025;</w:t>
      </w:r>
    </w:p>
    <w:p>
      <w:pPr>
        <w:spacing w:after="0" w:line="144" w:lineRule="exact"/>
        <w:rPr>
          <w:rFonts w:ascii="Arial" w:cs="Arial" w:eastAsia="Arial" w:hAnsi="Arial"/>
          <w:sz w:val="18"/>
          <w:szCs w:val="18"/>
          <w:color w:val="auto"/>
        </w:rPr>
      </w:pPr>
    </w:p>
    <w:p>
      <w:pPr>
        <w:ind w:left="340" w:right="300" w:hanging="224"/>
        <w:spacing w:after="0" w:line="271" w:lineRule="auto"/>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Our Quarterly Reports on Form 10-Q for the quarters ended March 31, 2025, June 30, 2025, and September 30, 2025, filed with the SEC on </w:t>
      </w:r>
      <w:hyperlink r:id="rId59">
        <w:r>
          <w:rPr>
            <w:rFonts w:ascii="Arial" w:cs="Arial" w:eastAsia="Arial" w:hAnsi="Arial"/>
            <w:sz w:val="18"/>
            <w:szCs w:val="18"/>
            <w:u w:val="single" w:color="auto"/>
            <w:color w:val="0000EE"/>
          </w:rPr>
          <w:t>April 30, 2025</w:t>
        </w:r>
      </w:hyperlink>
      <w:r>
        <w:rPr>
          <w:rFonts w:ascii="Arial" w:cs="Arial" w:eastAsia="Arial" w:hAnsi="Arial"/>
          <w:sz w:val="18"/>
          <w:szCs w:val="18"/>
          <w:color w:val="auto"/>
        </w:rPr>
        <w:t xml:space="preserve">, </w:t>
      </w:r>
      <w:hyperlink r:id="rId60">
        <w:r>
          <w:rPr>
            <w:rFonts w:ascii="Arial" w:cs="Arial" w:eastAsia="Arial" w:hAnsi="Arial"/>
            <w:sz w:val="18"/>
            <w:szCs w:val="18"/>
            <w:u w:val="single" w:color="auto"/>
            <w:color w:val="0000EE"/>
          </w:rPr>
          <w:t>August 14, 2025</w:t>
        </w:r>
      </w:hyperlink>
      <w:r>
        <w:rPr>
          <w:rFonts w:ascii="Arial" w:cs="Arial" w:eastAsia="Arial" w:hAnsi="Arial"/>
          <w:sz w:val="18"/>
          <w:szCs w:val="18"/>
          <w:color w:val="auto"/>
        </w:rPr>
        <w:t xml:space="preserve">, and </w:t>
      </w:r>
      <w:hyperlink r:id="rId61">
        <w:r>
          <w:rPr>
            <w:rFonts w:ascii="Arial" w:cs="Arial" w:eastAsia="Arial" w:hAnsi="Arial"/>
            <w:sz w:val="18"/>
            <w:szCs w:val="18"/>
            <w:u w:val="single" w:color="auto"/>
            <w:color w:val="0000EE"/>
          </w:rPr>
          <w:t>November 5, 2025</w:t>
        </w:r>
      </w:hyperlink>
      <w:r>
        <w:rPr>
          <w:rFonts w:ascii="Arial" w:cs="Arial" w:eastAsia="Arial" w:hAnsi="Arial"/>
          <w:sz w:val="18"/>
          <w:szCs w:val="18"/>
          <w:color w:val="auto"/>
        </w:rPr>
        <w:t>, respectively;</w:t>
      </w:r>
    </w:p>
    <w:p>
      <w:pPr>
        <w:spacing w:after="0" w:line="86" w:lineRule="exact"/>
        <w:rPr>
          <w:rFonts w:ascii="Arial" w:cs="Arial" w:eastAsia="Arial" w:hAnsi="Arial"/>
          <w:sz w:val="18"/>
          <w:szCs w:val="18"/>
          <w:color w:val="auto"/>
        </w:rPr>
      </w:pPr>
    </w:p>
    <w:p>
      <w:pPr>
        <w:jc w:val="center"/>
        <w:ind w:right="-119"/>
        <w:spacing w:after="0"/>
        <w:rPr>
          <w:sz w:val="20"/>
          <w:szCs w:val="20"/>
          <w:color w:val="auto"/>
        </w:rPr>
      </w:pPr>
      <w:r>
        <w:rPr>
          <w:rFonts w:ascii="Arial" w:cs="Arial" w:eastAsia="Arial" w:hAnsi="Arial"/>
          <w:sz w:val="18"/>
          <w:szCs w:val="18"/>
          <w:color w:val="auto"/>
        </w:rPr>
        <w:t>S-40</w:t>
      </w:r>
    </w:p>
    <w:p>
      <w:pPr>
        <w:sectPr>
          <w:pgSz w:w="11900" w:h="16838" w:orient="portrait"/>
          <w:cols w:equalWidth="0" w:num="1">
            <w:col w:w="11120"/>
          </w:cols>
          <w:pgMar w:left="320" w:top="455" w:right="45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3" w:lineRule="exact"/>
        <w:rPr>
          <w:sz w:val="20"/>
          <w:szCs w:val="20"/>
          <w:color w:val="auto"/>
        </w:rPr>
      </w:pPr>
    </w:p>
    <w:p>
      <w:pPr>
        <w:ind w:left="340" w:right="380" w:hanging="224"/>
        <w:spacing w:after="0" w:line="271" w:lineRule="auto"/>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The information specifically incorporated by reference into our Annual Report on Form 10-K for the year ended December 31, 2024 from our Definitive Proxy Statement on Schedule 14A, filed with the SEC on </w:t>
      </w:r>
      <w:hyperlink r:id="rId63">
        <w:r>
          <w:rPr>
            <w:rFonts w:ascii="Arial" w:cs="Arial" w:eastAsia="Arial" w:hAnsi="Arial"/>
            <w:sz w:val="18"/>
            <w:szCs w:val="18"/>
            <w:u w:val="single" w:color="auto"/>
            <w:color w:val="0000EE"/>
          </w:rPr>
          <w:t>April 11, 2025</w:t>
        </w:r>
      </w:hyperlink>
      <w:r>
        <w:rPr>
          <w:rFonts w:ascii="Arial" w:cs="Arial" w:eastAsia="Arial" w:hAnsi="Arial"/>
          <w:sz w:val="18"/>
          <w:szCs w:val="18"/>
          <w:color w:val="auto"/>
        </w:rPr>
        <w:t>;</w:t>
      </w:r>
    </w:p>
    <w:p>
      <w:pPr>
        <w:spacing w:after="0" w:line="86" w:lineRule="exact"/>
        <w:rPr>
          <w:rFonts w:ascii="Arial" w:cs="Arial" w:eastAsia="Arial" w:hAnsi="Arial"/>
          <w:sz w:val="18"/>
          <w:szCs w:val="18"/>
          <w:color w:val="auto"/>
        </w:rPr>
      </w:pPr>
    </w:p>
    <w:p>
      <w:pPr>
        <w:ind w:left="340" w:right="40" w:hanging="224"/>
        <w:spacing w:after="0" w:line="247" w:lineRule="auto"/>
        <w:tabs>
          <w:tab w:leader="none" w:pos="340" w:val="left"/>
        </w:tabs>
        <w:numPr>
          <w:ilvl w:val="0"/>
          <w:numId w:val="22"/>
        </w:numPr>
        <w:rPr>
          <w:rFonts w:ascii="Arial" w:cs="Arial" w:eastAsia="Arial" w:hAnsi="Arial"/>
          <w:sz w:val="18"/>
          <w:szCs w:val="18"/>
          <w:color w:val="0000EE"/>
        </w:rPr>
      </w:pPr>
      <w:hyperlink r:id="rId64">
        <w:r>
          <w:rPr>
            <w:rFonts w:ascii="Arial" w:cs="Arial" w:eastAsia="Arial" w:hAnsi="Arial"/>
            <w:sz w:val="18"/>
            <w:szCs w:val="18"/>
            <w:color w:val="auto"/>
          </w:rPr>
          <w:t xml:space="preserve">Our Current Reports on Form 8-K, filed with the SEC on </w:t>
        </w:r>
        <w:r>
          <w:rPr>
            <w:rFonts w:ascii="Arial" w:cs="Arial" w:eastAsia="Arial" w:hAnsi="Arial"/>
            <w:sz w:val="18"/>
            <w:szCs w:val="18"/>
            <w:u w:val="single" w:color="auto"/>
            <w:color w:val="0000EE"/>
          </w:rPr>
          <w:t>January 10,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January 27,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March 24,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5, 2025</w:t>
        </w:r>
        <w:r>
          <w:rPr>
            <w:rFonts w:ascii="Arial" w:cs="Arial" w:eastAsia="Arial" w:hAnsi="Arial"/>
            <w:sz w:val="18"/>
            <w:szCs w:val="18"/>
            <w:color w:val="auto"/>
          </w:rPr>
          <w:t xml:space="preserve">, </w:t>
        </w:r>
        <w:r>
          <w:rPr>
            <w:rFonts w:ascii="Arial" w:cs="Arial" w:eastAsia="Arial" w:hAnsi="Arial"/>
            <w:sz w:val="18"/>
            <w:szCs w:val="18"/>
            <w:u w:val="single" w:color="auto"/>
            <w:color w:val="0000EE"/>
          </w:rPr>
          <w:t>May 13,</w:t>
        </w:r>
      </w:hyperlink>
      <w:r>
        <w:rPr>
          <w:rFonts w:ascii="Arial" w:cs="Arial" w:eastAsia="Arial" w:hAnsi="Arial"/>
          <w:sz w:val="18"/>
          <w:szCs w:val="18"/>
          <w:color w:val="auto"/>
        </w:rPr>
        <w:t xml:space="preserve"> </w:t>
      </w:r>
      <w:hyperlink r:id="rId65">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2025</w:t>
        </w:r>
        <w:r>
          <w:rPr>
            <w:rFonts w:ascii="Arial" w:cs="Arial" w:eastAsia="Arial" w:hAnsi="Arial"/>
            <w:sz w:val="18"/>
            <w:szCs w:val="18"/>
            <w:color w:val="0000EE"/>
          </w:rPr>
          <w:t xml:space="preserve"> </w:t>
        </w:r>
        <w:r>
          <w:rPr>
            <w:rFonts w:ascii="Arial" w:cs="Arial" w:eastAsia="Arial" w:hAnsi="Arial"/>
            <w:sz w:val="18"/>
            <w:szCs w:val="18"/>
            <w:color w:val="000000"/>
          </w:rPr>
          <w:t>and</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June 23,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July 31,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August 14,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September 29,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October 14, 2025</w:t>
        </w:r>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u w:val="single" w:color="auto"/>
            <w:color w:val="0000EE"/>
          </w:rPr>
          <w:t>November 10,</w:t>
        </w:r>
      </w:hyperlink>
      <w:r>
        <w:rPr>
          <w:rFonts w:ascii="Arial" w:cs="Arial" w:eastAsia="Arial" w:hAnsi="Arial"/>
          <w:sz w:val="18"/>
          <w:szCs w:val="18"/>
          <w:color w:val="0000EE"/>
        </w:rPr>
        <w:t xml:space="preserve"> </w:t>
      </w:r>
      <w:hyperlink r:id="rId65">
        <w:r>
          <w:rPr>
            <w:rFonts w:ascii="Arial" w:cs="Arial" w:eastAsia="Arial" w:hAnsi="Arial"/>
            <w:sz w:val="18"/>
            <w:szCs w:val="18"/>
            <w:u w:val="single" w:color="auto"/>
            <w:color w:val="0000EE"/>
          </w:rPr>
          <w:t>2025</w:t>
        </w:r>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6">
        <w:r>
          <w:rPr>
            <w:rFonts w:ascii="Arial" w:cs="Arial" w:eastAsia="Arial" w:hAnsi="Arial"/>
            <w:sz w:val="18"/>
            <w:szCs w:val="18"/>
            <w:u w:val="single" w:color="auto"/>
            <w:color w:val="0000EE"/>
          </w:rPr>
          <w:t>December 17, 2025</w:t>
        </w:r>
      </w:hyperlink>
      <w:hyperlink r:id="rId6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7">
        <w:r>
          <w:rPr>
            <w:rFonts w:ascii="Arial" w:cs="Arial" w:eastAsia="Arial" w:hAnsi="Arial"/>
            <w:sz w:val="18"/>
            <w:szCs w:val="18"/>
            <w:u w:val="single" w:color="auto"/>
            <w:color w:val="0000EE"/>
          </w:rPr>
          <w:t>January 12, 2026</w:t>
        </w:r>
      </w:hyperlink>
      <w:hyperlink r:id="rId65">
        <w:r>
          <w:rPr>
            <w:rFonts w:ascii="Arial" w:cs="Arial" w:eastAsia="Arial" w:hAnsi="Arial"/>
            <w:sz w:val="18"/>
            <w:szCs w:val="18"/>
            <w:color w:val="000000"/>
          </w:rPr>
          <w:t>,</w:t>
        </w:r>
        <w:r>
          <w:rPr>
            <w:rFonts w:ascii="Arial" w:cs="Arial" w:eastAsia="Arial" w:hAnsi="Arial"/>
            <w:sz w:val="18"/>
            <w:szCs w:val="18"/>
            <w:color w:val="0000EE"/>
          </w:rPr>
          <w:t xml:space="preserve"> </w:t>
        </w:r>
      </w:hyperlink>
      <w:hyperlink r:id="rId68">
        <w:r>
          <w:rPr>
            <w:rFonts w:ascii="Arial" w:cs="Arial" w:eastAsia="Arial" w:hAnsi="Arial"/>
            <w:sz w:val="18"/>
            <w:szCs w:val="18"/>
            <w:u w:val="single" w:color="auto"/>
            <w:color w:val="0000EE"/>
          </w:rPr>
          <w:t xml:space="preserve">January 22, 2026 </w:t>
        </w:r>
      </w:hyperlink>
      <w:hyperlink r:id="rId65">
        <w:r>
          <w:rPr>
            <w:rFonts w:ascii="Arial" w:cs="Arial" w:eastAsia="Arial" w:hAnsi="Arial"/>
            <w:sz w:val="18"/>
            <w:szCs w:val="18"/>
            <w:color w:val="000000"/>
          </w:rPr>
          <w:t>and</w:t>
        </w:r>
        <w:r>
          <w:rPr>
            <w:rFonts w:ascii="Arial" w:cs="Arial" w:eastAsia="Arial" w:hAnsi="Arial"/>
            <w:sz w:val="18"/>
            <w:szCs w:val="18"/>
            <w:color w:val="0000EE"/>
          </w:rPr>
          <w:t xml:space="preserve"> </w:t>
        </w:r>
      </w:hyperlink>
      <w:hyperlink r:id="rId69">
        <w:r>
          <w:rPr>
            <w:rFonts w:ascii="Arial" w:cs="Arial" w:eastAsia="Arial" w:hAnsi="Arial"/>
            <w:sz w:val="18"/>
            <w:szCs w:val="18"/>
            <w:u w:val="single" w:color="auto"/>
            <w:color w:val="0000EE"/>
          </w:rPr>
          <w:t xml:space="preserve">February 24, 2026 </w:t>
        </w:r>
      </w:hyperlink>
      <w:hyperlink r:id="rId65">
        <w:r>
          <w:rPr>
            <w:rFonts w:ascii="Arial" w:cs="Arial" w:eastAsia="Arial" w:hAnsi="Arial"/>
            <w:sz w:val="18"/>
            <w:szCs w:val="18"/>
            <w:color w:val="000000"/>
          </w:rPr>
          <w:t xml:space="preserve">(in each case, other than any portions </w:t>
        </w:r>
      </w:hyperlink>
      <w:r>
        <w:rPr>
          <w:rFonts w:ascii="Arial" w:cs="Arial" w:eastAsia="Arial" w:hAnsi="Arial"/>
          <w:sz w:val="18"/>
          <w:szCs w:val="18"/>
          <w:color w:val="0000EE"/>
        </w:rPr>
        <w:t xml:space="preserve">thereof </w:t>
      </w:r>
      <w:r>
        <w:rPr>
          <w:rFonts w:ascii="Arial" w:cs="Arial" w:eastAsia="Arial" w:hAnsi="Arial"/>
          <w:sz w:val="18"/>
          <w:szCs w:val="18"/>
          <w:color w:val="000000"/>
        </w:rPr>
        <w:t>deemed furnished and not filed); and</w:t>
      </w:r>
    </w:p>
    <w:p>
      <w:pPr>
        <w:spacing w:after="0" w:line="106" w:lineRule="exact"/>
        <w:rPr>
          <w:rFonts w:ascii="Arial" w:cs="Arial" w:eastAsia="Arial" w:hAnsi="Arial"/>
          <w:sz w:val="18"/>
          <w:szCs w:val="18"/>
          <w:color w:val="0000EE"/>
        </w:rPr>
      </w:pPr>
    </w:p>
    <w:p>
      <w:pPr>
        <w:ind w:left="340" w:hanging="224"/>
        <w:spacing w:after="0" w:line="253" w:lineRule="auto"/>
        <w:tabs>
          <w:tab w:leader="none" w:pos="340" w:val="left"/>
        </w:tabs>
        <w:numPr>
          <w:ilvl w:val="0"/>
          <w:numId w:val="22"/>
        </w:numPr>
        <w:rPr>
          <w:rFonts w:ascii="Arial" w:cs="Arial" w:eastAsia="Arial" w:hAnsi="Arial"/>
          <w:sz w:val="18"/>
          <w:szCs w:val="18"/>
          <w:color w:val="0000EE"/>
        </w:rPr>
      </w:pPr>
      <w:r>
        <w:rPr>
          <w:rFonts w:ascii="Arial" w:cs="Arial" w:eastAsia="Arial" w:hAnsi="Arial"/>
          <w:sz w:val="18"/>
          <w:szCs w:val="18"/>
          <w:color w:val="auto"/>
        </w:rPr>
        <w:t xml:space="preserve">The description of our common stock contained in our registration statement on Form 8-A (File No. 001-36510), filed with the SEC on </w:t>
      </w:r>
      <w:hyperlink r:id="rId70">
        <w:r>
          <w:rPr>
            <w:rFonts w:ascii="Arial" w:cs="Arial" w:eastAsia="Arial" w:hAnsi="Arial"/>
            <w:sz w:val="18"/>
            <w:szCs w:val="18"/>
            <w:u w:val="single" w:color="auto"/>
            <w:color w:val="0000EE"/>
          </w:rPr>
          <w:t>June 18, 2014</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under the Exchange Act, including any amendment or report filed for the purpose of updating such description, including</w:t>
      </w:r>
      <w:r>
        <w:rPr>
          <w:rFonts w:ascii="Arial" w:cs="Arial" w:eastAsia="Arial" w:hAnsi="Arial"/>
          <w:sz w:val="18"/>
          <w:szCs w:val="18"/>
          <w:color w:val="0000EE"/>
        </w:rPr>
        <w:t xml:space="preserve"> </w:t>
      </w:r>
      <w:hyperlink r:id="rId71">
        <w:r>
          <w:rPr>
            <w:rFonts w:ascii="Arial" w:cs="Arial" w:eastAsia="Arial" w:hAnsi="Arial"/>
            <w:sz w:val="18"/>
            <w:szCs w:val="18"/>
            <w:u w:val="single" w:color="auto"/>
            <w:color w:val="0000EE"/>
          </w:rPr>
          <w:t>Exhibit 4.1</w:t>
        </w:r>
        <w:r>
          <w:rPr>
            <w:rFonts w:ascii="Arial" w:cs="Arial" w:eastAsia="Arial" w:hAnsi="Arial"/>
            <w:sz w:val="18"/>
            <w:szCs w:val="18"/>
            <w:color w:val="0000EE"/>
          </w:rPr>
          <w:t xml:space="preserve"> </w:t>
        </w:r>
      </w:hyperlink>
      <w:r>
        <w:rPr>
          <w:rFonts w:ascii="Arial" w:cs="Arial" w:eastAsia="Arial" w:hAnsi="Arial"/>
          <w:sz w:val="18"/>
          <w:szCs w:val="18"/>
          <w:color w:val="000000"/>
        </w:rPr>
        <w:t>to</w:t>
      </w:r>
      <w:r>
        <w:rPr>
          <w:rFonts w:ascii="Arial" w:cs="Arial" w:eastAsia="Arial" w:hAnsi="Arial"/>
          <w:sz w:val="18"/>
          <w:szCs w:val="18"/>
          <w:color w:val="0000EE"/>
        </w:rPr>
        <w:t xml:space="preserve"> </w:t>
      </w:r>
      <w:r>
        <w:rPr>
          <w:rFonts w:ascii="Arial" w:cs="Arial" w:eastAsia="Arial" w:hAnsi="Arial"/>
          <w:sz w:val="18"/>
          <w:szCs w:val="18"/>
          <w:color w:val="000000"/>
        </w:rPr>
        <w:t>our Annual Report on Form 10-K for the year ended December 31, 2024.</w:t>
      </w:r>
    </w:p>
    <w:p>
      <w:pPr>
        <w:spacing w:after="0" w:line="88" w:lineRule="exact"/>
        <w:rPr>
          <w:rFonts w:ascii="Arial" w:cs="Arial" w:eastAsia="Arial" w:hAnsi="Arial"/>
          <w:sz w:val="18"/>
          <w:szCs w:val="18"/>
          <w:color w:val="auto"/>
        </w:rPr>
      </w:pPr>
    </w:p>
    <w:p>
      <w:pPr>
        <w:ind w:left="120" w:right="20"/>
        <w:spacing w:after="0" w:line="242" w:lineRule="auto"/>
        <w:rPr>
          <w:sz w:val="20"/>
          <w:szCs w:val="20"/>
          <w:color w:val="auto"/>
        </w:rPr>
      </w:pPr>
      <w:r>
        <w:rPr>
          <w:rFonts w:ascii="Arial" w:cs="Arial" w:eastAsia="Arial" w:hAnsi="Arial"/>
          <w:sz w:val="18"/>
          <w:szCs w:val="18"/>
          <w:color w:val="auto"/>
        </w:rPr>
        <w:t>In addition, all documents that we file with the SEC pursuant to Sections 13(a), 13(c), 14 or 15(d) of the Exchange Act after the date of this prospectus supplement and before the termination of the offering of our shares of our common stock shall be deemed incorporated by reference into this prospectus supplement and accompanying prospectus and to be a part of this prospectus supplement and the accompanying prospectus from the respective dates of filing such documents. We are not, however, incorporating by reference any documents or portions thereof, whether specifically listed above or filed in the future, that are not deemed “filed” with the SEC, including any information furnished pursuant to items 2.02 or 7.01 of Form 8-K or related exhibits furnished pursuant to Item 9.01 of Form 8-K.</w:t>
      </w:r>
    </w:p>
    <w:p>
      <w:pPr>
        <w:spacing w:after="0" w:line="111" w:lineRule="exact"/>
        <w:rPr>
          <w:rFonts w:ascii="Arial" w:cs="Arial" w:eastAsia="Arial" w:hAnsi="Arial"/>
          <w:sz w:val="18"/>
          <w:szCs w:val="18"/>
          <w:color w:val="auto"/>
        </w:rPr>
      </w:pPr>
    </w:p>
    <w:p>
      <w:pPr>
        <w:ind w:left="120" w:right="60"/>
        <w:spacing w:after="0" w:line="242" w:lineRule="auto"/>
        <w:rPr>
          <w:sz w:val="20"/>
          <w:szCs w:val="20"/>
          <w:color w:val="auto"/>
        </w:rPr>
      </w:pPr>
      <w:r>
        <w:rPr>
          <w:rFonts w:ascii="Arial" w:cs="Arial" w:eastAsia="Arial" w:hAnsi="Arial"/>
          <w:sz w:val="18"/>
          <w:szCs w:val="18"/>
          <w:color w:val="auto"/>
        </w:rPr>
        <w:t>Any statement contained in a document incorporated by reference in this prospectus supplement and the accompanying prospectus shall be deemed to be modified or superseded for purposes of this prospectus supplement and the accompanying prospectus to the extent that a statement contained in this prospectus supplement or in any other subsequently filed document that also is or is deemed to be incorporated by reference in this prospectus supplement modifies or supersedes such statement. Any statement so modified or superseded shall not be deemed, except as so modified or superseded, to constitute a part of this prospectus supplement or the accompanying prospectus.</w:t>
      </w:r>
    </w:p>
    <w:p>
      <w:pPr>
        <w:spacing w:after="0" w:line="111" w:lineRule="exact"/>
        <w:rPr>
          <w:rFonts w:ascii="Arial" w:cs="Arial" w:eastAsia="Arial" w:hAnsi="Arial"/>
          <w:sz w:val="18"/>
          <w:szCs w:val="18"/>
          <w:color w:val="auto"/>
        </w:rPr>
      </w:pPr>
    </w:p>
    <w:p>
      <w:pPr>
        <w:ind w:left="120" w:right="120"/>
        <w:spacing w:after="0" w:line="275" w:lineRule="auto"/>
        <w:rPr>
          <w:sz w:val="20"/>
          <w:szCs w:val="20"/>
          <w:color w:val="auto"/>
        </w:rPr>
      </w:pPr>
      <w:r>
        <w:rPr>
          <w:rFonts w:ascii="Arial" w:cs="Arial" w:eastAsia="Arial" w:hAnsi="Arial"/>
          <w:sz w:val="17"/>
          <w:szCs w:val="17"/>
          <w:color w:val="auto"/>
        </w:rPr>
        <w:t>You may obtain copies of any of these filings by contacting us at the address and telephone number indicated below. Documents incorporated by reference are available from us without charge, excluding all exhibits unless an exhibit has been specifically incorporated by reference into this prospectus supplement and the accompanying prospectus, by requesting them in writing or by telephone at:</w:t>
      </w:r>
    </w:p>
    <w:p>
      <w:pPr>
        <w:spacing w:after="0" w:line="71"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Larimar Therapeutics, Inc.</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Three Bala Plaza East, Suite 506</w:t>
      </w:r>
    </w:p>
    <w:p>
      <w:pPr>
        <w:jc w:val="center"/>
        <w:ind w:right="-139"/>
        <w:spacing w:after="0" w:line="234" w:lineRule="auto"/>
        <w:rPr>
          <w:sz w:val="20"/>
          <w:szCs w:val="20"/>
          <w:color w:val="auto"/>
        </w:rPr>
      </w:pPr>
      <w:r>
        <w:rPr>
          <w:rFonts w:ascii="Arial" w:cs="Arial" w:eastAsia="Arial" w:hAnsi="Arial"/>
          <w:sz w:val="18"/>
          <w:szCs w:val="18"/>
          <w:color w:val="auto"/>
        </w:rPr>
        <w:t>Bala Cynwyd, PA 19004</w:t>
      </w:r>
    </w:p>
    <w:p>
      <w:pPr>
        <w:ind w:left="5480" w:hanging="465"/>
        <w:spacing w:after="0" w:line="235" w:lineRule="auto"/>
        <w:tabs>
          <w:tab w:leader="none" w:pos="5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511-9056</w:t>
      </w:r>
    </w:p>
    <w:p>
      <w:pPr>
        <w:ind w:left="4340"/>
        <w:spacing w:after="0"/>
        <w:rPr>
          <w:rFonts w:ascii="Arial" w:cs="Arial" w:eastAsia="Arial" w:hAnsi="Arial"/>
          <w:sz w:val="18"/>
          <w:szCs w:val="18"/>
          <w:color w:val="auto"/>
        </w:rPr>
      </w:pPr>
      <w:r>
        <w:rPr>
          <w:rFonts w:ascii="Arial" w:cs="Arial" w:eastAsia="Arial" w:hAnsi="Arial"/>
          <w:sz w:val="18"/>
          <w:szCs w:val="18"/>
          <w:color w:val="auto"/>
        </w:rPr>
        <w:t>Attention: Chief Financial Officer</w:t>
      </w:r>
    </w:p>
    <w:p>
      <w:pPr>
        <w:spacing w:after="0" w:line="126"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S-41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$300,000,000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182245</wp:posOffset>
            </wp:positionV>
            <wp:extent cx="2571750" cy="1019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2571750" cy="1019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Common Stock</w:t>
      </w:r>
    </w:p>
    <w:p>
      <w:pPr>
        <w:spacing w:after="0" w:line="4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Preferred Stock</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Debt Securities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Warrants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Units</w:t>
      </w:r>
    </w:p>
    <w:p>
      <w:pPr>
        <w:spacing w:after="0" w:line="1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5"/>
          <w:szCs w:val="25"/>
          <w:b w:val="1"/>
          <w:bCs w:val="1"/>
          <w:color w:val="auto"/>
        </w:rPr>
        <w:t>Subscription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225425</wp:posOffset>
            </wp:positionV>
            <wp:extent cx="14744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We may offer and sell up to $300,000,000 in the aggregate of the securities identified above from time to time in one or more offerings. This prospectus provides you with a general description of the securities.</w:t>
      </w:r>
    </w:p>
    <w:p>
      <w:pPr>
        <w:spacing w:after="0" w:line="162" w:lineRule="exact"/>
        <w:rPr>
          <w:sz w:val="20"/>
          <w:szCs w:val="20"/>
          <w:color w:val="auto"/>
        </w:rPr>
      </w:pPr>
    </w:p>
    <w:p>
      <w:pPr>
        <w:ind w:left="120" w:right="220"/>
        <w:spacing w:after="0" w:line="289" w:lineRule="auto"/>
        <w:rPr>
          <w:sz w:val="20"/>
          <w:szCs w:val="20"/>
          <w:color w:val="auto"/>
        </w:rPr>
      </w:pPr>
      <w:r>
        <w:rPr>
          <w:rFonts w:ascii="Times New Roman" w:cs="Times New Roman" w:eastAsia="Times New Roman" w:hAnsi="Times New Roman"/>
          <w:sz w:val="17"/>
          <w:szCs w:val="17"/>
          <w:color w:val="auto"/>
        </w:rPr>
        <w:t>Each time we offer and sell securities, we will provide a supplement to this prospectus that contains specific information about the offering and the amounts, prices and terms of the securities. The prospectus supplement may also add, update or change information contained in this prospectus with respect to that offering. You should carefully read this prospectus and the applicable prospectus supplement before you invest in any of our securities.</w:t>
      </w:r>
    </w:p>
    <w:p>
      <w:pPr>
        <w:spacing w:after="0" w:line="15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We may offer and sell the securities described in this prospectus and any prospectus supplement to or through one or more underwriters, dealers and agents, or directly to purchasers, or through a combination of these methods. If any underwriters, dealers or agents are involved in the sale of any of the securities, their names and any applicable purchase price, fee, commission or discount arrangement between or among them will be set forth, or will be calculable from the information set forth, in the applicable prospectus supplement. See the sections of this prospectus entitled “About this Prospectus” and “Plan of Distribution” for more information. No securities may be sold without delivery of this prospectus and the applicable prospectus supplement describing the method and terms of the offering of such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216535</wp:posOffset>
            </wp:positionV>
            <wp:extent cx="1474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720"/>
        <w:spacing w:after="0" w:line="241"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SEE THE “</w:t>
      </w:r>
      <w:r>
        <w:rPr>
          <w:rFonts w:ascii="Times New Roman" w:cs="Times New Roman" w:eastAsia="Times New Roman" w:hAnsi="Times New Roman"/>
          <w:sz w:val="22"/>
          <w:szCs w:val="22"/>
          <w:b w:val="1"/>
          <w:bCs w:val="1"/>
          <w:u w:val="single" w:color="auto"/>
          <w:color w:val="0000EE"/>
        </w:rPr>
        <w:t>RISK FACTORS</w:t>
      </w:r>
      <w:r>
        <w:rPr>
          <w:rFonts w:ascii="Times New Roman" w:cs="Times New Roman" w:eastAsia="Times New Roman" w:hAnsi="Times New Roman"/>
          <w:sz w:val="22"/>
          <w:szCs w:val="22"/>
          <w:b w:val="1"/>
          <w:bCs w:val="1"/>
          <w:color w:val="auto"/>
        </w:rPr>
        <w:t>” ON PAGE 8 OF THIS PROSPECTUS AND ANY SIMILAR SECTION CONTAINED IN THE APPLICABLE PROSPECTUS SUPPLEMENT CONCERNING FACTORS YOU SHOULD CONSIDER BEFORE INVESTING IN OUR SECURITIES.</w:t>
      </w:r>
    </w:p>
    <w:p>
      <w:pPr>
        <w:spacing w:after="0" w:line="185"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Global Market under the symbol “LRMR.” On May 8, 2024, the last reported sale price of our common stock on the Nasdaq Global Market was $7.92 per share.</w:t>
      </w:r>
    </w:p>
    <w:p>
      <w:pPr>
        <w:spacing w:after="0" w:line="158"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207010</wp:posOffset>
            </wp:positionV>
            <wp:extent cx="147447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1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date of this prospectus is May 24, 2024.</w:t>
      </w:r>
    </w:p>
    <w:p>
      <w:pPr>
        <w:sectPr>
          <w:pgSz w:w="11900" w:h="16838" w:orient="portrait"/>
          <w:cols w:equalWidth="0" w:num="1">
            <w:col w:w="11100"/>
          </w:cols>
          <w:pgMar w:left="320" w:top="455" w:right="47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40" w:type="dxa"/>
            <w:vAlign w:val="bottom"/>
          </w:tcPr>
          <w:p>
            <w:pPr>
              <w:spacing w:after="0"/>
              <w:rPr>
                <w:sz w:val="13"/>
                <w:szCs w:val="13"/>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94"/>
        </w:trPr>
        <w:tc>
          <w:tcPr>
            <w:tcW w:w="8220" w:type="dxa"/>
            <w:vAlign w:val="bottom"/>
            <w:gridSpan w:val="17"/>
          </w:tcPr>
          <w:p>
            <w:pPr>
              <w:spacing w:after="0" w:line="194" w:lineRule="exact"/>
              <w:rPr>
                <w:sz w:val="20"/>
                <w:szCs w:val="20"/>
                <w:color w:val="auto"/>
              </w:rPr>
            </w:pPr>
            <w:r>
              <w:rPr>
                <w:rFonts w:ascii="Times New Roman" w:cs="Times New Roman" w:eastAsia="Times New Roman" w:hAnsi="Times New Roman"/>
                <w:sz w:val="18"/>
                <w:szCs w:val="18"/>
                <w:color w:val="0000EE"/>
              </w:rPr>
              <w:t>ABOUT THIS PROSPECTUS</w:t>
            </w:r>
          </w:p>
        </w:tc>
        <w:tc>
          <w:tcPr>
            <w:tcW w:w="274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518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8"/>
              </w:rPr>
              <w:t>INCORPORATION OF CERTAIN INFORMATION BY REFERENCE</w:t>
            </w:r>
          </w:p>
        </w:tc>
        <w:tc>
          <w:tcPr>
            <w:tcW w:w="3040" w:type="dxa"/>
            <w:vAlign w:val="bottom"/>
            <w:gridSpan w:val="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04"/>
        </w:trPr>
        <w:tc>
          <w:tcPr>
            <w:tcW w:w="578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8"/>
              </w:rPr>
              <w:t>CAUTIONARY NOTE REGARDING FORWARD-LOOKING STATEMENTS</w:t>
            </w:r>
          </w:p>
        </w:tc>
        <w:tc>
          <w:tcPr>
            <w:tcW w:w="2440" w:type="dxa"/>
            <w:vAlign w:val="bottom"/>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304"/>
        </w:trPr>
        <w:tc>
          <w:tcPr>
            <w:tcW w:w="150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ABOUT LARIMAR</w:t>
            </w:r>
          </w:p>
        </w:tc>
        <w:tc>
          <w:tcPr>
            <w:tcW w:w="6720" w:type="dxa"/>
            <w:vAlign w:val="bottom"/>
            <w:gridSpan w:val="1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158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USE OF PROCEEDS</w:t>
            </w:r>
          </w:p>
        </w:tc>
        <w:tc>
          <w:tcPr>
            <w:tcW w:w="6640" w:type="dxa"/>
            <w:vAlign w:val="bottom"/>
            <w:gridSpan w:val="12"/>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CAPITAL STOCK</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4340" w:type="dxa"/>
            <w:vAlign w:val="bottom"/>
            <w:gridSpan w:val="3"/>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r>
      <w:tr>
        <w:trPr>
          <w:trHeight w:val="304"/>
        </w:trPr>
        <w:tc>
          <w:tcPr>
            <w:tcW w:w="302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9"/>
              </w:rPr>
              <w:t>DESCRIPTION OF DEBT SECURITIES</w:t>
            </w:r>
          </w:p>
        </w:tc>
        <w:tc>
          <w:tcPr>
            <w:tcW w:w="5200" w:type="dxa"/>
            <w:vAlign w:val="bottom"/>
            <w:gridSpan w:val="5"/>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304"/>
        </w:trPr>
        <w:tc>
          <w:tcPr>
            <w:tcW w:w="2480" w:type="dxa"/>
            <w:vAlign w:val="bottom"/>
            <w:tcBorders>
              <w:bottom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0000EE"/>
                <w:w w:val="98"/>
              </w:rPr>
              <w:t>DESCRIPTION OF WARRANTS</w:t>
            </w:r>
          </w:p>
        </w:tc>
        <w:tc>
          <w:tcPr>
            <w:tcW w:w="5740" w:type="dxa"/>
            <w:vAlign w:val="bottom"/>
            <w:gridSpan w:val="7"/>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04"/>
        </w:trPr>
        <w:tc>
          <w:tcPr>
            <w:tcW w:w="202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DESCRIPTION OF UNITS</w:t>
            </w:r>
          </w:p>
        </w:tc>
        <w:tc>
          <w:tcPr>
            <w:tcW w:w="6200" w:type="dxa"/>
            <w:vAlign w:val="bottom"/>
            <w:gridSpan w:val="10"/>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DESCRIPTION OF OUR SUBSCRIPTION RIGHTS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304"/>
        </w:trPr>
        <w:tc>
          <w:tcPr>
            <w:tcW w:w="180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GLOBAL SECURITIES</w:t>
            </w:r>
          </w:p>
        </w:tc>
        <w:tc>
          <w:tcPr>
            <w:tcW w:w="2080" w:type="dxa"/>
            <w:vAlign w:val="bottom"/>
            <w:tcBorders>
              <w:top w:val="single" w:sz="8" w:color="0000EE"/>
            </w:tcBorders>
            <w:gridSpan w:val="8"/>
          </w:tcPr>
          <w:p>
            <w:pPr>
              <w:spacing w:after="0"/>
              <w:rPr>
                <w:sz w:val="24"/>
                <w:szCs w:val="24"/>
                <w:color w:val="auto"/>
              </w:rPr>
            </w:pPr>
          </w:p>
        </w:tc>
        <w:tc>
          <w:tcPr>
            <w:tcW w:w="4340" w:type="dxa"/>
            <w:vAlign w:val="bottom"/>
            <w:gridSpan w:val="3"/>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PLAN OF DISTRIBUTION</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304"/>
        </w:trPr>
        <w:tc>
          <w:tcPr>
            <w:tcW w:w="146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tcBorders>
              <w:top w:val="single" w:sz="8" w:color="0000EE"/>
            </w:tcBorders>
            <w:gridSpan w:val="5"/>
          </w:tcPr>
          <w:p>
            <w:pPr>
              <w:spacing w:after="0"/>
              <w:rPr>
                <w:sz w:val="24"/>
                <w:szCs w:val="24"/>
                <w:color w:val="auto"/>
              </w:rPr>
            </w:pPr>
          </w:p>
        </w:tc>
        <w:tc>
          <w:tcPr>
            <w:tcW w:w="6180" w:type="dxa"/>
            <w:vAlign w:val="bottom"/>
            <w:gridSpan w:val="9"/>
          </w:tcPr>
          <w:p>
            <w:pPr>
              <w:spacing w:after="0"/>
              <w:rPr>
                <w:sz w:val="24"/>
                <w:szCs w:val="24"/>
                <w:color w:val="auto"/>
              </w:rPr>
            </w:pP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04"/>
        </w:trPr>
        <w:tc>
          <w:tcPr>
            <w:tcW w:w="8220" w:type="dxa"/>
            <w:vAlign w:val="bottom"/>
            <w:gridSpan w:val="17"/>
          </w:tcPr>
          <w:p>
            <w:pPr>
              <w:spacing w:after="0"/>
              <w:rPr>
                <w:sz w:val="20"/>
                <w:szCs w:val="20"/>
                <w:color w:val="auto"/>
              </w:rPr>
            </w:pPr>
            <w:r>
              <w:rPr>
                <w:rFonts w:ascii="Times New Roman" w:cs="Times New Roman" w:eastAsia="Times New Roman" w:hAnsi="Times New Roman"/>
                <w:sz w:val="18"/>
                <w:szCs w:val="18"/>
                <w:color w:val="0000EE"/>
              </w:rPr>
              <w:t>EXPERTS</w:t>
            </w:r>
          </w:p>
        </w:tc>
        <w:tc>
          <w:tcPr>
            <w:tcW w:w="2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385"/>
        </w:trPr>
        <w:tc>
          <w:tcPr>
            <w:tcW w:w="760" w:type="dxa"/>
            <w:vAlign w:val="bottom"/>
            <w:tcBorders>
              <w:top w:val="single" w:sz="8" w:color="0000EE"/>
            </w:tcBorders>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040" w:type="dxa"/>
            <w:vAlign w:val="bottom"/>
            <w:gridSpan w:val="2"/>
          </w:tcPr>
          <w:p>
            <w:pPr>
              <w:ind w:left="300"/>
              <w:spacing w:after="0"/>
              <w:rPr>
                <w:sz w:val="20"/>
                <w:szCs w:val="20"/>
                <w:color w:val="auto"/>
              </w:rPr>
            </w:pPr>
            <w:r>
              <w:rPr>
                <w:rFonts w:ascii="Times New Roman" w:cs="Times New Roman" w:eastAsia="Times New Roman" w:hAnsi="Times New Roman"/>
                <w:sz w:val="18"/>
                <w:szCs w:val="18"/>
                <w:color w:val="auto"/>
              </w:rPr>
              <w:t>i</w:t>
            </w:r>
          </w:p>
        </w:tc>
        <w:tc>
          <w:tcPr>
            <w:tcW w:w="2740" w:type="dxa"/>
            <w:vAlign w:val="bottom"/>
          </w:tcPr>
          <w:p>
            <w:pPr>
              <w:spacing w:after="0"/>
              <w:rPr>
                <w:sz w:val="24"/>
                <w:szCs w:val="24"/>
                <w:color w:val="auto"/>
              </w:rPr>
            </w:pPr>
          </w:p>
        </w:tc>
      </w:tr>
    </w:tbl>
    <w:p>
      <w:pPr>
        <w:sectPr>
          <w:pgSz w:w="11900" w:h="16838" w:orient="portrait"/>
          <w:cols w:equalWidth="0" w:num="1">
            <w:col w:w="11080"/>
          </w:cols>
          <w:pgMar w:left="320" w:top="455"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that we filed with the Securities and Exchange Commission, or the SEC, using a “shelf” registration process. By using a shelf registration statement, we may, from time to time, offer and sell, either individually or in combination, in one or more offerings, up to a total dollar amount of $300,000,000 of any combination of the securities described in this prospectus.</w:t>
      </w:r>
    </w:p>
    <w:p>
      <w:pPr>
        <w:spacing w:after="0" w:line="176"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This prospectus provides you only with a general description of the securities that we may offer. Each time that we offer and sell securities, we will provide a prospectus supplement to this prospectus that contains specific information about the securities being offered and sold and the specific terms of that offering. We may also authorize one or more free writing prospectuses to be provided to you that may contain material information relating to these offerings. The prospectus supplement or free writing prospectus may also add, update or change information contained or incorporated by reference in this prospectus with respect to that offering. If there is any inconsistency between the information in this prospectus and the applicable prospectus supplement or free writing prospectus, you should rely on the prospectus supplement or free writing prospectus, as applicable. Before purchasing any securities, you should carefully read both this prospectus and the applicable prospectus supplement (and any applicable free writing prospectuses), together with the additional information described under the heading “Where You Can Find More Information.”</w:t>
      </w:r>
    </w:p>
    <w:p>
      <w:pPr>
        <w:spacing w:after="0" w:line="19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not authorized anyone to provide you with any information or to make any representations other than those contained in, or incorporated by reference in, this prospectus, any applicable prospectus supplement or any free writing prospectuses prepared by or on behalf of us or to which we have referred you. We take no responsibility for, and can provide no assurance as to the reliability of, any other information that others may give you. We will not make an offer to sell these securities in any jurisdiction where the offer or sale is not permitted. You should assume that the information appearing in this prospectus and the applicable prospectus supplement is accurate only as of the date on its respective cover, that the information appearing in any applicable free writing prospectus is accurate only as of the date of that free writing prospectus, and that any information incorporated by reference is accurate only as of the date of the document incorporated by reference, unless we indicate otherwise. Our business, financial condition, results of operations and prospects may have changed since those dates.</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This prospectus may not be used to consummate sales of our securities, unless it is accompanied by a prospectus supplement.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When we refer to “Larimar,” “Larimar Therapeutics,” “we,” “our,” “us” and the “Company” in this prospectus, we mean Larimar Therapeutics, Inc. and its subsidiary unless otherwise specified. When we refer to “you,” we mean the potential holders of the applicable series of securities.</w:t>
      </w:r>
    </w:p>
    <w:p>
      <w:pPr>
        <w:spacing w:after="0" w:line="162" w:lineRule="exact"/>
        <w:rPr>
          <w:sz w:val="20"/>
          <w:szCs w:val="20"/>
          <w:color w:val="auto"/>
        </w:rPr>
      </w:pPr>
    </w:p>
    <w:p>
      <w:pPr>
        <w:ind w:left="120" w:right="80"/>
        <w:spacing w:after="0" w:line="236" w:lineRule="auto"/>
        <w:rPr>
          <w:sz w:val="20"/>
          <w:szCs w:val="20"/>
          <w:color w:val="auto"/>
        </w:rPr>
      </w:pPr>
      <w:r>
        <w:rPr>
          <w:rFonts w:ascii="Times New Roman" w:cs="Times New Roman" w:eastAsia="Times New Roman" w:hAnsi="Times New Roman"/>
          <w:sz w:val="18"/>
          <w:szCs w:val="18"/>
          <w:color w:val="auto"/>
        </w:rPr>
        <w:t xml:space="preserve">This prospectus contains or incorporates by reference documents that contain references to trademarks, service marks and trade names owned by us or other entities. All trademarks, service marks and trade names included or incorporated by reference into this prospectus are the property of their respective owners. Solely for convenience, trademarks, service marks and trade names referred to in this prospectus may appear without the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symbols, but such references are not intended to indicate, in any way, that their respective owners will not assert, to the fullest extent under applicable law, their rights thereto. We do not intend our use or display of other companies’ trade names, trademarks or service marks to imply a relationship with, or endorsement or sponsorship of us by, these other companies.</w:t>
      </w:r>
    </w:p>
    <w:p>
      <w:pPr>
        <w:spacing w:after="0" w:line="133"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This prospectus is part of the registration statement on Form S-3 filed with the SEC under the Securities Act of 1933, as amended, or the Securities Act, and does not contain all the information set forth in the registration statement. Whenever a reference is made in this prospectus to any of our contracts, agreements or other documents, the reference may not be complete and you should refer to the exhibits that are a part of the registration statement or the exhibits to the reports or other documents incorporated herein by reference for a copy of such contract, agreement or other document.</w:t>
      </w:r>
    </w:p>
    <w:p>
      <w:pPr>
        <w:spacing w:after="0" w:line="180" w:lineRule="exact"/>
        <w:rPr>
          <w:sz w:val="20"/>
          <w:szCs w:val="20"/>
          <w:color w:val="auto"/>
        </w:rPr>
      </w:pPr>
    </w:p>
    <w:p>
      <w:pPr>
        <w:ind w:left="120" w:right="360"/>
        <w:spacing w:after="0" w:line="261" w:lineRule="auto"/>
        <w:rPr>
          <w:sz w:val="20"/>
          <w:szCs w:val="20"/>
          <w:color w:val="auto"/>
        </w:rPr>
      </w:pPr>
      <w:r>
        <w:rPr>
          <w:rFonts w:ascii="Times New Roman" w:cs="Times New Roman" w:eastAsia="Times New Roman" w:hAnsi="Times New Roman"/>
          <w:sz w:val="18"/>
          <w:szCs w:val="18"/>
          <w:color w:val="auto"/>
        </w:rPr>
        <w:t>We are currently subject to the reporting requirements of the Securities Exchange Act of 1934, as amended, or the Exchange Act, and in accordance therewith file periodic reports, proxy statements and other information with the SEC. Our SEC filings are available to you on the SEC’s website at http://www.sec.gov and in the “Investors” section of our website at www.larimartx.com. Our website and the information contained on that site, or connected to that site, are not incorporated into and are not a part of this prospectus.</w:t>
      </w:r>
    </w:p>
    <w:p>
      <w:pPr>
        <w:spacing w:after="0" w:line="39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9"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information from other documents that we file with it, which means that we can disclose important information to you by referring you to those documents. The information incorporated by reference is considered to be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incorporate by reference into this prospectus and the registration statement of which this prospectus is a part the information or documents listed below that we have filed with the SEC:</w:t>
      </w:r>
    </w:p>
    <w:p>
      <w:pPr>
        <w:spacing w:after="0" w:line="93"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2023 filed with the SEC on March 14, 2024;</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Form 10-Q for the quarter ended March 31, 2024 filed with the SEC on </w:t>
      </w:r>
      <w:hyperlink r:id="rId81">
        <w:r>
          <w:rPr>
            <w:rFonts w:ascii="Times New Roman" w:cs="Times New Roman" w:eastAsia="Times New Roman" w:hAnsi="Times New Roman"/>
            <w:sz w:val="18"/>
            <w:szCs w:val="18"/>
            <w:u w:val="single" w:color="auto"/>
            <w:color w:val="0000EE"/>
          </w:rPr>
          <w:t>May 9, 2024</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Annual Report on </w:t>
      </w:r>
      <w:hyperlink r:id="rId80">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for the year ended December 31, 2023 from our Definitive Proxy Statement on </w:t>
      </w:r>
      <w:hyperlink r:id="rId82">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29, 2024;</w:t>
      </w:r>
    </w:p>
    <w:p>
      <w:pPr>
        <w:spacing w:after="0" w:line="67"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83">
        <w:r>
          <w:rPr>
            <w:rFonts w:ascii="Times New Roman" w:cs="Times New Roman" w:eastAsia="Times New Roman" w:hAnsi="Times New Roman"/>
            <w:sz w:val="18"/>
            <w:szCs w:val="18"/>
            <w:u w:val="single" w:color="auto"/>
            <w:color w:val="0000EE"/>
          </w:rPr>
          <w:t>February 12, 2024</w:t>
        </w:r>
      </w:hyperlink>
      <w:r>
        <w:rPr>
          <w:rFonts w:ascii="Times New Roman" w:cs="Times New Roman" w:eastAsia="Times New Roman" w:hAnsi="Times New Roman"/>
          <w:sz w:val="18"/>
          <w:szCs w:val="18"/>
          <w:color w:val="auto"/>
        </w:rPr>
        <w:t xml:space="preserve">, </w:t>
      </w:r>
      <w:hyperlink r:id="rId84">
        <w:r>
          <w:rPr>
            <w:rFonts w:ascii="Times New Roman" w:cs="Times New Roman" w:eastAsia="Times New Roman" w:hAnsi="Times New Roman"/>
            <w:sz w:val="18"/>
            <w:szCs w:val="18"/>
            <w:u w:val="single" w:color="auto"/>
            <w:color w:val="0000EE"/>
          </w:rPr>
          <w:t>February 14, 2024</w:t>
        </w:r>
      </w:hyperlink>
      <w:r>
        <w:rPr>
          <w:rFonts w:ascii="Times New Roman" w:cs="Times New Roman" w:eastAsia="Times New Roman" w:hAnsi="Times New Roman"/>
          <w:sz w:val="18"/>
          <w:szCs w:val="18"/>
          <w:color w:val="auto"/>
        </w:rPr>
        <w:t xml:space="preserve">, </w:t>
      </w:r>
      <w:hyperlink r:id="rId85">
        <w:r>
          <w:rPr>
            <w:rFonts w:ascii="Times New Roman" w:cs="Times New Roman" w:eastAsia="Times New Roman" w:hAnsi="Times New Roman"/>
            <w:sz w:val="18"/>
            <w:szCs w:val="18"/>
            <w:u w:val="single" w:color="auto"/>
            <w:color w:val="0000EE"/>
          </w:rPr>
          <w:t>February 16, 2024</w:t>
        </w:r>
      </w:hyperlink>
      <w:r>
        <w:rPr>
          <w:rFonts w:ascii="Times New Roman" w:cs="Times New Roman" w:eastAsia="Times New Roman" w:hAnsi="Times New Roman"/>
          <w:sz w:val="18"/>
          <w:szCs w:val="18"/>
          <w:color w:val="auto"/>
        </w:rPr>
        <w:t xml:space="preserve">, </w:t>
      </w:r>
      <w:hyperlink r:id="rId86">
        <w:r>
          <w:rPr>
            <w:rFonts w:ascii="Times New Roman" w:cs="Times New Roman" w:eastAsia="Times New Roman" w:hAnsi="Times New Roman"/>
            <w:sz w:val="18"/>
            <w:szCs w:val="18"/>
            <w:u w:val="single" w:color="auto"/>
            <w:color w:val="0000EE"/>
          </w:rPr>
          <w:t>March 11, 2024</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87">
        <w:r>
          <w:rPr>
            <w:rFonts w:ascii="Times New Roman" w:cs="Times New Roman" w:eastAsia="Times New Roman" w:hAnsi="Times New Roman"/>
            <w:sz w:val="18"/>
            <w:szCs w:val="18"/>
            <w:u w:val="single" w:color="auto"/>
            <w:color w:val="0000EE"/>
          </w:rPr>
          <w:t>May 9, 2024</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each case other than any portions thereof deemed furnished and not filed); and</w:t>
      </w:r>
    </w:p>
    <w:p>
      <w:pPr>
        <w:spacing w:after="0" w:line="67" w:lineRule="exact"/>
        <w:rPr>
          <w:rFonts w:ascii="Times New Roman" w:cs="Times New Roman" w:eastAsia="Times New Roman" w:hAnsi="Times New Roman"/>
          <w:sz w:val="18"/>
          <w:szCs w:val="18"/>
          <w:color w:val="0000EE"/>
        </w:rPr>
      </w:pPr>
    </w:p>
    <w:p>
      <w:pPr>
        <w:ind w:left="1080" w:right="200" w:hanging="424"/>
        <w:spacing w:after="0" w:line="266" w:lineRule="auto"/>
        <w:tabs>
          <w:tab w:leader="none" w:pos="1080" w:val="left"/>
        </w:tabs>
        <w:numPr>
          <w:ilvl w:val="0"/>
          <w:numId w:val="2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description of our common stock contained in our registration statement on </w:t>
      </w:r>
      <w:hyperlink r:id="rId70">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(File No. 001-36510) filed with the SEC on June 18, 2014, under the Exchange Act, including any amendment or report filed for the purpose of updating such description, including </w:t>
      </w:r>
      <w:hyperlink r:id="rId71">
        <w:r>
          <w:rPr>
            <w:rFonts w:ascii="Times New Roman" w:cs="Times New Roman" w:eastAsia="Times New Roman" w:hAnsi="Times New Roman"/>
            <w:sz w:val="18"/>
            <w:szCs w:val="18"/>
            <w:u w:val="single" w:color="auto"/>
            <w:color w:val="0000EE"/>
          </w:rPr>
          <w:t>Exhibit 4.1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to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our Annual Report on Form 10-K for the year ended December 31, 2023.</w:t>
      </w:r>
    </w:p>
    <w:p>
      <w:pPr>
        <w:spacing w:after="0" w:line="176" w:lineRule="exact"/>
        <w:rPr>
          <w:rFonts w:ascii="Times New Roman" w:cs="Times New Roman" w:eastAsia="Times New Roman" w:hAnsi="Times New Roman"/>
          <w:sz w:val="18"/>
          <w:szCs w:val="18"/>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any filings or portions of such reports that are not deemed “filed” under the Exchange Act in accordance with the Exchange Act and applicable SEC rules, including current reports furnished under Item 2.02 or Item 7.01 of Form 8-K and exhibits furnished on such form that are related to such items unless such Form 8-K expressly provides to the contrary) made with the SEC pursuant to Sections 13(a), 13(c), 14 or 15(d) of the Exchange Act, including those made after the date of the initial filing of the registration statement of which this prospectus is a part and prior to the effectiveness of the registration statement, until we file a post-effective amendment that indicates the termination of the offering of the securities made by this prospectus, and will become a part of this prospectus from the date that such documents are filed with the SEC. Information in such future filings updates and supplements the information</w:t>
      </w:r>
    </w:p>
    <w:p>
      <w:pPr>
        <w:spacing w:after="0" w:line="121" w:lineRule="exact"/>
        <w:rPr>
          <w:rFonts w:ascii="Times New Roman" w:cs="Times New Roman" w:eastAsia="Times New Roman" w:hAnsi="Times New Roman"/>
          <w:sz w:val="18"/>
          <w:szCs w:val="18"/>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120"/>
          </w:cols>
          <w:pgMar w:left="320" w:top="455" w:right="45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80"/>
        <w:spacing w:after="0" w:line="266" w:lineRule="auto"/>
        <w:rPr>
          <w:sz w:val="20"/>
          <w:szCs w:val="20"/>
          <w:color w:val="auto"/>
        </w:rPr>
      </w:pPr>
      <w:r>
        <w:rPr>
          <w:rFonts w:ascii="Times New Roman" w:cs="Times New Roman" w:eastAsia="Times New Roman" w:hAnsi="Times New Roman"/>
          <w:sz w:val="18"/>
          <w:szCs w:val="18"/>
          <w:color w:val="auto"/>
        </w:rPr>
        <w:t>provided in this prospectus.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furnish without charge to you, upon written or oral request, a copy of any or all of the documents incorporated by reference in this prospectus, including exhibits to these documents by writing or telephoning us at the following address or phone number below. You may also access this information on our website at www.larimartx.com by viewing the “Financials &amp; Filings” subsection of the “Investors” menu. No additional information is deemed to be part of or incorporated by reference into this prospectus.</w:t>
      </w:r>
    </w:p>
    <w:p>
      <w:pPr>
        <w:spacing w:after="0" w:line="18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Larimar Therapeutics, Inc.</w:t>
      </w:r>
    </w:p>
    <w:p>
      <w:pPr>
        <w:spacing w:after="0" w:line="27"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Three Bala Plaza East, Suite 506</w:t>
      </w:r>
    </w:p>
    <w:p>
      <w:pPr>
        <w:spacing w:after="0" w:line="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Bala Cynwyd, PA 19004</w:t>
      </w:r>
    </w:p>
    <w:p>
      <w:pPr>
        <w:spacing w:after="0" w:line="9" w:lineRule="exact"/>
        <w:rPr>
          <w:sz w:val="20"/>
          <w:szCs w:val="20"/>
          <w:color w:val="auto"/>
        </w:rPr>
      </w:pPr>
    </w:p>
    <w:p>
      <w:pPr>
        <w:ind w:left="5500" w:hanging="435"/>
        <w:spacing w:after="0"/>
        <w:tabs>
          <w:tab w:leader="none" w:pos="55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511-9056</w:t>
      </w:r>
    </w:p>
    <w:p>
      <w:pPr>
        <w:spacing w:after="0" w:line="9" w:lineRule="exact"/>
        <w:rPr>
          <w:rFonts w:ascii="Times New Roman" w:cs="Times New Roman" w:eastAsia="Times New Roman" w:hAnsi="Times New Roman"/>
          <w:sz w:val="18"/>
          <w:szCs w:val="18"/>
          <w:color w:val="auto"/>
        </w:rPr>
      </w:pPr>
    </w:p>
    <w:p>
      <w:pPr>
        <w:ind w:left="44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Chief Financial Officer</w:t>
      </w:r>
    </w:p>
    <w:p>
      <w:pPr>
        <w:spacing w:after="0" w:line="139"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60"/>
          </w:cols>
          <w:pgMar w:left="320" w:top="455" w:right="51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This prospectus, any applicable prospectus supplement and the documents incorporated by reference may contain forward-looking statements within the meaning of Section 27A of the Securities Act and Section 21E of the Exchange Act about us and our subsidiary.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although not all forward-looking statements contain these identifying words. Forward-looking statements include, but are not limited to, statements concerning:</w:t>
      </w:r>
    </w:p>
    <w:p>
      <w:pPr>
        <w:spacing w:after="0" w:line="94" w:lineRule="exact"/>
        <w:rPr>
          <w:sz w:val="20"/>
          <w:szCs w:val="20"/>
          <w:color w:val="auto"/>
        </w:rPr>
      </w:pPr>
    </w:p>
    <w:p>
      <w:pPr>
        <w:ind w:left="1080" w:hanging="424"/>
        <w:spacing w:after="0" w:line="258"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in obtaining successful non-clinical or clinical results that reliably and meaningfully demonstrate safety, tolerability and efficacy profiles that are satisfactory to the U.S. Food and Drug Administration, or FDA, European Medicines Agency, and other comparable regulatory authorities for marketing approval for nomlabofusp (nomlabofusp is the International Nonproprietary Name and the United States Adopted Name for CTI-1601) or any other product candidate that we may develop in the future and unexpected costs that may result therefrom;</w:t>
      </w:r>
    </w:p>
    <w:p>
      <w:pPr>
        <w:spacing w:after="0" w:line="88"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successfully execute our ongoing open label extension study, including the timing of site initiations and rate of patient enrollment, and our ability to pursue dose escalation;</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uncertainties associated with the clinical development and regulatory approval for nomlabofusp, including potential delays in the commencement, enrollment and completion of clinical trials, the timing of a potential Biologics License Application submission for accelerated approval, including our ability to supply to the FDA all required data for FDA to review and accept an accelerated application, or any other product candidate that we may develop in the future;</w:t>
      </w:r>
    </w:p>
    <w:p>
      <w:pPr>
        <w:spacing w:after="0" w:line="85" w:lineRule="exact"/>
        <w:rPr>
          <w:rFonts w:ascii="Times New Roman" w:cs="Times New Roman" w:eastAsia="Times New Roman" w:hAnsi="Times New Roman"/>
          <w:sz w:val="18"/>
          <w:szCs w:val="18"/>
          <w:color w:val="auto"/>
        </w:rPr>
      </w:pPr>
    </w:p>
    <w:p>
      <w:pPr>
        <w:ind w:left="1080" w:right="34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patient recruitment for our clinical trials (including as a result of the impact of FDA approval of competitive products for the treatment of Friedreich’s ataxia, and/or the impact of other clinical trials of competitive products), delays as a result of clinical and non-clinical results and/or FDA’s request for additional information or studies, changes in clinical protocols, regulatory restrictions, including additional clinical holds, and milestones for nomlabofusp;</w:t>
      </w:r>
    </w:p>
    <w:p>
      <w:pPr>
        <w:spacing w:after="0" w:line="85" w:lineRule="exact"/>
        <w:rPr>
          <w:rFonts w:ascii="Times New Roman" w:cs="Times New Roman" w:eastAsia="Times New Roman" w:hAnsi="Times New Roman"/>
          <w:sz w:val="18"/>
          <w:szCs w:val="18"/>
          <w:color w:val="auto"/>
        </w:rPr>
      </w:pPr>
    </w:p>
    <w:p>
      <w:pPr>
        <w:ind w:left="1080" w:right="68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difficulties and expenses associated with obtaining and maintaining regulatory approval for nomlabofusp or any other product candidate we may develop in the future, and the indication and labeling under any such approval;</w:t>
      </w:r>
    </w:p>
    <w:p>
      <w:pPr>
        <w:spacing w:after="0" w:line="67" w:lineRule="exact"/>
        <w:rPr>
          <w:rFonts w:ascii="Times New Roman" w:cs="Times New Roman" w:eastAsia="Times New Roman" w:hAnsi="Times New Roman"/>
          <w:sz w:val="18"/>
          <w:szCs w:val="18"/>
          <w:color w:val="auto"/>
        </w:rPr>
      </w:pPr>
    </w:p>
    <w:p>
      <w:pPr>
        <w:ind w:left="1080" w:right="22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long we can continue to fund our operations with our existing cash, cash equivalents and marketable securities and our estimates regarding future results of operations, financial position, research and development costs, capital requirements and our access and needs for additional financing;</w:t>
      </w:r>
    </w:p>
    <w:p>
      <w:pPr>
        <w:spacing w:after="0" w:line="81"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and the ability of third-party manufacturers we engage, to optimize and scale nomlabofusp or any other product candidate’s manufacturing process and to manufacture sufficient quantities of clinical supplies, and, if approved, commercial supplies of nomlabofusp or any other product candidate that we may develop in the future and our ability to maintain our relationships and contracts with our key vendors and to identify and contract with alternate or secondary key vendors;</w:t>
      </w:r>
    </w:p>
    <w:p>
      <w:pPr>
        <w:spacing w:after="0" w:line="85" w:lineRule="exact"/>
        <w:rPr>
          <w:rFonts w:ascii="Times New Roman" w:cs="Times New Roman" w:eastAsia="Times New Roman" w:hAnsi="Times New Roman"/>
          <w:sz w:val="18"/>
          <w:szCs w:val="18"/>
          <w:color w:val="auto"/>
        </w:rPr>
      </w:pPr>
    </w:p>
    <w:p>
      <w:pPr>
        <w:ind w:left="1080" w:right="160" w:hanging="424"/>
        <w:spacing w:after="0" w:line="266"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any value from nomlabofusp and/or any other product candidate we may develop in the future in light of inherent risks and difficulties involved in successfully bringing product candidates to market and the risk that the product candidates, if approved, will not achieve broad market acceptance;</w:t>
      </w:r>
    </w:p>
    <w:p>
      <w:pPr>
        <w:spacing w:after="0" w:line="81"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regulatory requirements applicable to our business and other regulatory developments in the United States and other countries;</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20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size and growth of the potential markets for nomlabofusp, if approved, or any other product candidate that we may develop in the future, the rate and degree of market acceptance of nomlabofusp or any other product candidate, if approved, that we may develop in the future and our ability to serve those markets;</w:t>
      </w:r>
    </w:p>
    <w:p>
      <w:pPr>
        <w:spacing w:after="0" w:line="81" w:lineRule="exact"/>
        <w:rPr>
          <w:rFonts w:ascii="Times New Roman" w:cs="Times New Roman" w:eastAsia="Times New Roman" w:hAnsi="Times New Roman"/>
          <w:sz w:val="18"/>
          <w:szCs w:val="18"/>
          <w:color w:val="auto"/>
        </w:rPr>
      </w:pPr>
    </w:p>
    <w:p>
      <w:pPr>
        <w:ind w:left="1080" w:right="280" w:hanging="424"/>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given competing therapies and products for the treatment of Friedreich’s ataxia, our ability to obtain and maintain designations or eligibility for expedited regulatory programs, and to commercialize current and future product candidates, if approved, (including the impact of potential barriers to entry if a competitor is able to establish a strong market position before we are able to commercialize our products);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patent protection and defend our intellectual property rights against third parties;</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and compliance with the rules and regulations of the FDA (and all other regulatory authorities) of third parties upon which we depend, including third-party contract research organizations, consultants and third-party suppliers, manufacturers, distributors, and logistics providers;</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and retain key scientific, technical, commercial, and management personnel and to retain our executive officers;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proper functionality and security of our internal computer and information systems and prevent or avoid cyber-attacks, malicious intrusion, breakdown, destruction, loss of data privacy or other significant disruption;</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geopolitical tensions, including regional conflicts around the world, adverse macroeconomic events, including those due to inflationary pressures, rising interest rates, banking instability, economic slowdowns or recessions, health epidemics, unforeseen emergencies and other outbreaks of communicable diseases could disrupt our operations, the operations of third parties on which we rely or the operations of regulatory agencies we interact with in the development of nomlabofusp and any other product candidates that we may develop;</w:t>
      </w:r>
    </w:p>
    <w:p>
      <w:pPr>
        <w:spacing w:after="0" w:line="88"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impact of healthcare reform in the United States, including the Inflation Reduction Act of 2022, and measures being taken worldwide designed to reduce healthcare costs and limit the overall level of government expenditures;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cash and other resources, including our expected use of the proceeds from any offering under this prospectus.</w:t>
      </w:r>
    </w:p>
    <w:p>
      <w:pPr>
        <w:spacing w:after="0" w:line="225"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You should read this prospectus and the documents incorporated by reference completely and with the understanding that our actual future results may be materially different from what we currently expect. Our business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discussed under the heading “Risk Factors” contained in this prospectus, any applicable prospectus supplement and any related free writing prospectus, and under similar headings in the other documents that are incorporated by reference into this prospectus.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You should assume that the information appearing in this prospectus, any accompanying prospectus supplement or related free writing prospectus and any document incorporated herein by reference is accurate as of its date only. Because the risk factors referred to above could cause actual results or outcomes to differ materially from those expressed in any forward-looking statements made by us or on our behalf, you should not place undue reliance on any forward-looking statements. Further, any forward-looking statement speaks only as of the date on which it is made. New factors emerge from time to time, and it is not possible for us to predict which factors will arise. In addition, we cannot assess the impact of each factor on our business or the extent to which any factor, or</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combination of factors, may cause actual results to differ materially from those contained in any forward-looking statements. Unless required by law, we undertake no obligation to release publicly any revisions to such forward-looking statements to reflect events or circumstances after the date of this prospectus or to reflect the occurrence of unanticipated events.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ABOUT LARIMAR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We are a clinical-stage biotechnology company focused on developing treatments for patients suffering from complex rare diseases using our novel cell penetrating peptide, or CPP, technology platform. Our lead product candidate, nomlabofusp (nomlabofusp is the International Nonproprietary Name and the United States Adopted Name for CTI-1601), is a subcutaneously administered, recombinant fusion protein intended to deliver tissue frataxin, or FXN, an essential protein, to the mitochondria of patients with Friedreich’s ataxia. Friedreich’s ataxia is a rare, progressive, and fatal disease in which patients are unable to produce sufficient FXN due to a genetic abnormality. Currently, there are no treatment options that address the core deficit of Friedreich’s ataxia, low levels of FXN. Nomlabofusp represents the first potential therapy designed to increase FXN levels in patients with Friedreich’s ataxia.</w:t>
      </w:r>
    </w:p>
    <w:p>
      <w:pPr>
        <w:spacing w:after="0" w:line="189" w:lineRule="exact"/>
        <w:rPr>
          <w:sz w:val="20"/>
          <w:szCs w:val="20"/>
          <w:color w:val="auto"/>
        </w:rPr>
      </w:pPr>
    </w:p>
    <w:p>
      <w:pPr>
        <w:ind w:left="120" w:right="20"/>
        <w:spacing w:after="0" w:line="274" w:lineRule="auto"/>
        <w:rPr>
          <w:sz w:val="20"/>
          <w:szCs w:val="20"/>
          <w:color w:val="auto"/>
        </w:rPr>
      </w:pPr>
      <w:r>
        <w:rPr>
          <w:rFonts w:ascii="Times New Roman" w:cs="Times New Roman" w:eastAsia="Times New Roman" w:hAnsi="Times New Roman"/>
          <w:sz w:val="17"/>
          <w:szCs w:val="17"/>
          <w:color w:val="auto"/>
        </w:rPr>
        <w:t>We have completed two Phase 1 clinical trials and a Phase 2 dose exploration trial, and recently initiated an open label extension trial, or OLE, in patients with Friedreich’s ataxia. We have received an orphan drug designation, fast track designation and rare pediatric disease designation from the U.S. Food and Drug Administration, or FDA, for nomlabofusp. In addition, we received orphan drug designation for nomlabofusp from the European Commission and a PRIority MEdicines designation from the European Medicines Agency, or EMA. We intend to pursue accelerated approval from the FDA for nomlabofusp. The receipt of such designations or positive opinions may not result in a faster development process, review or approval compared to products considered for approval under conventional FDA or EMA procedures and does not assure ultimate approval by the FDA or EMA.</w:t>
      </w:r>
    </w:p>
    <w:p>
      <w:pPr>
        <w:spacing w:after="0" w:line="173"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believe that our CPP platform, which enables a therapeutic molecule to cross a cell membrane in order to reach intracellular targets, has the potential to enable the treatment of other rare and orphan diseases. We intend to use our proprietary platform to target additional orphan indications characterized by deficiencies in or alterations of intracellular content or activity.</w:t>
      </w:r>
    </w:p>
    <w:p>
      <w:pPr>
        <w:spacing w:after="0" w:line="176" w:lineRule="exact"/>
        <w:rPr>
          <w:sz w:val="20"/>
          <w:szCs w:val="20"/>
          <w:color w:val="auto"/>
        </w:rPr>
      </w:pPr>
    </w:p>
    <w:p>
      <w:pPr>
        <w:jc w:val="both"/>
        <w:ind w:left="120" w:right="680"/>
        <w:spacing w:after="0" w:line="266" w:lineRule="auto"/>
        <w:rPr>
          <w:sz w:val="20"/>
          <w:szCs w:val="20"/>
          <w:color w:val="auto"/>
        </w:rPr>
      </w:pPr>
      <w:r>
        <w:rPr>
          <w:rFonts w:ascii="Times New Roman" w:cs="Times New Roman" w:eastAsia="Times New Roman" w:hAnsi="Times New Roman"/>
          <w:sz w:val="18"/>
          <w:szCs w:val="18"/>
          <w:color w:val="auto"/>
        </w:rPr>
        <w:t>Since our inception, we have devoted substantially all of our resources to developing nomlabofusp, building our intellectual property portfolio, developing third-party manufacturing capabilities, business planning, raising capital, and providing general and administrative support for such operations.</w:t>
      </w:r>
    </w:p>
    <w:p>
      <w:pPr>
        <w:spacing w:after="0" w:line="176"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have assembled an experienced management team, each member of which has over 20 years of pharmaceutical industry experience. Our management team and consultants have significant expertise in discovery, nonclinical and clinical development, regulatory affairs and the development of manufacturing processes utilizing good manufacturing practices for biologics and small molecules. We believe that our management team’s diverse mix of skills provides for the implementation of effective approaches to drug and biologic development.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 xml:space="preserve">We were founded in 2005 as a Delaware corporation under the name Zafgen, Inc. Our principal executive offices are located at Three Bala Plaza East, Suite 506, Bala Cynwyd, PA 19004, and our telephone number is (844) 511-9056. Our website address is </w:t>
      </w:r>
      <w:r>
        <w:rPr>
          <w:rFonts w:ascii="Times New Roman" w:cs="Times New Roman" w:eastAsia="Times New Roman" w:hAnsi="Times New Roman"/>
          <w:sz w:val="18"/>
          <w:szCs w:val="18"/>
          <w:i w:val="1"/>
          <w:iCs w:val="1"/>
          <w:color w:val="auto"/>
        </w:rPr>
        <w:t>www.larimartx.com</w:t>
      </w:r>
      <w:r>
        <w:rPr>
          <w:rFonts w:ascii="Times New Roman" w:cs="Times New Roman" w:eastAsia="Times New Roman" w:hAnsi="Times New Roman"/>
          <w:sz w:val="18"/>
          <w:szCs w:val="18"/>
          <w:color w:val="auto"/>
        </w:rPr>
        <w:t>. The information on, or that can be accessed through, our website is not part of this prospectus and is not incorporated by reference herein. We have included our website address as an inactive textual reference only. References in this prospectus to “we,” “us,” “our,” “our company,” “Larimar” or “Larimar Therapeutics” refer to Larimar Therapeutics, Inc. and its subsidiary.</w:t>
      </w:r>
    </w:p>
    <w:p>
      <w:pPr>
        <w:spacing w:after="0" w:line="183"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In May 2020, we completed our business combination with Chondrial Therapeutics, Inc., or Chondrial, and changed our name from “Zafgen, Inc.” to “Larimar Therapeutics, Inc.” Chondrial was determined to be the accounting acquirer for financial reporting purposes, our historical financials are those of Chondrial and the business conducted by Chondrial became our business.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00"/>
          </w:cols>
          <w:pgMar w:left="320" w:top="455"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Investment in any securities offered pursuant to this prospectus and the applicable prospectus supplement involves risks. You should carefully consider the risk factors included in our most recent Annual Report on Form 10-K and subsequent Quarterly Reports on Form 10-Q filed with the SEC, as such risk factors may be amended, supplemented or superseded from time to time by other reports we file with the SEC, including subsequent Annual Reports on Form 10-K and Quarterly Reports on Form 10-Q, and the risk factors described under the caption “Risk Factors” in any applicable prospectus supplement. See “Where You Can Find More Information” and “Incorporation of Certain Information by Reference.” If any of these risks actually occurs, our business, results of operations and financial condition could suffer. In that case, the trading price of our securities could decline, and you could lose all or part of your investment. Additional risks and uncertainties not currently known to us, or that we currently believe are immaterial, may also adversely affect our business, operating results and financial condition and the value of an investment in our securities. In addition, past financial performance may not be a reliable indicator of future performance, and historical trends should not be used to anticipate results or trends in future periods.</w:t>
      </w:r>
    </w:p>
    <w:p>
      <w:pPr>
        <w:spacing w:after="0" w:line="1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80"/>
          </w:cols>
          <w:pgMar w:left="320" w:top="455"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We intend to use the net proceeds from the sale of the securities as set forth in the applicable prospectus supplement.</w:t>
      </w:r>
    </w:p>
    <w:p>
      <w:pPr>
        <w:spacing w:after="0" w:line="169"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139"/>
          </w:cols>
          <w:pgMar w:left="320" w:top="455" w:right="1440"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description of our capital stock is not complete and may not contain all the information you should consider before investing in our capital stock. This description is summarized from, and qualified in its entirety by reference to, our certificate of incorporation, which has been publicly filed with the SEC. See “Where You Can Find More Information.” For a complete description, you should refer to our Ninth Amended and Restated Certificate of Incorporation, as amended, or the Charter, and our Amended and Restated Bylaws, or the Bylaws, copies of which are incorporated by reference as exhibits to the registration statement of which this prospectus is a part.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117" w:lineRule="exact"/>
        <w:rPr>
          <w:sz w:val="20"/>
          <w:szCs w:val="20"/>
          <w:color w:val="auto"/>
        </w:rPr>
      </w:pPr>
    </w:p>
    <w:p>
      <w:pPr>
        <w:ind w:left="120" w:right="8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Authorized Capital Stock</w:t>
      </w:r>
      <w:r>
        <w:rPr>
          <w:rFonts w:ascii="Times New Roman" w:cs="Times New Roman" w:eastAsia="Times New Roman" w:hAnsi="Times New Roman"/>
          <w:sz w:val="18"/>
          <w:szCs w:val="18"/>
          <w:color w:val="auto"/>
        </w:rPr>
        <w:t>. Our authorized capital stock consists of (i) 115,000,000 shares of common stock, par value $0.001 per share, of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63,802,017 shares have been issued and are outstanding as of May 8, 2024, referred to as the capitalization date, and (ii) 5,000,000 shares of preferred stock, par value $0.001 per share, of which no shares have been issued and there currently are no shares outstanding as of the capitalization date. We do not hold any shares of our capital stock in our treasury.</w:t>
      </w:r>
    </w:p>
    <w:p>
      <w:pPr>
        <w:spacing w:after="0" w:line="176" w:lineRule="exact"/>
        <w:rPr>
          <w:sz w:val="20"/>
          <w:szCs w:val="20"/>
          <w:color w:val="auto"/>
        </w:rPr>
      </w:pPr>
    </w:p>
    <w:p>
      <w:pPr>
        <w:ind w:lef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Voting Rights</w:t>
      </w:r>
      <w:r>
        <w:rPr>
          <w:rFonts w:ascii="Times New Roman" w:cs="Times New Roman" w:eastAsia="Times New Roman" w:hAnsi="Times New Roman"/>
          <w:sz w:val="18"/>
          <w:szCs w:val="18"/>
          <w:color w:val="auto"/>
        </w:rPr>
        <w:t>. Holders of our common stock are entitled to one vote for each share held of record on all matters submitted to a vote of stockholders.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holders of our common stock do not have any cumulative voting rights.</w:t>
      </w:r>
    </w:p>
    <w:p>
      <w:pPr>
        <w:spacing w:after="0" w:line="155"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Dividends</w:t>
      </w:r>
      <w:r>
        <w:rPr>
          <w:rFonts w:ascii="Times New Roman" w:cs="Times New Roman" w:eastAsia="Times New Roman" w:hAnsi="Times New Roman"/>
          <w:sz w:val="18"/>
          <w:szCs w:val="18"/>
          <w:color w:val="auto"/>
        </w:rPr>
        <w:t>. Holders of our common stock are entitled to receive ratably any dividends declared by our Board of Directors, or the Board, out of funds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legally available for that purpose, subject to any preferential dividend rights of any outstanding preferred stock.</w:t>
      </w:r>
    </w:p>
    <w:p>
      <w:pPr>
        <w:spacing w:after="0" w:line="155" w:lineRule="exact"/>
        <w:rPr>
          <w:sz w:val="20"/>
          <w:szCs w:val="20"/>
          <w:color w:val="auto"/>
        </w:rPr>
      </w:pPr>
    </w:p>
    <w:p>
      <w:pPr>
        <w:jc w:val="both"/>
        <w:ind w:left="120"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 Preemptive or Similar Rights</w:t>
      </w:r>
      <w:r>
        <w:rPr>
          <w:rFonts w:ascii="Times New Roman" w:cs="Times New Roman" w:eastAsia="Times New Roman" w:hAnsi="Times New Roman"/>
          <w:sz w:val="18"/>
          <w:szCs w:val="18"/>
          <w:color w:val="auto"/>
        </w:rPr>
        <w:t>. Our common stock has no preemptive rights, conversion rights or other subscription rights or redemption or sinking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fund provisions. In the event of a liquidation, dissolution or winding up of us, holders of our common stock will be entitled to share ratably in all assets remaining after payment of all debts and other liabilities and any liquidation preference of any preferred stock then outstanding.</w:t>
      </w:r>
    </w:p>
    <w:p>
      <w:pPr>
        <w:spacing w:after="0" w:line="1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r>
        <w:rPr>
          <w:rFonts w:ascii="Times New Roman" w:cs="Times New Roman" w:eastAsia="Times New Roman" w:hAnsi="Times New Roman"/>
          <w:sz w:val="18"/>
          <w:szCs w:val="18"/>
          <w:color w:val="auto"/>
        </w:rPr>
        <w:t>. The transfer agent and registrar for our common stock is Computershare Trust Company, N.A.</w:t>
      </w:r>
    </w:p>
    <w:p>
      <w:pPr>
        <w:spacing w:after="0" w:line="225" w:lineRule="exact"/>
        <w:rPr>
          <w:sz w:val="20"/>
          <w:szCs w:val="20"/>
          <w:color w:val="auto"/>
        </w:rPr>
      </w:pPr>
    </w:p>
    <w:p>
      <w:pPr>
        <w:ind w:left="120" w:right="5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Listing</w:t>
      </w:r>
      <w:r>
        <w:rPr>
          <w:rFonts w:ascii="Times New Roman" w:cs="Times New Roman" w:eastAsia="Times New Roman" w:hAnsi="Times New Roman"/>
          <w:sz w:val="18"/>
          <w:szCs w:val="18"/>
          <w:color w:val="auto"/>
        </w:rPr>
        <w:t>. Our common stock is listed on the Nasdaq Global Market under the symbol “LRMR.” On May 8, 2024, the last reported sale price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common stock on the Nasdaq Global Market was $7.92 per share. As of May 8, 2024, we had approximately 19 stockholders of record.</w:t>
      </w:r>
    </w:p>
    <w:p>
      <w:pPr>
        <w:spacing w:after="0" w:line="26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Our Board currently has the authority, without further action by our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us could adversely affect the voting power of holders of our common stock and the likelihood that such holders will receive dividend payments and payments upon a liquidation of us. In addition, the issuance of preferred stock could have the effect of delaying, deferring or preventing a change in control of us or other corporate action. No shares of preferred stock are outstanding, and we have no present plans to issue any shares of preferred stock.</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Provisions of Our Charter and Bylaws and Delaware Anti-Takeover Law</w:t>
      </w:r>
    </w:p>
    <w:p>
      <w:pPr>
        <w:spacing w:after="0" w:line="121"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Certain provisions of the Delaware General Corporation Law, or DGCL, and of our Charter and Bylaws could have the effect of delaying, deferring or discouraging another party from acquiring control of us. These provisions, which are summarized below, are expected to discourage certain types of coercive takeover practices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55" w:lineRule="auto"/>
        <w:rPr>
          <w:sz w:val="20"/>
          <w:szCs w:val="20"/>
          <w:color w:val="auto"/>
        </w:rPr>
      </w:pPr>
      <w:r>
        <w:rPr>
          <w:rFonts w:ascii="Times New Roman" w:cs="Times New Roman" w:eastAsia="Times New Roman" w:hAnsi="Times New Roman"/>
          <w:sz w:val="18"/>
          <w:szCs w:val="18"/>
          <w:color w:val="auto"/>
        </w:rPr>
        <w:t>and inadequate takeover bids and, as a consequence, they might also inhibit temporary fluctuations in the market price of our common stock that often result from actual or rumored hostile takeover attempts. These provisions are also designed in part to encourage anyone seeking to acquire control of us to first negotiate with our Board. These provisions might also have the effect of preventing changes in our management. It is possible that these provisions could make it more difficult to accomplish transactions that stockholders might otherwise deem to be in their best interests. However, we believe that the advantages gained by protecting our ability to negotiate with any unsolicited and potentially unfriendly acquirer outweigh the disadvantages of discouraging such proposals, including those priced above the then-current market value of our common stock, because, among other reasons, the negotiation of such proposals could improve their terms.</w:t>
      </w:r>
    </w:p>
    <w:p>
      <w:pPr>
        <w:spacing w:after="0" w:line="185"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Board Composition and Filling Vacancies</w:t>
      </w:r>
      <w:r>
        <w:rPr>
          <w:rFonts w:ascii="Times New Roman" w:cs="Times New Roman" w:eastAsia="Times New Roman" w:hAnsi="Times New Roman"/>
          <w:sz w:val="18"/>
          <w:szCs w:val="18"/>
          <w:color w:val="auto"/>
        </w:rPr>
        <w:t>. Our Charter provides for the division of our Board into three classes serving staggered three-year terms,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with one class being elected each year. Our Charter also provides that directors may be removed only for cause and then only by the affirmative vote of the holders of 75% or more of the shares then entitled to vote at an election of directors. Furthermore, any vacancy on our Board, however occurring, including a vacancy resulting from an increase in the size of our Board, may only be filled by the affirmative vote of a majority of our directors then in office even if less than a quorum.</w:t>
      </w:r>
    </w:p>
    <w:p>
      <w:pPr>
        <w:spacing w:after="0" w:line="179" w:lineRule="exact"/>
        <w:rPr>
          <w:sz w:val="20"/>
          <w:szCs w:val="20"/>
          <w:color w:val="auto"/>
        </w:rPr>
      </w:pPr>
    </w:p>
    <w:p>
      <w:pPr>
        <w:ind w:left="120"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 Written Consent of Stockholders</w:t>
      </w:r>
      <w:r>
        <w:rPr>
          <w:rFonts w:ascii="Times New Roman" w:cs="Times New Roman" w:eastAsia="Times New Roman" w:hAnsi="Times New Roman"/>
          <w:sz w:val="18"/>
          <w:szCs w:val="18"/>
          <w:color w:val="auto"/>
        </w:rPr>
        <w:t>. Our Charter provides that all stockholder actions are required to be taken by a vote of the stockholders at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annual or special meeting, and that stockholders may not take any action by written consent in lieu of a meeting.</w:t>
      </w:r>
    </w:p>
    <w:p>
      <w:pPr>
        <w:spacing w:after="0" w:line="155" w:lineRule="exact"/>
        <w:rPr>
          <w:sz w:val="20"/>
          <w:szCs w:val="20"/>
          <w:color w:val="auto"/>
        </w:rPr>
      </w:pPr>
    </w:p>
    <w:p>
      <w:pPr>
        <w:ind w:left="12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Meetings of Stockholders</w:t>
      </w:r>
      <w:r>
        <w:rPr>
          <w:rFonts w:ascii="Times New Roman" w:cs="Times New Roman" w:eastAsia="Times New Roman" w:hAnsi="Times New Roman"/>
          <w:sz w:val="17"/>
          <w:szCs w:val="17"/>
          <w:color w:val="auto"/>
        </w:rPr>
        <w:t>. Our Charter and Bylaws provide that only a majority of the members of our Board then in office may call special meetings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stockholders and only those matters set forth in the notice of the special meeting may be considered or acted upon at a special meeting of stockholders. Our Bylaws limit the business that may be conducted at an annual meeting of stockholders to those matters properly brought before the meeting.</w:t>
      </w:r>
    </w:p>
    <w:p>
      <w:pPr>
        <w:spacing w:after="0" w:line="153" w:lineRule="exact"/>
        <w:rPr>
          <w:sz w:val="20"/>
          <w:szCs w:val="20"/>
          <w:color w:val="auto"/>
        </w:rPr>
      </w:pPr>
    </w:p>
    <w:p>
      <w:pPr>
        <w:ind w:left="120" w:right="12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Advance Notice Requirements</w:t>
      </w:r>
      <w:r>
        <w:rPr>
          <w:rFonts w:ascii="Times New Roman" w:cs="Times New Roman" w:eastAsia="Times New Roman" w:hAnsi="Times New Roman"/>
          <w:sz w:val="18"/>
          <w:szCs w:val="18"/>
          <w:color w:val="auto"/>
        </w:rPr>
        <w:t>. Our Bylaws establish advance notice procedures with regard to stockholder proposals relating to the nomination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candidates for election as directors or new business to be brought before meetings of our stockholders. These procedures provide that notice of stockholder proposals must be timely given in writing to our corporate secretary prior to the meeting at which the action is to be taken. Generally, to be timely, notice must be received at our principal executive offices not less than 90 days nor more than 120 days prior to the first anniversary date of the annual meeting for the preceding year. Our Bylaws specify the requirements as to form and content of all stockholders’ notices.</w:t>
      </w:r>
    </w:p>
    <w:p>
      <w:pPr>
        <w:spacing w:after="0" w:line="17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Amendment to Charter and Bylaws</w:t>
      </w:r>
      <w:r>
        <w:rPr>
          <w:rFonts w:ascii="Times New Roman" w:cs="Times New Roman" w:eastAsia="Times New Roman" w:hAnsi="Times New Roman"/>
          <w:sz w:val="18"/>
          <w:szCs w:val="18"/>
          <w:color w:val="auto"/>
        </w:rPr>
        <w:t>. As required by the DGCL, any amendment of our Charter must first be approved by a majority of our Board, and if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required by law or our Charter, must thereafter be approved by a majority of the outstanding shares entitled to vote on the amendment and a majority of the outstanding shares of each class entitled to vote thereon as a class, except that the amendment of the provisions relating to stockholder action, board composition, limitation of liability and the amendment of our Charter must be approved by not less than 75% of the outstanding shares entitled to vote on the amendment, and not less than 75% of the outstanding shares of each class entitled to vote thereon as a class. Our Bylaws may be amended by the affirmative vote of a majority of the directors then in office, subject to any limitations set forth in the Bylaws; and may also be amended by the affirmative vote of at least 75% of the outstanding shares entitled to vote on the amendment, or, if our Board recommends that the stockholders approve the amendment, by the affirmative vote of the majority of the outstanding shares entitled to vote on the amendment, in each case voting together as a single class.</w:t>
      </w:r>
    </w:p>
    <w:p>
      <w:pPr>
        <w:spacing w:after="0" w:line="192"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As a Delaware corporation, we are also subject to provisions of Delaware law, including Section 203 of the DGCL.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60"/>
        <w:spacing w:after="0" w:line="282" w:lineRule="auto"/>
        <w:rPr>
          <w:sz w:val="20"/>
          <w:szCs w:val="20"/>
          <w:color w:val="auto"/>
        </w:rPr>
      </w:pPr>
      <w:r>
        <w:rPr>
          <w:rFonts w:ascii="Times New Roman" w:cs="Times New Roman" w:eastAsia="Times New Roman" w:hAnsi="Times New Roman"/>
          <w:sz w:val="18"/>
          <w:szCs w:val="18"/>
          <w:color w:val="auto"/>
        </w:rPr>
        <w:t>Under Section 203, a business combination between a corporation and an interested stockholder is prohibited unless it satisfies one of the following conditions:</w:t>
      </w:r>
    </w:p>
    <w:p>
      <w:pPr>
        <w:spacing w:after="0" w:line="67" w:lineRule="exact"/>
        <w:rPr>
          <w:sz w:val="20"/>
          <w:szCs w:val="20"/>
          <w:color w:val="auto"/>
        </w:rPr>
      </w:pPr>
    </w:p>
    <w:p>
      <w:pPr>
        <w:ind w:left="1080" w:hanging="424"/>
        <w:spacing w:after="0" w:line="282"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stockholder became interested, the board of directors approved either the business combination or the transaction which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1080" w:right="60" w:hanging="424"/>
        <w:spacing w:after="0" w:line="261"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85" w:lineRule="exact"/>
        <w:rPr>
          <w:rFonts w:ascii="Times New Roman" w:cs="Times New Roman" w:eastAsia="Times New Roman" w:hAnsi="Times New Roman"/>
          <w:sz w:val="18"/>
          <w:szCs w:val="18"/>
          <w:color w:val="auto"/>
        </w:rPr>
      </w:pPr>
    </w:p>
    <w:p>
      <w:pPr>
        <w:jc w:val="both"/>
        <w:ind w:left="1080" w:right="120" w:hanging="424"/>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after the time the stockholder became interested, the business combination was approved by the board of directors and authorized at an annual or special meeting of the stockholders by the affirmative vote of at least two-thirds of the outstanding voting stock which is not owned by the interested stockholder.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67" w:lineRule="exact"/>
        <w:rPr>
          <w:rFonts w:ascii="Times New Roman" w:cs="Times New Roman" w:eastAsia="Times New Roman" w:hAnsi="Times New Roman"/>
          <w:sz w:val="18"/>
          <w:szCs w:val="18"/>
          <w:color w:val="auto"/>
        </w:rPr>
      </w:pPr>
    </w:p>
    <w:p>
      <w:pPr>
        <w:ind w:left="1080" w:right="52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exceptions, any transaction involving the corporation that has the effect of increasing the proportionate share of the interested stockholder;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loans, advances, guarantees, pledges or other financial benefits provided by or through the corporation.</w:t>
      </w:r>
    </w:p>
    <w:p>
      <w:pPr>
        <w:spacing w:after="0" w:line="162"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58"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Exclusive Jurisdiction of Certain Actions</w:t>
      </w:r>
      <w:r>
        <w:rPr>
          <w:rFonts w:ascii="Times New Roman" w:cs="Times New Roman" w:eastAsia="Times New Roman" w:hAnsi="Times New Roman"/>
          <w:sz w:val="18"/>
          <w:szCs w:val="18"/>
          <w:color w:val="auto"/>
        </w:rPr>
        <w:t>. Our Charter provides that, unless we consent in writing to the selection of an alternative forum, the Court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Chancery of the State of Delaware shall be the sole and exclusive forum for (i) any derivative action or proceeding brought on our behalf, (ii) any action asserting a claim of breach of a fiduciary duty owed by any of our directors, officers or other employees to us or our stockholders, (iii) any action asserting a claim arising pursuant to any provision of the Delaware General Corporation Law, our Charter or our Bylaws, or (iv) any action asserting a claim against us governed by the internal affairs doctrine. This provision does not apply to claims arising under the Exchange Act or the Securities Act. Although we believe this provision benefits us by providing increased consistency in the application of Delaware law in the types of lawsuits to which it applies, the provision may have the effect of discouraging lawsuits against our directors and officers. The enforceability of similar exclusive forum provisions in other companies’ certificates of incorporation has been challenged in legal proceedings, and it is possible that a court could rule that this provision in our Charter is inapplicable or unenforceable.</w:t>
      </w:r>
    </w:p>
    <w:p>
      <w:pPr>
        <w:spacing w:after="0" w:line="1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00"/>
          </w:cols>
          <w:pgMar w:left="320" w:top="455"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we include in any applicable prospectus supplement or free writing prospectus, summarizes certain general terms and provisions of the debt securities that we may offer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spacing w:after="0" w:line="180" w:lineRule="exact"/>
        <w:rPr>
          <w:sz w:val="20"/>
          <w:szCs w:val="20"/>
          <w:color w:val="auto"/>
        </w:rPr>
      </w:pPr>
    </w:p>
    <w:p>
      <w:pPr>
        <w:jc w:val="both"/>
        <w:ind w:left="120" w:right="260"/>
        <w:spacing w:after="0" w:line="266" w:lineRule="auto"/>
        <w:rPr>
          <w:sz w:val="20"/>
          <w:szCs w:val="20"/>
          <w:color w:val="auto"/>
        </w:rPr>
      </w:pPr>
      <w:r>
        <w:rPr>
          <w:rFonts w:ascii="Times New Roman" w:cs="Times New Roman" w:eastAsia="Times New Roman" w:hAnsi="Times New Roman"/>
          <w:sz w:val="18"/>
          <w:szCs w:val="18"/>
          <w:color w:val="auto"/>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 and may be issued in one or more series.</w:t>
      </w:r>
    </w:p>
    <w:p>
      <w:pPr>
        <w:spacing w:after="0" w:line="176" w:lineRule="exact"/>
        <w:rPr>
          <w:sz w:val="20"/>
          <w:szCs w:val="20"/>
          <w:color w:val="auto"/>
        </w:rPr>
      </w:pPr>
    </w:p>
    <w:p>
      <w:pPr>
        <w:ind w:left="120" w:right="340"/>
        <w:spacing w:after="0" w:line="261" w:lineRule="auto"/>
        <w:rPr>
          <w:sz w:val="20"/>
          <w:szCs w:val="20"/>
          <w:color w:val="auto"/>
        </w:rPr>
      </w:pPr>
      <w:r>
        <w:rPr>
          <w:rFonts w:ascii="Times New Roman" w:cs="Times New Roman" w:eastAsia="Times New Roman" w:hAnsi="Times New Roman"/>
          <w:sz w:val="18"/>
          <w:szCs w:val="18"/>
          <w:color w:val="auto"/>
        </w:rPr>
        <w:t>The debt securities will be issued under an indenture between us and a trustee to be named in the applicable indenture. We have summarized select portions of the indenture below. The summary is not complete. The form of the indenture has been filed as an exhibit to the registration statement of which this prospectus forms a part and you should read the indenture for provisions that may be important to you. Capitalized terms used in the summary and not defined herein have the meanings specified in the indenture.</w:t>
      </w:r>
    </w:p>
    <w:p>
      <w:pPr>
        <w:spacing w:after="0" w:line="180"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As used in this section only, “Larimar,” “Larimar Therapeutics,” “we,” “our” or “us” refer to Larimar Therapeutics, Inc., excluding our subsidiary, unless expressly stated or the context otherwise requires.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terms of each series of debt securities will be established by or pursuant to a resolution of our board of directors and set forth or determined in the manner provided in a resolution of our board of directors, in an officer’s certificate or by a supplemental indenture. The particular terms of each series of debt securities will be described in a prospectus supplement relating to such series (including any pricing supplement or term sheet).</w:t>
      </w:r>
    </w:p>
    <w:p>
      <w:pPr>
        <w:spacing w:after="0" w:line="176" w:lineRule="exact"/>
        <w:rPr>
          <w:sz w:val="20"/>
          <w:szCs w:val="20"/>
          <w:color w:val="auto"/>
        </w:rPr>
      </w:pPr>
    </w:p>
    <w:p>
      <w:pPr>
        <w:jc w:val="both"/>
        <w:ind w:left="120" w:right="100"/>
        <w:spacing w:after="0" w:line="266" w:lineRule="auto"/>
        <w:rPr>
          <w:sz w:val="20"/>
          <w:szCs w:val="20"/>
          <w:color w:val="auto"/>
        </w:rPr>
      </w:pPr>
      <w:r>
        <w:rPr>
          <w:rFonts w:ascii="Times New Roman" w:cs="Times New Roman" w:eastAsia="Times New Roman" w:hAnsi="Times New Roman"/>
          <w:sz w:val="18"/>
          <w:szCs w:val="18"/>
          <w:color w:val="auto"/>
        </w:rPr>
        <w:t>We can issue an unlimited amount of debt securities under the indenture that may be in one or more series with the same or various maturities, at par, at a premium, or at a discount. We will set forth in a prospectus supplement (including any pricing supplement or term sheet) relating to any series of debt securities being offered, the aggregate principal amount and the following terms of the debt securities, if applicable:</w:t>
      </w:r>
    </w:p>
    <w:p>
      <w:pPr>
        <w:spacing w:after="0" w:line="81" w:lineRule="exact"/>
        <w:rPr>
          <w:sz w:val="20"/>
          <w:szCs w:val="20"/>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and ranking of the debt securities (including the terms of any subordination provisions);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(expressed as a percentage of the principal amount) at which we will sell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on which the principal of the securities of the series is payable;</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or dates on which interest will commence and be payable and any regular record date for the interest payable on any interest payment date;</w:t>
      </w:r>
    </w:p>
    <w:p>
      <w:pPr>
        <w:spacing w:after="0" w:line="85" w:lineRule="exact"/>
        <w:rPr>
          <w:rFonts w:ascii="Times New Roman" w:cs="Times New Roman" w:eastAsia="Times New Roman" w:hAnsi="Times New Roman"/>
          <w:sz w:val="18"/>
          <w:szCs w:val="18"/>
          <w:color w:val="auto"/>
        </w:rPr>
      </w:pPr>
    </w:p>
    <w:p>
      <w:pPr>
        <w:jc w:val="both"/>
        <w:ind w:left="1080" w:right="60" w:hanging="424"/>
        <w:spacing w:after="0" w:line="266"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principal of, and interest, if any, on the debt securities will be payable (and the method of such payment), where the securities of such series may be surrendered for registration of transfer or exchange, and where notices and demands to us in respect of the debt securities may be delivered;</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66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we may redeem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obligation we have to redeem or purchase the debt securities pursuant to any sinking fund or analogous provisions or at the option of a holder of debt securities and the period or periods within which, the price or prices at which and in the terms and conditions upon which securities of the series shall be redeemed or purchased, in whole or in part, pursuant to such obligation;</w:t>
      </w:r>
    </w:p>
    <w:p>
      <w:pPr>
        <w:spacing w:after="0" w:line="81"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and the price or prices at which we will repurchase debt securities at the option of the holders of debt securities and other detailed terms and provisions of these repurchase obligations;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denominations in which the debt securities will be issued, if other than denominations of $1,000 and any integral multiple thereof;</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debt securities will be issued in the form of certificated debt securities or global debt securities;</w:t>
      </w:r>
    </w:p>
    <w:p>
      <w:pPr>
        <w:spacing w:after="0" w:line="130" w:lineRule="exact"/>
        <w:rPr>
          <w:rFonts w:ascii="Times New Roman" w:cs="Times New Roman" w:eastAsia="Times New Roman" w:hAnsi="Times New Roman"/>
          <w:sz w:val="18"/>
          <w:szCs w:val="18"/>
          <w:color w:val="auto"/>
        </w:rPr>
      </w:pPr>
    </w:p>
    <w:p>
      <w:pPr>
        <w:ind w:left="1080" w:right="54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principal amount of the debt securities payable upon declaration of acceleration of the maturity date, if other than the principal amount;</w:t>
      </w:r>
    </w:p>
    <w:p>
      <w:pPr>
        <w:spacing w:after="0" w:line="67"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of denomination of the debt securities, which may be United States Dollars or any foreign currency, and if such currency of denomination is a composite currency, the agency or organization, if any, responsible for overseeing such composite currency;</w:t>
      </w:r>
    </w:p>
    <w:p>
      <w:pPr>
        <w:spacing w:after="0" w:line="67"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of the currency, currencies or currency units in which payment of principal of, premium and interest on the debt securities will be made;</w:t>
      </w:r>
    </w:p>
    <w:p>
      <w:pPr>
        <w:spacing w:after="0" w:line="67"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payments of principal of, premium or interest on the debt securities will be made in one or more currencies or currency units other than that or those in which the debt securities are denominated, the manner in which the exchange rate with respect to these payments will be determined;</w:t>
      </w:r>
    </w:p>
    <w:p>
      <w:pPr>
        <w:spacing w:after="0" w:line="81" w:lineRule="exact"/>
        <w:rPr>
          <w:rFonts w:ascii="Times New Roman" w:cs="Times New Roman" w:eastAsia="Times New Roman" w:hAnsi="Times New Roman"/>
          <w:sz w:val="18"/>
          <w:szCs w:val="18"/>
          <w:color w:val="auto"/>
        </w:rPr>
      </w:pPr>
    </w:p>
    <w:p>
      <w:pPr>
        <w:jc w:val="both"/>
        <w:ind w:left="1080" w:right="2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manner in which the amounts of payment of principal of, premium, if any, or interest on the debt securities will be determined, if these amounts may be determined by reference to an index based on a currency or currencies or by reference to a commodity, commodity index, stock exchange index or financial index;</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relating to any security provided for the debt securities;</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 to, deletion of or change in the covenants described in this prospectus or in the indenture with respect to the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depositaries, interest rate calculation agents, exchange rate calculation agents or other agents with respect to the debt securities;</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if any, relating to conversion or exchange of any debt securities of such series, including if applicable, the conversion or exchange price and period, provisions as to whether conversion or exchange will be mandatory, the events requiring an adjustment of the conversion or exchange price and provisions affecting conversion or exchange;</w:t>
      </w:r>
    </w:p>
    <w:p>
      <w:pPr>
        <w:spacing w:after="0" w:line="81"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debt securities, which may supplement, modify or delete any provision of the indenture as it applies to that series, including any terms that may be required under applicable law or regulations or advisable in connection with the marketing of the securities; and</w:t>
      </w:r>
    </w:p>
    <w:p>
      <w:pPr>
        <w:spacing w:after="0" w:line="81" w:lineRule="exact"/>
        <w:rPr>
          <w:rFonts w:ascii="Times New Roman" w:cs="Times New Roman" w:eastAsia="Times New Roman" w:hAnsi="Times New Roman"/>
          <w:sz w:val="18"/>
          <w:szCs w:val="18"/>
          <w:color w:val="auto"/>
        </w:rPr>
      </w:pPr>
    </w:p>
    <w:p>
      <w:pPr>
        <w:ind w:left="1080" w:right="200" w:hanging="424"/>
        <w:spacing w:after="0" w:line="282"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of our direct or indirect subsidiaries will guarantee the debt securities of that series, including the terms of subordination, if any, of such guarantees.</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80"/>
          </w:cols>
          <w:pgMar w:left="320" w:top="455"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7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and Exchange</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Each debt security will be represented by either one or more global securities registered in the name of The Depository Trust Company, or the Depositary, or a nominee of the Depositary (we will refer to any debt security represented by a global debt security as a “book-entry debt security”), or a certificate issued in definitive registered form (we will refer to any debt security represented by a certificated security as a “certificated debt security”) as set forth in the applicable prospectus supplement. Except as set forth under the heading “Global Debt Securities and Book-Entry System” below, book-entry debt securities will not be issuable in certificated form.</w:t>
      </w:r>
    </w:p>
    <w:p>
      <w:pPr>
        <w:spacing w:after="0" w:line="181" w:lineRule="exact"/>
        <w:rPr>
          <w:sz w:val="20"/>
          <w:szCs w:val="20"/>
          <w:color w:val="auto"/>
        </w:rPr>
      </w:pPr>
    </w:p>
    <w:p>
      <w:pPr>
        <w:jc w:val="both"/>
        <w:ind w:left="120" w:right="60"/>
        <w:spacing w:after="0" w:line="267" w:lineRule="auto"/>
        <w:rPr>
          <w:sz w:val="20"/>
          <w:szCs w:val="20"/>
          <w:color w:val="auto"/>
        </w:rPr>
      </w:pPr>
      <w:r>
        <w:rPr>
          <w:rFonts w:ascii="Times New Roman" w:cs="Times New Roman" w:eastAsia="Times New Roman" w:hAnsi="Times New Roman"/>
          <w:sz w:val="18"/>
          <w:szCs w:val="18"/>
          <w:i w:val="1"/>
          <w:iCs w:val="1"/>
          <w:color w:val="auto"/>
        </w:rPr>
        <w:t>Certificated Debt Securities</w:t>
      </w:r>
      <w:r>
        <w:rPr>
          <w:rFonts w:ascii="Times New Roman" w:cs="Times New Roman" w:eastAsia="Times New Roman" w:hAnsi="Times New Roman"/>
          <w:sz w:val="18"/>
          <w:szCs w:val="18"/>
          <w:color w:val="auto"/>
        </w:rPr>
        <w:t>. You may transfer or exchange certificated debt securities at any office we maintain for this purpose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the indenture. No service charge will be made for any transfer or exchange of certificated debt securities, but we may require payment of a sum sufficient to cover any tax or other governmental charge payable in connection with a transfer or exchange.</w:t>
      </w:r>
    </w:p>
    <w:p>
      <w:pPr>
        <w:spacing w:after="0" w:line="17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spacing w:after="0" w:line="174" w:lineRule="exact"/>
        <w:rPr>
          <w:sz w:val="20"/>
          <w:szCs w:val="20"/>
          <w:color w:val="auto"/>
        </w:rPr>
      </w:pPr>
    </w:p>
    <w:p>
      <w:pPr>
        <w:ind w:left="120" w:right="40"/>
        <w:spacing w:after="0" w:line="284" w:lineRule="auto"/>
        <w:rPr>
          <w:sz w:val="20"/>
          <w:szCs w:val="20"/>
          <w:color w:val="auto"/>
        </w:rPr>
      </w:pPr>
      <w:r>
        <w:rPr>
          <w:rFonts w:ascii="Times New Roman" w:cs="Times New Roman" w:eastAsia="Times New Roman" w:hAnsi="Times New Roman"/>
          <w:sz w:val="18"/>
          <w:szCs w:val="18"/>
          <w:i w:val="1"/>
          <w:iCs w:val="1"/>
          <w:color w:val="auto"/>
        </w:rPr>
        <w:t>Global Debt Securities and Book-Entry System</w:t>
      </w:r>
      <w:r>
        <w:rPr>
          <w:rFonts w:ascii="Times New Roman" w:cs="Times New Roman" w:eastAsia="Times New Roman" w:hAnsi="Times New Roman"/>
          <w:sz w:val="18"/>
          <w:szCs w:val="18"/>
          <w:color w:val="auto"/>
        </w:rPr>
        <w:t>. Each global debt security representing book-entry debt securities will be deposited with, or on behalf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Depositary, and registered in the name of the Depositary or a nominee of the Depositary. Please see “Global Securities.”</w:t>
      </w:r>
    </w:p>
    <w:p>
      <w:pPr>
        <w:spacing w:after="0" w:line="2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set forth in the applicable prospectus supplement any restrictive covenants applicable to any issue of debt securities.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Protection in the Event of a Change of Control</w:t>
      </w:r>
    </w:p>
    <w:p>
      <w:pPr>
        <w:spacing w:after="0" w:line="121"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Consolidation, Merger and Sale of Assets</w:t>
      </w:r>
    </w:p>
    <w:p>
      <w:pPr>
        <w:spacing w:after="0" w:line="121"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We may not consolidate with or merge with or into, or convey, transfer or lease all or substantially all of our properties and assets to any person (a “successor person”) unless:</w:t>
      </w:r>
    </w:p>
    <w:p>
      <w:pPr>
        <w:spacing w:after="0" w:line="67" w:lineRule="exact"/>
        <w:rPr>
          <w:sz w:val="20"/>
          <w:szCs w:val="20"/>
          <w:color w:val="auto"/>
        </w:rPr>
      </w:pPr>
    </w:p>
    <w:p>
      <w:pPr>
        <w:ind w:left="1080" w:right="200" w:hanging="424"/>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the surviving corporation or the successor person (if other than Larimar) is a corporation organized and validly existing under the laws of any U.S. domestic jurisdiction and expressly assumes our obligations on the debt securities and under the indenture;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Notwithstanding the above, any of our subsidiaries may consolidate with, merge into or transfer all or part of its properties to us.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“Event of Default” means with respect to any series of debt securities, any of the following:</w:t>
      </w:r>
    </w:p>
    <w:p>
      <w:pPr>
        <w:spacing w:after="0" w:line="131" w:lineRule="exact"/>
        <w:rPr>
          <w:sz w:val="20"/>
          <w:szCs w:val="20"/>
          <w:color w:val="auto"/>
        </w:rPr>
      </w:pPr>
    </w:p>
    <w:p>
      <w:pPr>
        <w:ind w:left="1080" w:right="160" w:hanging="424"/>
        <w:spacing w:after="0" w:line="266"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any security of that series at its maturity;</w:t>
      </w:r>
    </w:p>
    <w:p>
      <w:pPr>
        <w:spacing w:after="0" w:line="130"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that series), which default continues uncured for a period of 60 days after we receive written notice from the trustee or Larimar and the trustee receive written notice from the holders of not less than 25% in principal amount of the outstanding debt securities of that series as provided in the indenture;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voluntary or involuntary events of bankruptcy, insolvency or reorganization of Larimar;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Event of Default provided with respect to debt securities of that series that is described in the applicable prospectus supplement.</w:t>
      </w:r>
    </w:p>
    <w:p>
      <w:pPr>
        <w:spacing w:after="0" w:line="225" w:lineRule="exact"/>
        <w:rPr>
          <w:sz w:val="20"/>
          <w:szCs w:val="20"/>
          <w:color w:val="auto"/>
        </w:rPr>
      </w:pPr>
    </w:p>
    <w:p>
      <w:pPr>
        <w:ind w:left="120" w:right="180"/>
        <w:spacing w:after="0" w:line="289" w:lineRule="auto"/>
        <w:rPr>
          <w:sz w:val="20"/>
          <w:szCs w:val="20"/>
          <w:color w:val="auto"/>
        </w:rPr>
      </w:pPr>
      <w:r>
        <w:rPr>
          <w:rFonts w:ascii="Times New Roman" w:cs="Times New Roman" w:eastAsia="Times New Roman" w:hAnsi="Times New Roman"/>
          <w:sz w:val="17"/>
          <w:szCs w:val="17"/>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subsidiary outstanding from time to time.</w:t>
      </w:r>
    </w:p>
    <w:p>
      <w:pPr>
        <w:spacing w:after="0" w:line="158"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the trustee written notice of any Default or Event of Default within 30 days of becoming aware of the occurrence of such Default or Event of Default, which notice will describe in reasonable detail the status of such Default or Event of Default and what action we are taking or propose to take in respect thereof.</w:t>
      </w:r>
    </w:p>
    <w:p>
      <w:pPr>
        <w:spacing w:after="0" w:line="176"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an Event of Default with respect to debt securities of any series at the time outstanding occurs and is continuing,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(or such specified amount) of and accrued and unpaid interest, if any, on all outstanding debt securities will become and be immediately due and payable without any declaration or other act on the part of the trustee or any holder of outstanding debt securities. At any time after a</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declaration of acceleration with respect to debt securities of any series has been made, but before a judgment or decree for payment of the money due has been obtained by the trustee, the holders of a majority in principal amount of the outstanding debt securities of that series may rescind and annul the acceleration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87"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The indenture provides that the trustee may refuse to perform any duty or exercise any of its rights or powers under the indenture unless the trustee receives indemnity satisfactory to it against any cost, liability or expense which might be incurred by it in performing such duty or exercising such right or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spacing w:after="0" w:line="18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No holder of any debt security of any series will have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140" w:hanging="424"/>
        <w:spacing w:after="0" w:line="282"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to the trustee written notice of a continuing Event of Default with respect to debt securities of that series; and</w:t>
      </w:r>
    </w:p>
    <w:p>
      <w:pPr>
        <w:spacing w:after="0" w:line="67" w:lineRule="exact"/>
        <w:rPr>
          <w:rFonts w:ascii="Times New Roman" w:cs="Times New Roman" w:eastAsia="Times New Roman" w:hAnsi="Times New Roman"/>
          <w:sz w:val="18"/>
          <w:szCs w:val="18"/>
          <w:color w:val="auto"/>
        </w:rPr>
      </w:pPr>
    </w:p>
    <w:p>
      <w:pPr>
        <w:ind w:left="1080" w:right="40" w:hanging="424"/>
        <w:spacing w:after="0" w:line="261"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not less than 25% in principal amount of the outstanding debt securities of that series have made written request, and offered indemnity or security satisfactory to the trustee, to the trustee to institute the proceeding as trustee, and the trustee has not received from the holders of not less than a majority in principal amount of the outstanding debt securities of that series a direction inconsistent with that request and has failed to institute the proceeding within 60 days.</w:t>
      </w:r>
    </w:p>
    <w:p>
      <w:pPr>
        <w:spacing w:after="0" w:line="180"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Notwithstanding any other provision in the indenture, the holder of any debt security will have an absolute and unconditional right to receive payment of the principal of, premium and any interest on that debt security on or after the due dates expressed in that debt security and to institute suit for the enforcement of payment.</w:t>
      </w:r>
    </w:p>
    <w:p>
      <w:pPr>
        <w:spacing w:after="0" w:line="176" w:lineRule="exact"/>
        <w:rPr>
          <w:sz w:val="20"/>
          <w:szCs w:val="20"/>
          <w:color w:val="auto"/>
        </w:rPr>
      </w:pPr>
    </w:p>
    <w:p>
      <w:pPr>
        <w:ind w:left="120" w:right="140"/>
        <w:spacing w:after="0" w:line="255"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our fiscal year, to furnish to the trustee a statement as to compliance with the indenture. If a Default or Event of Default occurs and is continuing with respect to the securities of any series and if it is known to a responsible officer of the trustee, the trustee shall mail to each securityholder of the securities of that series notice of a Default or Event of Default within 90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We and the trustee may modify, amend or supplement the indenture or the debt securities of any series without the consent of any holder of any debt security:</w:t>
      </w:r>
    </w:p>
    <w:p>
      <w:pPr>
        <w:spacing w:after="0" w:line="67" w:lineRule="exact"/>
        <w:rPr>
          <w:sz w:val="20"/>
          <w:szCs w:val="20"/>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covenants in the indenture described above under the heading “Consolidation, Merger and Sale of Assets”;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securities in addition to or in place of certificated securities;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guarantees with respect to debt securities of any series or secure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surrender any of our rights or powers under the indenture;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covenants or events of default for the benefit of the holders of debt securities of any series;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the applicable procedures of the applicable depositary;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does not adversely affect the rights of any holder of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issuance of and establish the form and terms and conditions of debt securities of any series as permitted by the indenture;</w:t>
      </w:r>
    </w:p>
    <w:p>
      <w:pPr>
        <w:spacing w:after="0" w:line="130" w:lineRule="exact"/>
        <w:rPr>
          <w:rFonts w:ascii="Times New Roman" w:cs="Times New Roman" w:eastAsia="Times New Roman" w:hAnsi="Times New Roman"/>
          <w:sz w:val="18"/>
          <w:szCs w:val="18"/>
          <w:color w:val="auto"/>
        </w:rPr>
      </w:pPr>
    </w:p>
    <w:p>
      <w:pPr>
        <w:ind w:left="1080" w:right="76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effect the appointment of a successor trustee with respect to the debt securities of any series and to add to or change any of the provisions of the indenture to provide for or facilitate administration by more than one trustee; or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82"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SEC in order to effect or maintain the qualification of the indenture under the Trust Indenture Act of 1939, as amended.</w:t>
      </w:r>
    </w:p>
    <w:p>
      <w:pPr>
        <w:spacing w:after="0" w:line="16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of debt securities whose holders must consent to an amendment, supplement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debt security;</w:t>
      </w:r>
    </w:p>
    <w:p>
      <w:pPr>
        <w:spacing w:after="0" w:line="130" w:lineRule="exact"/>
        <w:rPr>
          <w:rFonts w:ascii="Times New Roman" w:cs="Times New Roman" w:eastAsia="Times New Roman" w:hAnsi="Times New Roman"/>
          <w:sz w:val="18"/>
          <w:szCs w:val="18"/>
          <w:color w:val="auto"/>
        </w:rPr>
      </w:pPr>
    </w:p>
    <w:p>
      <w:pPr>
        <w:ind w:left="1080" w:right="20" w:hanging="424"/>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debt security or reduce the amount of, or postpone the date fixed for, the payment of any sinking fund or analogous obligation with respect to any series of debt securities;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discount securities payable upon acceleration of maturity;</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premium or interest on any debt security (except a rescission of acceleration of the debt securities of any series by the holders of at least a majority in aggregate principal amount of the then outstanding debt securities of that series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or interest on any debt security payable in currency other than that stated in the debt security;</w:t>
      </w:r>
    </w:p>
    <w:p>
      <w:pPr>
        <w:spacing w:after="0" w:line="130" w:lineRule="exact"/>
        <w:rPr>
          <w:rFonts w:ascii="Times New Roman" w:cs="Times New Roman" w:eastAsia="Times New Roman" w:hAnsi="Times New Roman"/>
          <w:sz w:val="18"/>
          <w:szCs w:val="18"/>
          <w:color w:val="auto"/>
        </w:rPr>
      </w:pPr>
    </w:p>
    <w:p>
      <w:pPr>
        <w:ind w:left="1080" w:hanging="424"/>
        <w:spacing w:after="0" w:line="266"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certain provisions of the indenture relating to, among other things, the right of holders of debt securities to receive payment of the principal of, premium and interest on those debt securities and to institute suit for the enforcement of any such payment and to waivers or amendments;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debt security.</w:t>
      </w:r>
    </w:p>
    <w:p>
      <w:pPr>
        <w:spacing w:after="0" w:line="225"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outstanding debt securities of any series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of Debt Securities and Certain Covenants in Certain Circumstances</w:t>
      </w:r>
    </w:p>
    <w:p>
      <w:pPr>
        <w:spacing w:after="0" w:line="119"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unless otherwise provided by the terms of the applicable series of debt securities, we may be discharged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any and all obligations in respect of the debt securities of any series (subject to certain exceptions). We will be so discharged upon the irrevocable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or U.S. government obligations in an amount sufficient in the opinion of a nationally recognized firm of independent public accountants or investment bank to pay and discharge each installment of principal, premium and interest on and any mandatory sinking fund payments in respect of the debt securities of that series on the stated maturity of those payments in accordance with the terms of the indenture and those debt securities.</w:t>
      </w:r>
    </w:p>
    <w:p>
      <w:pPr>
        <w:spacing w:after="0" w:line="18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spacing w:after="0" w:line="185" w:lineRule="exact"/>
        <w:rPr>
          <w:sz w:val="20"/>
          <w:szCs w:val="20"/>
          <w:color w:val="auto"/>
        </w:rPr>
      </w:pPr>
    </w:p>
    <w:p>
      <w:pPr>
        <w:ind w:left="120" w:right="180"/>
        <w:spacing w:after="0" w:line="284" w:lineRule="auto"/>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unless otherwise provided by the terms of the applicable series of debt securities, upon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compliance with certain conditions:</w:t>
      </w:r>
    </w:p>
    <w:p>
      <w:pPr>
        <w:spacing w:after="0" w:line="66" w:lineRule="exact"/>
        <w:rPr>
          <w:sz w:val="20"/>
          <w:szCs w:val="20"/>
          <w:color w:val="auto"/>
        </w:rPr>
      </w:pPr>
    </w:p>
    <w:p>
      <w:pPr>
        <w:ind w:left="1080" w:right="200" w:hanging="424"/>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p>
      <w:pPr>
        <w:spacing w:after="0" w:line="81"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debt securities of that series (“covenant defeasance”).</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100" w:hanging="424"/>
        <w:spacing w:after="0" w:line="256"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of, premium and interest on and any mandatory sinking fund payments in respect of the debt securities of that series on the stated maturity of those payments in accordance with the terms of the indenture and those debt securities; and</w:t>
      </w:r>
    </w:p>
    <w:p>
      <w:pPr>
        <w:spacing w:after="0" w:line="92"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Personal Liability of Directors, Officers, Employees or Securityholders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None of our past, present or future directors, officers, employees or securityholders, as such, will have any liability for any of our obligations under the debt securities or the indenture or for any claim based on, or in respect or by reason of, such obligations or their creation. By accepting a debt security, each holder waives and releases all such liability.</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55" w:right="45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This waiver and release is part of the consideration for the issue of the debt securities. However, this waiver and release may not be effective to waive liabilities under U.S. federal securities laws, and it is the view of the SEC that such a waiver is against public policy.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The indenture and the debt securities, including any claim or controversy arising out of or relating to the indenture or the debt securities, will be governed by the laws of the State of New York.</w:t>
      </w:r>
    </w:p>
    <w:p>
      <w:pPr>
        <w:spacing w:after="0" w:line="16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indenture will provide that we, the trustee and the holders of the debt securities (by their acceptance of the debt securities) irrevocably waive, to the fullest extent permitted by applicable law, any and all right to trial by jury in any legal proceeding arising out of or relating to the indenture, the debt securities or the transactions contemplated thereby.</w:t>
      </w:r>
    </w:p>
    <w:p>
      <w:pPr>
        <w:spacing w:after="0" w:line="17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indenture will provide that any legal suit, action or proceeding arising out of or based upon the indenture or the transactions contemplated thereby may be instituted in the federal courts of the United States of America located in the City of New York or the courts of the State of New York in each case located in the City of New York, and we, the trustee and the holder of the debt securities (by their acceptance of the debt securities) irrevocably submit to the non-exclusive jurisdiction of such courts in any such suit, action or proceeding. The indenture will further provide that service of any process, summons, notice or document by mail (to the extent allowed under any applicable statute or rule of court) to such party’s address set forth in the indenture will be effective service of process for any suit, action or other proceeding brought in any such court. The indenture will further provide that we, the trustee and the holders of the debt securities (by their acceptance of the debt securities) irrevocably and unconditionally waive any objection to the laying of venue of any suit, action or other proceeding in the courts specified above and irrevocably and unconditionally waive and agree not to plead or claim any such suit, action or other proceeding has been brought in an inconvenient forum.</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WARRANTS</w:t>
      </w:r>
    </w:p>
    <w:p>
      <w:pPr>
        <w:spacing w:after="0" w:line="22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We may issue warrants for the purchase of shares of our common stock or preferred stock or of debt securities. We may issue warrants independently or together with other securities, and the warrants may be attached to or separate from any offered securities. Each series of warrants will be issued under a separate warrant agreement to be entered into between us and the investors or a warrant agent. The following summary of material provisions of the warrants and warrant agreements are subject to, and qualified in their entirety by reference to, all the provisions of the warrant agreement and warrant certificate applicable to a particular series of warrants. The terms of any warrants offered under a prospectus supplement may differ from the terms described below. We urge you to read the applicable prospectus supplement and any related free writing prospectus, as well as the complete warrant agreements and warrant certificates that contain the terms of the warrants.</w:t>
      </w:r>
    </w:p>
    <w:p>
      <w:pPr>
        <w:spacing w:after="0" w:line="1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particular terms of any issue of warrants will be described in the prospectus supplement relating to the issue. Those terms may include:</w:t>
      </w:r>
    </w:p>
    <w:p>
      <w:pPr>
        <w:spacing w:after="0" w:line="131" w:lineRule="exact"/>
        <w:rPr>
          <w:sz w:val="20"/>
          <w:szCs w:val="20"/>
          <w:color w:val="auto"/>
        </w:rPr>
      </w:pPr>
    </w:p>
    <w:p>
      <w:pPr>
        <w:ind w:left="1080" w:right="8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or preferred stock purchasable upon the exercise of warrants to purchase such shares and the price at which such number of shares may be purchased upon such exercise;</w:t>
      </w:r>
    </w:p>
    <w:p>
      <w:pPr>
        <w:spacing w:after="0" w:line="67"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stated value and terms (including, without limitation, liquidation, dividend, conversion and voting rights) of the series of preferred stock purchasable upon exercise of warrants to purchase preferred stock;</w:t>
      </w:r>
    </w:p>
    <w:p>
      <w:pPr>
        <w:spacing w:after="0" w:line="67" w:lineRule="exact"/>
        <w:rPr>
          <w:rFonts w:ascii="Times New Roman" w:cs="Times New Roman" w:eastAsia="Times New Roman" w:hAnsi="Times New Roman"/>
          <w:sz w:val="18"/>
          <w:szCs w:val="18"/>
          <w:color w:val="auto"/>
        </w:rPr>
      </w:pPr>
    </w:p>
    <w:p>
      <w:pPr>
        <w:ind w:left="1080" w:right="42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debt securities that may be purchased upon exercise of a debt warrant and the exercise price for the warrants, which may be payable in cash, securities or other property;</w:t>
      </w:r>
    </w:p>
    <w:p>
      <w:pPr>
        <w:spacing w:after="0" w:line="67" w:lineRule="exact"/>
        <w:rPr>
          <w:rFonts w:ascii="Times New Roman" w:cs="Times New Roman" w:eastAsia="Times New Roman" w:hAnsi="Times New Roman"/>
          <w:sz w:val="18"/>
          <w:szCs w:val="18"/>
          <w:color w:val="auto"/>
        </w:rPr>
      </w:pPr>
    </w:p>
    <w:p>
      <w:pPr>
        <w:ind w:left="1080" w:right="60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warrants and the related debt securities, preferred stock or common stock will be separately transferable;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any rights to redeem or call the warrants;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warrants will commence and the date on which the right will expire;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United States federal income tax consequences applicable to the warrants; and</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terms, procedures, and limitations relating to the exchange, exercise and settlement of the warrants.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 to:</w:t>
      </w:r>
    </w:p>
    <w:p>
      <w:pPr>
        <w:spacing w:after="0" w:line="131" w:lineRule="exact"/>
        <w:rPr>
          <w:sz w:val="20"/>
          <w:szCs w:val="20"/>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consent or receive dividends;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our stockholders.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its holder to purchase the principal amount of debt securities or the number of shares of preferred stock or common stock at the exercise price set forth in, or calculable as set forth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A holder of warrant certificates may exchange them for new warrant certificates of different denominations, present them for registration of transfer and exercise them at the corporate trust office of the warrant agent or any other office indicated in the applicable prospectus supplement. Until any warrants to purchase debt securities are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80"/>
          </w:cols>
          <w:pgMar w:left="320" w:top="455"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exercised, the holder of the warrants will not have any rights of holders of the debt securities that can be purchased upon exercise, including any rights to receive payments of principal, premium or interest on the underlying debt securities or to enforce covenants in the applicable indenture. Until any warrants to purchase common stock or preferred stock are exercised, the holders of the warrants will not have any rights of holders of the underlying common stock or preferred stock, including any rights to receive dividends or payments upon any liquidation, dissolution or winding up on the common stock or preferred stock, if any.</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080"/>
          </w:cols>
          <w:pgMar w:left="320" w:top="455"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UNITS</w:t>
      </w:r>
    </w:p>
    <w:p>
      <w:pPr>
        <w:spacing w:after="0" w:line="22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will issue under a separate agreement. We may enter into unit agreements with a unit agent. Each unit agent will be a bank or trust company that we select. We will indicate the name and address of the unit agent in the applicable prospectus supplement relating to a particular series of units.</w:t>
      </w:r>
    </w:p>
    <w:p>
      <w:pPr>
        <w:spacing w:after="0" w:line="180" w:lineRule="exact"/>
        <w:rPr>
          <w:sz w:val="20"/>
          <w:szCs w:val="20"/>
          <w:color w:val="auto"/>
        </w:rPr>
      </w:pPr>
    </w:p>
    <w:p>
      <w:pPr>
        <w:jc w:val="both"/>
        <w:ind w:left="120"/>
        <w:spacing w:after="0" w:line="256" w:lineRule="auto"/>
        <w:rPr>
          <w:sz w:val="20"/>
          <w:szCs w:val="20"/>
          <w:color w:val="auto"/>
        </w:rPr>
      </w:pPr>
      <w:r>
        <w:rPr>
          <w:rFonts w:ascii="Times New Roman" w:cs="Times New Roman" w:eastAsia="Times New Roman" w:hAnsi="Times New Roman"/>
          <w:sz w:val="18"/>
          <w:szCs w:val="18"/>
          <w:color w:val="auto"/>
        </w:rPr>
        <w:t>The following description, together with the additional information included in any applicable prospectus supplement, summarizes the general features of the units that we may offer under this prospectus. You should read any prospectus supplement and any free writing prospectus that we may authorize to be provided to you related to the series of units being offered, as well as the complete unit agreements that contain the terms of the units. Specific unit agreements will contain additional important terms and provisions and we will file as an exhibit to the registration statement of which this prospectus is a part, or will incorporate by reference from another report that we file with the SEC, the form of each unit agreement relating to units offered under this prospectus.</w:t>
      </w:r>
    </w:p>
    <w:p>
      <w:pPr>
        <w:spacing w:after="0" w:line="187" w:lineRule="exact"/>
        <w:rPr>
          <w:sz w:val="20"/>
          <w:szCs w:val="20"/>
          <w:color w:val="auto"/>
        </w:rPr>
      </w:pPr>
    </w:p>
    <w:p>
      <w:pPr>
        <w:ind w:left="120" w:right="280"/>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67" w:lineRule="exact"/>
        <w:rPr>
          <w:sz w:val="20"/>
          <w:szCs w:val="20"/>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units and their constituent securities.</w:t>
      </w:r>
    </w:p>
    <w:p>
      <w:pPr>
        <w:spacing w:after="0" w:line="15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100"/>
          </w:cols>
          <w:pgMar w:left="320" w:top="455" w:right="47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DESCRIPTION OF OUR SUBSCRIPTION RIGHTS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may issue subscription rights to purchase our common stock, preferred stock or debt securities. These subscription rights may be offered independently or together with any other security offered hereby and may or may not be transferable by the stockholder receiving the subscription rights in such offering. In connection with any offering of subscription rights, we may enter into a standby arrangement with one or more underwriters or other purchasers pursuant to which the underwriters or other purchasers may be required to purchase any securities remaining unsubscribed for after such offering.</w:t>
      </w:r>
    </w:p>
    <w:p>
      <w:pPr>
        <w:spacing w:after="0" w:line="183"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any subscription rights we offer, if any, will, to the extent applicable, include specific terms relating to the offering, including some or all of the following:</w:t>
      </w:r>
    </w:p>
    <w:p>
      <w:pPr>
        <w:spacing w:after="0" w:line="67" w:lineRule="exact"/>
        <w:rPr>
          <w:sz w:val="20"/>
          <w:szCs w:val="20"/>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if any, for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payable for our common stock, preferred stock or debt securities upon the exercise of the subscription rights;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subscription rights to be issued to each stockholder;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terms of our common stock, preferred stock or debt securities which may be purchased per each subscription right;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are transferable;</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terms of the subscription rights, including the terms, procedures and limitations relating to the exchange and exercise of the subscription rights;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subscription rights shall commence, and the date on which the subscription rights shall expire;</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the subscription rights may include an over-subscription privilege with respect to unsubscribed securities or an over-allotment privilege to the extent the securities are fully subscribed; and</w:t>
      </w:r>
    </w:p>
    <w:p>
      <w:pPr>
        <w:spacing w:after="0" w:line="67" w:lineRule="exact"/>
        <w:rPr>
          <w:rFonts w:ascii="Times New Roman" w:cs="Times New Roman" w:eastAsia="Times New Roman" w:hAnsi="Times New Roman"/>
          <w:sz w:val="18"/>
          <w:szCs w:val="18"/>
          <w:color w:val="auto"/>
        </w:rPr>
      </w:pPr>
    </w:p>
    <w:p>
      <w:pPr>
        <w:ind w:left="1080" w:right="60" w:hanging="424"/>
        <w:spacing w:after="0" w:line="282"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material terms of any standby underwriting or purchase arrangement which may be entered into by us in connection with the offering of subscription rights.</w:t>
      </w:r>
    </w:p>
    <w:p>
      <w:pPr>
        <w:spacing w:after="0" w:line="162"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description in the applicable prospectus supplement of any subscription rights we offer will not necessarily be complete and will be qualified in its entirety by reference to the applicable subscription rights certificate, which will be filed with the SEC if we offer subscription rights. We urge you to read the applicable subscription rights certificate and any applicable prospectus supplement in their entirety.</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00"/>
          </w:cols>
          <w:pgMar w:left="320" w:top="455" w:right="47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Unless we indicate differently in any applicable prospectus supplement or free writing prospectus, the securities initially will be issued in book-entry form and represented by one or more global notes or global securities, or, collectively, global securities. The global securities will be deposited with, or on behalf of, The Depository Trust Company, New York, New York, as depositary, or DTC, and registered in the name of Cede &amp; Co., the nominee of DTC. Unless and until it is exchanged for individual certificates evidencing securities under the limited circumstances described below, a global security may not be transferred except as a whole by the depositary to its nominee or by the nominee to the depositary, or by the depositary or its nominee to a successor depositary or to a nominee of the successor depositary.</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DTC has advised us that it is:</w:t>
      </w:r>
    </w:p>
    <w:p>
      <w:pPr>
        <w:spacing w:after="0" w:line="131" w:lineRule="exact"/>
        <w:rPr>
          <w:sz w:val="20"/>
          <w:szCs w:val="20"/>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limited-purpose trust company organized under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“banking organization” within the meaning of the New York Banking Law;</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of the Federal Reserve System;</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corporation” within the meaning of the New York Uniform Commercial Code;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“clearing agency” registered pursuant to the provisions of Section 17A of the Exchange Act.</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DTC holds securities that its participants deposit with DTC. DTC also facilitates the settlement among its participants of securities transactions, such as transfers and pledges, in deposited securities through electronic computerized book-entry changes in participants’ accounts, thereby eliminating the need for physical movement of securities certificates. “Direct participants” in DTC include securities brokers and dealers, including underwriters, banks, trust companies, clearing corporations and other organizations. DTC is a wholly-owned subsidiary of The Depository Trust &amp; Clearing Corporation, or DTCC. DTCC is the holding company for DTC, National Securities Clearing Corporation and Fixed Income Clearing Corporation, all of which are registered clearing agencies. DTCC is owned by the users of its regulated subsidiaries. Access to the DTC system is also available to others, which we sometimes refer to as indirect participants, that clear through or maintain a custodial relationship with a direct participant, either directly or indirectly. The rules applicable to DTC and its participants are on file with the SEC.</w:t>
      </w:r>
    </w:p>
    <w:p>
      <w:pPr>
        <w:spacing w:after="0" w:line="192"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Purchases of securities under the DTC system must be made by or through direct participants, which will receive a credit for the securities on DTC’s records. The ownership interest of the actual purchaser of a security, which we sometimes refer to as a beneficial owner, is in turn recorded on the direct and indirect participants’ records. Beneficial owners of securities will not receive written confirmation from DTC of their purchases. However, beneficial owners are expected to receive written confirmations providing details of their transactions, as well as periodic statements of their holdings, from the direct or indirect participants through which they purchased securities. Transfers of ownership interests in global securities are to be accomplished by entries made on the books of participants acting on behalf of beneficial owners. Beneficial owners will not receive certificates representing their ownership interests in the global securities, except under the limited circumstances described below.</w:t>
      </w:r>
    </w:p>
    <w:p>
      <w:pPr>
        <w:spacing w:after="0" w:line="189" w:lineRule="exact"/>
        <w:rPr>
          <w:sz w:val="20"/>
          <w:szCs w:val="20"/>
          <w:color w:val="auto"/>
        </w:rPr>
      </w:pPr>
    </w:p>
    <w:p>
      <w:pPr>
        <w:ind w:left="120" w:right="120"/>
        <w:spacing w:after="0" w:line="277" w:lineRule="auto"/>
        <w:rPr>
          <w:sz w:val="20"/>
          <w:szCs w:val="20"/>
          <w:color w:val="auto"/>
        </w:rPr>
      </w:pPr>
      <w:r>
        <w:rPr>
          <w:rFonts w:ascii="Times New Roman" w:cs="Times New Roman" w:eastAsia="Times New Roman" w:hAnsi="Times New Roman"/>
          <w:sz w:val="17"/>
          <w:szCs w:val="17"/>
          <w:color w:val="auto"/>
        </w:rPr>
        <w:t>To facilitate subsequent transfers, all global securities deposited by direct participants with DTC will be registered in the name of DTC’s partnership nominee, Cede &amp; Co., or such other name as may be requested by an authorized representative of DTC. The deposit of securities with DTC and their registration in the name of Cede &amp; Co. or such other nominee will not change the beneficial ownership of the securities. DTC has no knowledge of the actual beneficial owners of the securities. DTC’s records reflect only the identity of the direct participants to whose accounts the securities are credited, which may or may not be the beneficial owners. The participants are responsible for keeping account of their holdings on behalf of their customers.</w:t>
      </w:r>
    </w:p>
    <w:p>
      <w:pPr>
        <w:spacing w:after="0" w:line="10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So long as the securities are in book-entry form, you will receive payments and may transfer securities only through the facilities of the depositary and its direct and indirect participants. We will maintain an office or agency in the location specified in the prospectus supplement for the applicable securities, where notices and demands in respect of the securities and the indenture may be delivered to us and where certificated securities may be surrendered for payment, registration of transfer or exchange.</w:t>
      </w:r>
    </w:p>
    <w:p>
      <w:pPr>
        <w:spacing w:after="0" w:line="180"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Conveyance of notices and other communications by DTC to direct participants, by direct participants to indirect participants and by direct participants and indirect participants to beneficial owners will be governed by arrangements among them, subject to any legal requirements in effect from time to time.</w:t>
      </w:r>
    </w:p>
    <w:p>
      <w:pPr>
        <w:spacing w:after="0" w:line="176"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Redemption notices will be sent to DTC. If less than all of the securities of a particular series are being redeemed, DTC’s practice is to determine by lot the amount of the interest of each direct participant in the securities of such series to be redeemed.</w:t>
      </w:r>
    </w:p>
    <w:p>
      <w:pPr>
        <w:spacing w:after="0" w:line="162" w:lineRule="exact"/>
        <w:rPr>
          <w:sz w:val="20"/>
          <w:szCs w:val="20"/>
          <w:color w:val="auto"/>
        </w:rPr>
      </w:pPr>
    </w:p>
    <w:p>
      <w:pPr>
        <w:ind w:left="120" w:right="40"/>
        <w:spacing w:after="0" w:line="289" w:lineRule="auto"/>
        <w:rPr>
          <w:sz w:val="20"/>
          <w:szCs w:val="20"/>
          <w:color w:val="auto"/>
        </w:rPr>
      </w:pPr>
      <w:r>
        <w:rPr>
          <w:rFonts w:ascii="Times New Roman" w:cs="Times New Roman" w:eastAsia="Times New Roman" w:hAnsi="Times New Roman"/>
          <w:sz w:val="17"/>
          <w:szCs w:val="17"/>
          <w:color w:val="auto"/>
        </w:rPr>
        <w:t>Neither DTC nor Cede &amp; Co. (or such other DTC nominee) will consent or vote with respect to the securities. Under its usual procedures, DTC will mail an omnibus proxy to us as soon as possible after the record date. The omnibus proxy assigns the consenting or voting rights of Cede &amp; Co. to those direct participants to whose accounts the securities of such series are credited on the record date, identified in a listing attached to the omnibus proxy.</w:t>
      </w:r>
    </w:p>
    <w:p>
      <w:pPr>
        <w:spacing w:after="0" w:line="158"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So long as securities are in book-entry form, we will make payments on those securities to the depositary or its nominee, as the registered owner of such securities, by wire transfer of immediately available funds. If securities are issued in definitive certificated form under the limited circumstances described below and unless if otherwise provided in the description of the applicable securities herein or in the applicable prospectus supplement, we will have the option of making payments by check mailed to the addresses of the persons entitled to payment or by wire transfer to bank accounts in the United States designated in writing to the applicable trustee or other designated party at least 15 days before the applicable payment date by the persons entitled to payment, unless a shorter period is satisfactory to the applicable trustee or other designated party.</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Redemption proceeds, distributions and dividend payments on the securities will be made to Cede &amp; Co., or such other nominee as may be requested by an authorized representative of DTC. DTC’s practice is to credit direct participants’ accounts upon DTC’s receipt of funds and corresponding detail information from us on the payment date in accordance with their respective holdings shown on DTC records. Payments by participants to beneficial owners will be governed by standing instructions and customary practices, as is the case with securities held for the account of customers in bearer form or registered in “street name.” Those payments will be the responsibility of participants and not of DTC or us, subject to any statutory or regulatory requirements in effect from time to time. Payment of redemption proceeds, distributions and dividend payments to Cede &amp; Co., or such other nominee as may be requested by an authorized representative of DTC, is our responsibility, disbursement of payments to direct participants is the responsibility of DTC, and disbursement of payments to the beneficial owners is the responsibility of direct and indirect participants.</w:t>
      </w:r>
    </w:p>
    <w:p>
      <w:pPr>
        <w:spacing w:after="0" w:line="192"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Except under the limited circumstances described below, purchasers of securities will not be entitled to have securities registered in their names and will not receive physical delivery of securities. Accordingly, each beneficial owner must rely on the procedures of DTC and its participants to exercise any rights under the securities and the indenture.</w:t>
      </w:r>
    </w:p>
    <w:p>
      <w:pPr>
        <w:spacing w:after="0" w:line="176"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The laws of some jurisdictions may require that some purchasers of securities take physical delivery of securities in definitive form. Those laws may impair the ability to transfer or pledge beneficial interests in securities.</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DTC may discontinue providing its services as securities depositary with respect to the securities at any time by giving reasonable notice to us. Under such circumstances, in the event that a successor depositary is not obtained, securities certificates are required to be printed and delivered.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As noted above, beneficial owners of a particular series of securities generally will not receive certificates representing their ownership interests in those securities. However, if:</w:t>
      </w:r>
    </w:p>
    <w:p>
      <w:pPr>
        <w:spacing w:after="0" w:line="67" w:lineRule="exact"/>
        <w:rPr>
          <w:sz w:val="20"/>
          <w:szCs w:val="20"/>
          <w:color w:val="auto"/>
        </w:rPr>
      </w:pPr>
    </w:p>
    <w:p>
      <w:pPr>
        <w:ind w:left="1080" w:right="20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notifies us that it is unwilling or unable to continue as a depositary for the global security or securities representing such series of securities or if DTC ceases to be a clearing agency registered under the Exchange Act at a time when it is required to be registered and a successor depositary is not appointed within 90 days of the notification to us or of our becoming aware of DTC’s ceasing to be so registered, as the case may be;</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 in our sole discretion, not to have such securities represented by one or more global securities;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has occurred and is continuing with respect to such series of securities,</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will prepare and deliver certificates for such securities in exchange for beneficial interests in the global securities. Any beneficial interest in a global security that is exchangeable under the circumstances described in the preceding sentence will be exchangeable for securities in definitive certificated form registered in the names that the depositary directs. It is expected that these directions will be based upon directions received by the depositary from its participants with respect to ownership of beneficial interests in the global securities.</w:t>
      </w:r>
    </w:p>
    <w:p>
      <w:pPr>
        <w:spacing w:after="0" w:line="180" w:lineRule="exact"/>
        <w:rPr>
          <w:sz w:val="20"/>
          <w:szCs w:val="20"/>
          <w:color w:val="auto"/>
        </w:rPr>
      </w:pPr>
    </w:p>
    <w:p>
      <w:pPr>
        <w:ind w:left="120" w:right="100"/>
        <w:spacing w:after="0" w:line="282" w:lineRule="auto"/>
        <w:rPr>
          <w:sz w:val="20"/>
          <w:szCs w:val="20"/>
          <w:color w:val="auto"/>
        </w:rPr>
      </w:pPr>
      <w:r>
        <w:rPr>
          <w:rFonts w:ascii="Times New Roman" w:cs="Times New Roman" w:eastAsia="Times New Roman" w:hAnsi="Times New Roman"/>
          <w:sz w:val="18"/>
          <w:szCs w:val="18"/>
          <w:color w:val="auto"/>
        </w:rPr>
        <w:t>We have obtained the information in this section and elsewhere in this prospectus concerning DTC and DTC’s book-entry system from sources that are believed to be reliable, but we take no responsibility for the accuracy of this information.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Euroclear and Clearstream</w:t>
      </w:r>
    </w:p>
    <w:p>
      <w:pPr>
        <w:spacing w:after="0" w:line="121"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If so provided in the applicable prospectus supplement, you may hold interests in a global security through Clearstream Banking S.A., which we refer to as “Clearstream,” or Euroclear Bank S.A./N.V., as operator of the Euroclear System, which we refer to as “Euroclear,” either directly if you are a participant in Clearstream or Euroclear or indirectly through organizations which are participants in Clearstream or Euroclear. Clearstream and Euroclear will hold interests on behalf of their respective participants through customers’ securities accounts in the names of Clearstream and Euroclear, respectively, on the books of their respective U.S. depositaries, which in turn will hold such interests in customers’ securities accounts in such depositaries’ names on DTC’s books.</w:t>
      </w:r>
    </w:p>
    <w:p>
      <w:pPr>
        <w:spacing w:after="0" w:line="187"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Clearstream and Euroclear are securities clearance systems in Europe. Clearstream and Euroclear hold securities for their respective participating organizations and facilitate the clearance and settlement of securities transactions between those participants through electronic book-entry changes in their accounts, thereby eliminating the need for physical movement of certificates.</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Payments, deliveries, transfers, exchanges, notices and other matters relating to beneficial interests in global securities owned through Euroclear or Clearstream must comply with the rules and procedures of those systems. Transactions between participants in Euroclear or Clearstream, on one hand, and other participants in DTC, on the other hand, are also subject to DTC’s rules and procedures.</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Investors will be able to make and receive through Euroclear and Clearstream payments, deliveries, transfers and other transactions involving any beneficial interests in global securities held through those systems only on days when those systems are open for business. Those systems may not be open for business on days when banks, brokers and other institutions are open for business in the United States.</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Cross-market transfers between participants in DTC, on the one hand, and participants in Euroclear or Clearstream, on the other hand, will be effected through DTC in accordance with the DTC’s rules on behalf of Euroclear or Clearstream, as the case may be, by their respective U.S. depositaries; however, such cross-market transactions will require delivery of instructions to Euroclear or Clearstream, as the case may be, by the</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100"/>
          </w:cols>
          <w:pgMar w:left="320" w:top="455" w:right="47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counterparty in such system in accordance with the rules and procedures and within the established deadlines (European time) of such system. Euroclear or Clearstream, as the case may be, will, if the transaction meets its settlement requirements, deliver instructions to its U.S. depositary to take action to effect final settlement on its behalf by delivering or receiving interests in the global securities through DTC, and making or receiving payment in accordance with normal procedures for same-day fund settlement. Participants in Euroclear or Clearstream may not deliver instructions directly to their respective U.S. depositaries.</w:t>
      </w:r>
    </w:p>
    <w:p>
      <w:pPr>
        <w:spacing w:after="0" w:line="18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Due to time zone differences, the securities accounts of a participant in Euroclear or Clearstream purchasing an interest in a global security from a direct participant in DTC will be credited, and any such crediting will be reported to the relevant participant in Euroclear or Clearstream, during the securities settlement processing day (which must be a business day for Euroclear or Clearstream) immediately following the settlement date of DTC. Cash received in Euroclear or Clearstream as a result of sales of interests in a global security by or through a participant in Euroclear or Clearstream to a direct participant in DTC will be received with value on the settlement date of DTC but will be available in the relevant Euroclear or Clearstream cash account only as of the business day for Euroclear or Clearstream following DTC’s settlement date.</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The information in this section of this prospectus concerning DTC, Clearstream, Euroclear and their respective book-entry systems has been obtained from sources that we believe to be reliable, but we do not take responsibility for this information. This information has been provided solely as a matter of convenience. The rules and procedures of DTC, Clearstream and Euroclear are solely within the control of those organizations and could change at any time. Neither we nor the trustee nor any agent of ours or of the trustee has any control over those entities and none of us takes any responsibility for their activities. You are urged to contact DTC, Clearstream and Euroclear or their respective participants directly to discuss those matters. In addition, although we expect that DTC, Clearstream and Euroclear will perform the foregoing procedures, none of them is under any obligation to perform or continue to perform such procedures and such procedures may be discontinued at any time. Neither we nor any agent of ours will have any responsibility for the performance or nonperformance by DTC, Clearstream and Euroclear or their respective participants of these or any other rules or procedures governing their respective operations.</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00"/>
          </w:cols>
          <w:pgMar w:left="320" w:top="455" w:right="47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“at-the-market offerings,” negotiated transactions, block trades or a combination of these methods or through underwriters or dealers, through agents and/or directly to one or more purchasers. The securities may be distributed from time to time in one or more transactions:</w:t>
      </w:r>
    </w:p>
    <w:p>
      <w:pPr>
        <w:spacing w:after="0" w:line="81" w:lineRule="exact"/>
        <w:rPr>
          <w:sz w:val="20"/>
          <w:szCs w:val="20"/>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“at-the-market offerings” (as defined in Rule 415 under the Securities Act);</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any method permitted by applicable law and described in a prospectus supplement.</w:t>
      </w:r>
    </w:p>
    <w:p>
      <w:pPr>
        <w:spacing w:after="0" w:line="225"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Each time that we sell securities covered by this prospectus, we will provide a prospectus supplement or supplements that will describe the method of distribution and set forth the terms and conditions of the offering of such securities, including the offering price of the securities and the proceeds to us, if applicable.</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spacing w:after="0" w:line="16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spacing w:after="0" w:line="162" w:lineRule="exact"/>
        <w:rPr>
          <w:sz w:val="20"/>
          <w:szCs w:val="20"/>
          <w:color w:val="auto"/>
        </w:rPr>
      </w:pPr>
    </w:p>
    <w:p>
      <w:pPr>
        <w:ind w:left="120" w:right="180"/>
        <w:spacing w:after="0" w:line="273" w:lineRule="auto"/>
        <w:rPr>
          <w:sz w:val="20"/>
          <w:szCs w:val="20"/>
          <w:color w:val="auto"/>
        </w:rPr>
      </w:pPr>
      <w:r>
        <w:rPr>
          <w:rFonts w:ascii="Times New Roman" w:cs="Times New Roman" w:eastAsia="Times New Roman" w:hAnsi="Times New Roman"/>
          <w:sz w:val="17"/>
          <w:szCs w:val="17"/>
          <w:color w:val="auto"/>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Unless otherwise indicated in a prospectus supplement, an agent will be acting on a best efforts basis and a dealer will purchase securities as a principal, and may then resell the securities at varying prices to be determined by the dealer.</w:t>
      </w:r>
    </w:p>
    <w:p>
      <w:pPr>
        <w:spacing w:after="0" w:line="171" w:lineRule="exact"/>
        <w:rPr>
          <w:sz w:val="20"/>
          <w:szCs w:val="20"/>
          <w:color w:val="auto"/>
        </w:rPr>
      </w:pPr>
    </w:p>
    <w:p>
      <w:pPr>
        <w:ind w:left="120" w:right="220"/>
        <w:spacing w:after="0" w:line="256"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spacing w:after="0" w:line="187" w:lineRule="exact"/>
        <w:rPr>
          <w:sz w:val="20"/>
          <w:szCs w:val="20"/>
          <w:color w:val="auto"/>
        </w:rPr>
      </w:pPr>
    </w:p>
    <w:p>
      <w:pPr>
        <w:ind w:left="120" w:right="560"/>
        <w:spacing w:after="0" w:line="282" w:lineRule="auto"/>
        <w:rPr>
          <w:sz w:val="20"/>
          <w:szCs w:val="20"/>
          <w:color w:val="auto"/>
        </w:rPr>
      </w:pPr>
      <w:r>
        <w:rPr>
          <w:rFonts w:ascii="Times New Roman" w:cs="Times New Roman" w:eastAsia="Times New Roman" w:hAnsi="Times New Roman"/>
          <w:sz w:val="18"/>
          <w:szCs w:val="18"/>
          <w:color w:val="auto"/>
        </w:rPr>
        <w:t>Any common stock or preferred stock will be listed on the Nasdaq Global Market, but any other securities may or may not be listed on a national securities exchange.</w:t>
      </w:r>
    </w:p>
    <w:p>
      <w:pPr>
        <w:spacing w:after="0" w:line="54"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To facilitate the offering of securities, and to the extent permitted by and in accordance with Regulation M under the Exchange Act, certain persons participating in the offering may engage in transactions that stabilize, maintain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To the extent permitted by and in accordance with Regulation M under the Exchange Act, any underwriters who are qualified market makers on Nasdaq may engage in passive market making transactions in the securities on Nasdaq during the business day prior to the pricing of an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w:t>
      </w:r>
    </w:p>
    <w:p>
      <w:pPr>
        <w:spacing w:after="0" w:line="187"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spacing w:after="0" w:line="189"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underwriters, dealers and agents may engage in transactions with us, or perform services for us, in the ordinary course of business for which they receive compensation.</w:t>
      </w:r>
    </w:p>
    <w:p>
      <w:pPr>
        <w:spacing w:after="0" w:line="162" w:lineRule="exact"/>
        <w:rPr>
          <w:sz w:val="20"/>
          <w:szCs w:val="20"/>
          <w:color w:val="auto"/>
        </w:rPr>
      </w:pPr>
    </w:p>
    <w:p>
      <w:pPr>
        <w:ind w:left="120" w:right="760"/>
        <w:spacing w:after="0" w:line="282" w:lineRule="auto"/>
        <w:rPr>
          <w:sz w:val="20"/>
          <w:szCs w:val="20"/>
          <w:color w:val="auto"/>
        </w:rPr>
      </w:pPr>
      <w:r>
        <w:rPr>
          <w:rFonts w:ascii="Times New Roman" w:cs="Times New Roman" w:eastAsia="Times New Roman" w:hAnsi="Times New Roman"/>
          <w:sz w:val="18"/>
          <w:szCs w:val="18"/>
          <w:color w:val="auto"/>
        </w:rPr>
        <w:t>No securities may be sold under this prospectus without delivery, in paper format or in electronic format, or both, of the applicable prospectus supplement describing the method and terms of the offering.</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ind w:left="120" w:right="540"/>
        <w:spacing w:after="0" w:line="266" w:lineRule="auto"/>
        <w:rPr>
          <w:sz w:val="20"/>
          <w:szCs w:val="20"/>
          <w:color w:val="auto"/>
        </w:rPr>
      </w:pPr>
      <w:r>
        <w:rPr>
          <w:rFonts w:ascii="Times New Roman" w:cs="Times New Roman" w:eastAsia="Times New Roman" w:hAnsi="Times New Roman"/>
          <w:sz w:val="18"/>
          <w:szCs w:val="18"/>
          <w:color w:val="auto"/>
        </w:rPr>
        <w:t>Goodwin Procter LLP will pass upon certain legal matters relating to the issuance and sale of the securities offered hereby on behalf of Larimar Therapeutics, Inc. Additional legal matters may be passed upon for us or any underwriters, dealers or agents by counsel that we will name in the applicable prospectus supplement.</w:t>
      </w:r>
    </w:p>
    <w:p>
      <w:pPr>
        <w:spacing w:after="0" w:line="38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financial statements incorporated in this prospectus by reference to the Annual Report on Form 10-K for the year ended December 31, 2023 have been so incorporated in reliance on the report of PricewaterhouseCoopers LLP, an independent registered public accounting firm, given on the authority of said firm as experts in auditing and accounting.</w:t>
      </w:r>
    </w:p>
    <w:p>
      <w:pPr>
        <w:spacing w:after="0" w:line="108"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40"/>
          </w:cols>
          <w:pgMar w:left="320" w:top="455" w:right="5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2310765</wp:posOffset>
            </wp:positionH>
            <wp:positionV relativeFrom="paragraph">
              <wp:posOffset>1168400</wp:posOffset>
            </wp:positionV>
            <wp:extent cx="2520315" cy="916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8">
                      <a:extLst>
                        <a:ext uri="{28A0092B-C50C-407E-A947-70E740481C1C}"/>
                      </a:extLst>
                    </a:blip>
                    <a:srcRect/>
                    <a:stretch>
                      <a:fillRect/>
                    </a:stretch>
                  </pic:blipFill>
                  <pic:spPr bwMode="auto">
                    <a:xfrm>
                      <a:off x="0" y="0"/>
                      <a:ext cx="2520315" cy="916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100"/>
        <w:spacing w:after="0"/>
        <w:rPr>
          <w:sz w:val="20"/>
          <w:szCs w:val="20"/>
          <w:color w:val="auto"/>
        </w:rPr>
      </w:pPr>
      <w:r>
        <w:rPr>
          <w:rFonts w:ascii="Arial" w:cs="Arial" w:eastAsia="Arial" w:hAnsi="Arial"/>
          <w:sz w:val="32"/>
          <w:szCs w:val="32"/>
          <w:b w:val="1"/>
          <w:bCs w:val="1"/>
          <w:color w:val="auto"/>
        </w:rPr>
        <w:t>20,000,000 Shares of Common Stock</w:t>
      </w:r>
    </w:p>
    <w:p>
      <w:pPr>
        <w:spacing w:after="0" w:line="200" w:lineRule="exact"/>
        <w:rPr>
          <w:sz w:val="20"/>
          <w:szCs w:val="20"/>
          <w:color w:val="auto"/>
        </w:rPr>
      </w:pPr>
    </w:p>
    <w:p>
      <w:pPr>
        <w:spacing w:after="0" w:line="229" w:lineRule="exact"/>
        <w:rPr>
          <w:sz w:val="20"/>
          <w:szCs w:val="20"/>
          <w:color w:val="auto"/>
        </w:rPr>
      </w:pPr>
    </w:p>
    <w:p>
      <w:pPr>
        <w:ind w:left="2600"/>
        <w:spacing w:after="0"/>
        <w:rPr>
          <w:sz w:val="20"/>
          <w:szCs w:val="20"/>
          <w:color w:val="auto"/>
        </w:rPr>
      </w:pPr>
      <w:r>
        <w:rPr>
          <w:rFonts w:ascii="Arial" w:cs="Arial" w:eastAsia="Arial" w:hAnsi="Arial"/>
          <w:sz w:val="43"/>
          <w:szCs w:val="43"/>
          <w:b w:val="1"/>
          <w:bCs w:val="1"/>
          <w:color w:val="auto"/>
        </w:rPr>
        <w:t>PROSPECTUS SUPPLEMENT</w:t>
      </w:r>
    </w:p>
    <w:p>
      <w:pPr>
        <w:spacing w:after="0" w:line="200" w:lineRule="exact"/>
        <w:rPr>
          <w:sz w:val="20"/>
          <w:szCs w:val="20"/>
          <w:color w:val="auto"/>
        </w:rPr>
      </w:pPr>
    </w:p>
    <w:p>
      <w:pPr>
        <w:spacing w:after="0" w:line="254" w:lineRule="exact"/>
        <w:rPr>
          <w:sz w:val="20"/>
          <w:szCs w:val="20"/>
          <w:color w:val="auto"/>
        </w:rPr>
      </w:pPr>
    </w:p>
    <w:p>
      <w:pPr>
        <w:ind w:left="4140"/>
        <w:spacing w:after="0"/>
        <w:rPr>
          <w:sz w:val="20"/>
          <w:szCs w:val="20"/>
          <w:color w:val="auto"/>
        </w:rPr>
      </w:pPr>
      <w:r>
        <w:rPr>
          <w:rFonts w:ascii="Arial" w:cs="Arial" w:eastAsia="Arial" w:hAnsi="Arial"/>
          <w:sz w:val="22"/>
          <w:szCs w:val="22"/>
          <w:b w:val="1"/>
          <w:bCs w:val="1"/>
          <w:i w:val="1"/>
          <w:iCs w:val="1"/>
          <w:color w:val="auto"/>
        </w:rPr>
        <w:t>Joint Bookrunning Managers</w:t>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92" w:lineRule="exact"/>
        <w:rPr>
          <w:sz w:val="20"/>
          <w:szCs w:val="20"/>
          <w:color w:val="auto"/>
        </w:rPr>
      </w:pPr>
    </w:p>
    <w:p>
      <w:pPr>
        <w:ind w:left="2240"/>
        <w:spacing w:after="0"/>
        <w:rPr>
          <w:sz w:val="20"/>
          <w:szCs w:val="20"/>
          <w:color w:val="auto"/>
        </w:rPr>
      </w:pPr>
      <w:r>
        <w:rPr>
          <w:rFonts w:ascii="Arial" w:cs="Arial" w:eastAsia="Arial" w:hAnsi="Arial"/>
          <w:sz w:val="24"/>
          <w:szCs w:val="24"/>
          <w:b w:val="1"/>
          <w:bCs w:val="1"/>
          <w:color w:val="auto"/>
        </w:rPr>
        <w:t>J.P. Morgan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Guggenheim Securities</w:t>
      </w:r>
    </w:p>
    <w:p>
      <w:pPr>
        <w:spacing w:after="0" w:line="156" w:lineRule="exact"/>
        <w:rPr>
          <w:sz w:val="20"/>
          <w:szCs w:val="20"/>
          <w:color w:val="auto"/>
        </w:rPr>
      </w:pPr>
    </w:p>
    <w:p>
      <w:pPr>
        <w:sectPr>
          <w:pgSz w:w="11900" w:h="16838" w:orient="portrait"/>
          <w:cols w:equalWidth="0" w:num="2">
            <w:col w:w="6420" w:space="720"/>
            <w:col w:w="2999"/>
          </w:cols>
          <w:pgMar w:left="320" w:top="455" w:right="1440" w:bottom="1440" w:gutter="0" w:footer="0" w:header="0"/>
          <w:type w:val="continuous"/>
        </w:sectPr>
      </w:pPr>
    </w:p>
    <w:p>
      <w:pPr>
        <w:ind w:left="5020"/>
        <w:spacing w:after="0"/>
        <w:rPr>
          <w:sz w:val="20"/>
          <w:szCs w:val="20"/>
          <w:color w:val="auto"/>
        </w:rPr>
      </w:pPr>
      <w:r>
        <w:rPr>
          <w:rFonts w:ascii="Arial" w:cs="Arial" w:eastAsia="Arial" w:hAnsi="Arial"/>
          <w:sz w:val="21"/>
          <w:szCs w:val="21"/>
          <w:i w:val="1"/>
          <w:iCs w:val="1"/>
          <w:color w:val="auto"/>
        </w:rPr>
        <w:t>Bookrunners</w:t>
      </w:r>
    </w:p>
    <w:p>
      <w:pPr>
        <w:sectPr>
          <w:pgSz w:w="11900" w:h="16838" w:orient="portrait"/>
          <w:cols w:equalWidth="0" w:num="1">
            <w:col w:w="10139"/>
          </w:cols>
          <w:pgMar w:left="320" w:top="455" w:right="1440" w:bottom="1440" w:gutter="0" w:footer="0" w:header="0"/>
          <w:type w:val="continuous"/>
        </w:sectPr>
      </w:pPr>
    </w:p>
    <w:p>
      <w:pPr>
        <w:spacing w:after="0" w:line="200" w:lineRule="exact"/>
        <w:rPr>
          <w:sz w:val="20"/>
          <w:szCs w:val="20"/>
          <w:color w:val="auto"/>
        </w:rPr>
      </w:pPr>
    </w:p>
    <w:p>
      <w:pPr>
        <w:spacing w:after="0" w:line="299" w:lineRule="exact"/>
        <w:rPr>
          <w:sz w:val="20"/>
          <w:szCs w:val="20"/>
          <w:color w:val="auto"/>
        </w:rPr>
      </w:pPr>
    </w:p>
    <w:p>
      <w:pPr>
        <w:ind w:left="2180"/>
        <w:spacing w:after="0"/>
        <w:rPr>
          <w:sz w:val="20"/>
          <w:szCs w:val="20"/>
          <w:color w:val="auto"/>
        </w:rPr>
      </w:pPr>
      <w:r>
        <w:rPr>
          <w:rFonts w:ascii="Arial" w:cs="Arial" w:eastAsia="Arial" w:hAnsi="Arial"/>
          <w:sz w:val="21"/>
          <w:szCs w:val="21"/>
          <w:b w:val="1"/>
          <w:bCs w:val="1"/>
          <w:color w:val="auto"/>
        </w:rPr>
        <w:t>LifeSci Capital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William Blair</w:t>
      </w:r>
    </w:p>
    <w:p>
      <w:pPr>
        <w:spacing w:after="0" w:line="200" w:lineRule="exact"/>
        <w:rPr>
          <w:sz w:val="20"/>
          <w:szCs w:val="20"/>
          <w:color w:val="auto"/>
        </w:rPr>
      </w:pPr>
    </w:p>
    <w:p>
      <w:pPr>
        <w:sectPr>
          <w:pgSz w:w="11900" w:h="16838" w:orient="portrait"/>
          <w:cols w:equalWidth="0" w:num="2">
            <w:col w:w="7180" w:space="720"/>
            <w:col w:w="2239"/>
          </w:cols>
          <w:pgMar w:left="320" w:top="455" w:right="1440" w:bottom="1440" w:gutter="0" w:footer="0" w:header="0"/>
          <w:type w:val="continuous"/>
        </w:sectPr>
      </w:pPr>
    </w:p>
    <w:p>
      <w:pPr>
        <w:spacing w:after="0" w:line="236" w:lineRule="exact"/>
        <w:rPr>
          <w:sz w:val="20"/>
          <w:szCs w:val="20"/>
          <w:color w:val="auto"/>
        </w:rPr>
      </w:pPr>
    </w:p>
    <w:p>
      <w:pPr>
        <w:ind w:left="4920"/>
        <w:spacing w:after="0"/>
        <w:rPr>
          <w:sz w:val="20"/>
          <w:szCs w:val="20"/>
          <w:color w:val="auto"/>
        </w:rPr>
      </w:pPr>
      <w:r>
        <w:rPr>
          <w:rFonts w:ascii="Arial" w:cs="Arial" w:eastAsia="Arial" w:hAnsi="Arial"/>
          <w:sz w:val="22"/>
          <w:szCs w:val="22"/>
          <w:i w:val="1"/>
          <w:iCs w:val="1"/>
          <w:color w:val="auto"/>
        </w:rPr>
        <w:t>Lead Manager</w:t>
      </w:r>
    </w:p>
    <w:p>
      <w:pPr>
        <w:spacing w:after="0" w:line="200" w:lineRule="exact"/>
        <w:rPr>
          <w:sz w:val="20"/>
          <w:szCs w:val="20"/>
          <w:color w:val="auto"/>
        </w:rPr>
      </w:pP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1"/>
          <w:szCs w:val="21"/>
          <w:b w:val="1"/>
          <w:bCs w:val="1"/>
          <w:color w:val="auto"/>
        </w:rPr>
        <w:t>Citizens Capital Markets</w:t>
      </w:r>
    </w:p>
    <w:p>
      <w:pPr>
        <w:spacing w:after="0" w:line="200" w:lineRule="exact"/>
        <w:rPr>
          <w:sz w:val="20"/>
          <w:szCs w:val="20"/>
          <w:color w:val="auto"/>
        </w:rPr>
      </w:pPr>
    </w:p>
    <w:p>
      <w:pPr>
        <w:spacing w:after="0" w:line="236" w:lineRule="exact"/>
        <w:rPr>
          <w:sz w:val="20"/>
          <w:szCs w:val="20"/>
          <w:color w:val="auto"/>
        </w:rPr>
      </w:pPr>
    </w:p>
    <w:p>
      <w:pPr>
        <w:ind w:left="5020"/>
        <w:spacing w:after="0"/>
        <w:rPr>
          <w:sz w:val="20"/>
          <w:szCs w:val="20"/>
          <w:color w:val="auto"/>
        </w:rPr>
      </w:pPr>
      <w:r>
        <w:rPr>
          <w:rFonts w:ascii="Arial" w:cs="Arial" w:eastAsia="Arial" w:hAnsi="Arial"/>
          <w:sz w:val="22"/>
          <w:szCs w:val="22"/>
          <w:i w:val="1"/>
          <w:iCs w:val="1"/>
          <w:color w:val="auto"/>
        </w:rPr>
        <w:t>Co-Manager</w:t>
      </w:r>
    </w:p>
    <w:p>
      <w:pPr>
        <w:spacing w:after="0" w:line="200" w:lineRule="exact"/>
        <w:rPr>
          <w:sz w:val="20"/>
          <w:szCs w:val="20"/>
          <w:color w:val="auto"/>
        </w:rPr>
      </w:pPr>
    </w:p>
    <w:p>
      <w:pPr>
        <w:spacing w:after="0" w:line="220" w:lineRule="exact"/>
        <w:rPr>
          <w:sz w:val="20"/>
          <w:szCs w:val="20"/>
          <w:color w:val="auto"/>
        </w:rPr>
      </w:pPr>
    </w:p>
    <w:p>
      <w:pPr>
        <w:ind w:left="5320"/>
        <w:spacing w:after="0"/>
        <w:rPr>
          <w:sz w:val="20"/>
          <w:szCs w:val="20"/>
          <w:color w:val="auto"/>
        </w:rPr>
      </w:pPr>
      <w:r>
        <w:rPr>
          <w:rFonts w:ascii="Arial" w:cs="Arial" w:eastAsia="Arial" w:hAnsi="Arial"/>
          <w:sz w:val="22"/>
          <w:szCs w:val="22"/>
          <w:b w:val="1"/>
          <w:bCs w:val="1"/>
          <w:color w:val="auto"/>
        </w:rPr>
        <w:t>Jones</w:t>
      </w:r>
    </w:p>
    <w:p>
      <w:pPr>
        <w:sectPr>
          <w:pgSz w:w="11900" w:h="16838" w:orient="portrait"/>
          <w:cols w:equalWidth="0" w:num="1">
            <w:col w:w="10139"/>
          </w:cols>
          <w:pgMar w:left="320" w:top="45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120"/>
        <w:spacing w:after="0"/>
        <w:rPr>
          <w:sz w:val="20"/>
          <w:szCs w:val="20"/>
          <w:color w:val="auto"/>
        </w:rPr>
      </w:pPr>
      <w:r>
        <w:rPr>
          <w:rFonts w:ascii="Arial" w:cs="Arial" w:eastAsia="Arial" w:hAnsi="Arial"/>
          <w:sz w:val="28"/>
          <w:szCs w:val="28"/>
          <w:b w:val="1"/>
          <w:bCs w:val="1"/>
          <w:color w:val="auto"/>
        </w:rPr>
        <w:t>February 25, 2026</w:t>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763845E"/>
    <w:multiLevelType w:val="hybridMultilevel"/>
    <w:lvl w:ilvl="0">
      <w:lvlJc w:val="left"/>
      <w:lvlText w:val="(%1)"/>
      <w:numFmt w:val="decimal"/>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1)"/>
      <w:numFmt w:val="lowerLetter"/>
      <w:start w:val="1"/>
    </w:lvl>
  </w:abstractNum>
  <w:abstractNum w:abstractNumId="14">
    <w:nsid w:val="1E7FF521"/>
    <w:multiLevelType w:val="hybridMultilevel"/>
    <w:lvl w:ilvl="0">
      <w:lvlJc w:val="left"/>
      <w:lvlText w:val="(%1)"/>
      <w:numFmt w:val="lowerLetter"/>
      <w:start w:val="1"/>
    </w:lvl>
  </w:abstractNum>
  <w:abstractNum w:abstractNumId="15">
    <w:nsid w:val="7C3DBD3D"/>
    <w:multiLevelType w:val="hybridMultilevel"/>
    <w:lvl w:ilvl="0">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1)"/>
      <w:numFmt w:val="lowerRoman"/>
      <w:start w:val="7"/>
    </w:lvl>
  </w:abstractNum>
  <w:abstractNum w:abstractNumId="19">
    <w:nsid w:val="4516DDE9"/>
    <w:multiLevelType w:val="hybridMultilevel"/>
    <w:lvl w:ilvl="0">
      <w:lvlJc w:val="left"/>
      <w:lvlText w:val="(%1)"/>
      <w:numFmt w:val="lowerLetter"/>
      <w:start w:val="1"/>
    </w:lvl>
    <w:lvl w:ilvl="1">
      <w:lvlJc w:val="left"/>
      <w:lvlText w:val="(%2)"/>
      <w:numFmt w:val="lowerRoman"/>
      <w:start w:val="1"/>
    </w:lvl>
  </w:abstractNum>
  <w:abstractNum w:abstractNumId="20">
    <w:nsid w:val="3006C83E"/>
    <w:multiLevelType w:val="hybridMultilevel"/>
    <w:lvl w:ilvl="0">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decimal"/>
      <w:start w:val="844"/>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1)"/>
      <w:numFmt w:val="decimal"/>
      <w:start w:val="844"/>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abstractNum>
  <w:abstractNum w:abstractNumId="34">
    <w:nsid w:val="580BD78F"/>
    <w:multiLevelType w:val="hybridMultilevel"/>
    <w:lvl w:ilvl="0">
      <w:lvlJc w:val="left"/>
      <w:lvlText w:val="•"/>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
      <w:numFmt w:val="bullet"/>
      <w:start w:val="1"/>
    </w:lvl>
  </w:abstractNum>
  <w:abstractNum w:abstractNumId="39">
    <w:nsid w:val="2A487CB0"/>
    <w:multiLevelType w:val="hybridMultilevel"/>
    <w:lvl w:ilvl="0">
      <w:lvlJc w:val="left"/>
      <w:lvlText w:val="•"/>
      <w:numFmt w:val="bullet"/>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
      <w:numFmt w:val="bullet"/>
      <w:start w:val="1"/>
    </w:lvl>
  </w:abstractNum>
  <w:abstractNum w:abstractNumId="44">
    <w:nsid w:val="7A6D8D3C"/>
    <w:multiLevelType w:val="hybridMultilevel"/>
    <w:lvl w:ilvl="0">
      <w:lvlJc w:val="left"/>
      <w:lvlText w:val="•"/>
      <w:numFmt w:val="bullet"/>
      <w:start w:val="1"/>
    </w:lvl>
  </w:abstractNum>
  <w:abstractNum w:abstractNumId="45">
    <w:nsid w:val="4B588F54"/>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2"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jpe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8" Type="http://schemas.openxmlformats.org/officeDocument/2006/relationships/image" Target="media/image60.png"/><Relationship Id="rId89" Type="http://schemas.openxmlformats.org/officeDocument/2006/relationships/image" Target="media/image61.png"/><Relationship Id="rId90" Type="http://schemas.openxmlformats.org/officeDocument/2006/relationships/image" Target="media/image62.png"/><Relationship Id="rId91" Type="http://schemas.openxmlformats.org/officeDocument/2006/relationships/image" Target="media/image63.png"/><Relationship Id="rId92" Type="http://schemas.openxmlformats.org/officeDocument/2006/relationships/image" Target="media/image64.png"/><Relationship Id="rId93" Type="http://schemas.openxmlformats.org/officeDocument/2006/relationships/image" Target="media/image65.png"/><Relationship Id="rId94" Type="http://schemas.openxmlformats.org/officeDocument/2006/relationships/image" Target="media/image66.png"/><Relationship Id="rId95" Type="http://schemas.openxmlformats.org/officeDocument/2006/relationships/image" Target="media/image67.png"/><Relationship Id="rId96" Type="http://schemas.openxmlformats.org/officeDocument/2006/relationships/image" Target="media/image68.png"/><Relationship Id="rId97" Type="http://schemas.openxmlformats.org/officeDocument/2006/relationships/image" Target="media/image69.png"/><Relationship Id="rId98" Type="http://schemas.openxmlformats.org/officeDocument/2006/relationships/image" Target="media/image70.png"/><Relationship Id="rId99" Type="http://schemas.openxmlformats.org/officeDocument/2006/relationships/image" Target="media/image71.png"/><Relationship Id="rId100" Type="http://schemas.openxmlformats.org/officeDocument/2006/relationships/image" Target="media/image72.png"/><Relationship Id="rId101" Type="http://schemas.openxmlformats.org/officeDocument/2006/relationships/image" Target="media/image73.png"/><Relationship Id="rId102" Type="http://schemas.openxmlformats.org/officeDocument/2006/relationships/image" Target="media/image74.png"/><Relationship Id="rId103" Type="http://schemas.openxmlformats.org/officeDocument/2006/relationships/image" Target="media/image75.png"/><Relationship Id="rId104" Type="http://schemas.openxmlformats.org/officeDocument/2006/relationships/image" Target="media/image76.png"/><Relationship Id="rId105" Type="http://schemas.openxmlformats.org/officeDocument/2006/relationships/image" Target="media/image77.png"/><Relationship Id="rId106" Type="http://schemas.openxmlformats.org/officeDocument/2006/relationships/image" Target="media/image78.png"/><Relationship Id="rId107" Type="http://schemas.openxmlformats.org/officeDocument/2006/relationships/image" Target="media/image79.png"/><Relationship Id="rId108" Type="http://schemas.openxmlformats.org/officeDocument/2006/relationships/image" Target="media/image80.png"/><Relationship Id="rId109" Type="http://schemas.openxmlformats.org/officeDocument/2006/relationships/image" Target="media/image81.png"/><Relationship Id="rId110" Type="http://schemas.openxmlformats.org/officeDocument/2006/relationships/image" Target="media/image82.png"/><Relationship Id="rId111" Type="http://schemas.openxmlformats.org/officeDocument/2006/relationships/image" Target="media/image83.png"/><Relationship Id="rId112" Type="http://schemas.openxmlformats.org/officeDocument/2006/relationships/image" Target="media/image84.png"/><Relationship Id="rId113" Type="http://schemas.openxmlformats.org/officeDocument/2006/relationships/image" Target="media/image85.png"/><Relationship Id="rId114" Type="http://schemas.openxmlformats.org/officeDocument/2006/relationships/image" Target="media/image86.png"/><Relationship Id="rId115" Type="http://schemas.openxmlformats.org/officeDocument/2006/relationships/image" Target="media/image87.png"/><Relationship Id="rId116" Type="http://schemas.openxmlformats.org/officeDocument/2006/relationships/image" Target="media/image88.png"/><Relationship Id="rId117" Type="http://schemas.openxmlformats.org/officeDocument/2006/relationships/image" Target="media/image89.png"/><Relationship Id="rId118" Type="http://schemas.openxmlformats.org/officeDocument/2006/relationships/image" Target="media/image90.jpeg"/><Relationship Id="rId58" Type="http://schemas.openxmlformats.org/officeDocument/2006/relationships/hyperlink" Target="http://www.sec.gov/ix?doc=/Archives/edgar/data/1374690/000095017025043925/lrmr-20241231.htm" TargetMode="External"/><Relationship Id="rId59" Type="http://schemas.openxmlformats.org/officeDocument/2006/relationships/hyperlink" Target="http://www.sec.gov/ix?doc=/Archives/edgar/data/1374690/000095017025061222/lrmr-20250331.htm" TargetMode="External"/><Relationship Id="rId60" Type="http://schemas.openxmlformats.org/officeDocument/2006/relationships/hyperlink" Target="http://www.sec.gov/ix?doc=/Archives/edgar/data/1374690/000095017025108797/lrmr-20250630.htm" TargetMode="External"/><Relationship Id="rId61" Type="http://schemas.openxmlformats.org/officeDocument/2006/relationships/hyperlink" Target="http://www.sec.gov/ix?doc=/Archives/edgar/data/1374690/000119312525266969/lrmr-20250930.htm" TargetMode="External"/><Relationship Id="rId63" Type="http://schemas.openxmlformats.org/officeDocument/2006/relationships/hyperlink" Target="http://www.sec.gov/ix?doc=/Archives/edgar/data/1374690/000095017025053028/lrmr-20250409.htm" TargetMode="External"/><Relationship Id="rId64" Type="http://schemas.openxmlformats.org/officeDocument/2006/relationships/hyperlink" Target="http://www.sec.gov/ix?doc=/Archives/edgar/data/1374690/000095017025070287/lrmr-20250513.htm" TargetMode="External"/><Relationship Id="rId65" Type="http://schemas.openxmlformats.org/officeDocument/2006/relationships/hyperlink" Target="http://www.sec.gov/ix?doc=/Archives/edgar/data/1374690/000119312525273217/lrmr-20251110.htm" TargetMode="External"/><Relationship Id="rId66" Type="http://schemas.openxmlformats.org/officeDocument/2006/relationships/hyperlink" Target="http://www.sec.gov/ix?doc=/Archives/edgar/data/1374690/000119312525321738/d42051d8k.htm" TargetMode="External"/><Relationship Id="rId67" Type="http://schemas.openxmlformats.org/officeDocument/2006/relationships/hyperlink" Target="http://www.sec.gov/ix?doc=/Archives/edgar/data/1374690/000119312526010409/lrmr-20260112.htm" TargetMode="External"/><Relationship Id="rId68" Type="http://schemas.openxmlformats.org/officeDocument/2006/relationships/hyperlink" Target="http://www.sec.gov/ix?doc=/Archives/edgar/data/1374690/000119312526018664/d27699d8k.htm" TargetMode="External"/><Relationship Id="rId69" Type="http://schemas.openxmlformats.org/officeDocument/2006/relationships/hyperlink" Target="http://www.sec.gov/ix?doc=/Archives/edgar/data/0001374690/000119312526065186/lrmr-20260224.htm" TargetMode="External"/><Relationship Id="rId70" Type="http://schemas.openxmlformats.org/officeDocument/2006/relationships/hyperlink" Target="http://www.sec.gov/Archives/edgar/data/1374690/000119312514240257/d745277d8a12b.htm" TargetMode="External"/><Relationship Id="rId71" Type="http://schemas.openxmlformats.org/officeDocument/2006/relationships/hyperlink" Target="http://www.sec.gov/Archives/edgar/data/1374690/000156459021011003/lrmr-ex42_407.htm" TargetMode="External"/><Relationship Id="rId80" Type="http://schemas.openxmlformats.org/officeDocument/2006/relationships/hyperlink" Target="http://www.sec.gov/Archives/edgar/data/1374690/000095017024031529/lrmr-20231231.htm" TargetMode="External"/><Relationship Id="rId81" Type="http://schemas.openxmlformats.org/officeDocument/2006/relationships/hyperlink" Target="http://www.sec.gov/ix?doc=/Archives/edgar/data/0001374690/000095017024056965/lrmr-20240331.htm" TargetMode="External"/><Relationship Id="rId82" Type="http://schemas.openxmlformats.org/officeDocument/2006/relationships/hyperlink" Target="http://www.sec.gov/Archives/edgar/data/1374690/000119312524122191/d636298ddef14a.htm" TargetMode="External"/><Relationship Id="rId83" Type="http://schemas.openxmlformats.org/officeDocument/2006/relationships/hyperlink" Target="http://www.sec.gov/Archives/edgar/data/1374690/000095017024013563/lrmr-20240212.htm" TargetMode="External"/><Relationship Id="rId84" Type="http://schemas.openxmlformats.org/officeDocument/2006/relationships/hyperlink" Target="http://www.sec.gov/Archives/edgar/data/1374690/000095017024014919/lrmr-20240213.htm" TargetMode="External"/><Relationship Id="rId85" Type="http://schemas.openxmlformats.org/officeDocument/2006/relationships/hyperlink" Target="http://www.sec.gov/Archives/edgar/data/1374690/000119312524038473/d780024d8k.htm" TargetMode="External"/><Relationship Id="rId86" Type="http://schemas.openxmlformats.org/officeDocument/2006/relationships/hyperlink" Target="http://www.sec.gov/Archives/edgar/data/1374690/000095017024029236/lrmr-20240311.htm" TargetMode="External"/><Relationship Id="rId87" Type="http://schemas.openxmlformats.org/officeDocument/2006/relationships/hyperlink" Target="http://www.sec.gov/ix?doc=/Archives/edgar/data/0001374690/000095017024056248/lrmr-202405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2026-02-26T16:30:28Z</dcterms:created>
  <dcterms:modified xsi:type="dcterms:W3CDTF">2026-02-26T16:30:28Z</dcterms:modified>
</cp:coreProperties>
</file>