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LARIMAR THERAPEUTICS,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Shares, par value $0.001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517125100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December 31, 2021</w:t>
      </w:r>
      <w:r>
        <w:rPr>
          <w:rFonts w:ascii="Arial" w:cs="Arial" w:eastAsia="Arial" w:hAnsi="Arial"/>
          <w:sz w:val="18"/>
          <w:szCs w:val="18"/>
          <w:color w:val="auto"/>
        </w:rPr>
        <w:t>__________</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880" w:hanging="4"/>
        <w:spacing w:after="0" w:line="228" w:lineRule="exact"/>
        <w:tabs>
          <w:tab w:leader="none" w:pos="13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hanging="427"/>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5460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 Capital Management, L.P.</w:t>
      </w:r>
    </w:p>
    <w:p>
      <w:pPr>
        <w:spacing w:after="0" w:line="23"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460"/>
        <w:spacing w:after="0" w:line="207" w:lineRule="exact"/>
        <w:tabs>
          <w:tab w:leader="none" w:pos="109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40"/>
        <w:spacing w:after="0" w:line="207" w:lineRule="exact"/>
        <w:tabs>
          <w:tab w:leader="none" w:pos="109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4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1,334,610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22"/>
                <w:szCs w:val="22"/>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27"/>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1" w:lineRule="exact"/>
        <w:rPr>
          <w:rFonts w:ascii="Arial" w:cs="Arial" w:eastAsia="Arial" w:hAnsi="Arial"/>
          <w:sz w:val="18"/>
          <w:szCs w:val="18"/>
          <w:b w:val="1"/>
          <w:bCs w:val="1"/>
          <w:color w:val="auto"/>
        </w:rPr>
      </w:pPr>
    </w:p>
    <w:p>
      <w:pPr>
        <w:ind w:left="6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b w:val="1"/>
          <w:bCs w:val="1"/>
          <w:color w:val="auto"/>
        </w:rPr>
      </w:pPr>
    </w:p>
    <w:p>
      <w:pPr>
        <w:ind w:left="680" w:right="5620" w:hanging="467"/>
        <w:spacing w:after="0" w:line="374"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323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3" w:lineRule="exact"/>
        <w:rPr>
          <w:sz w:val="20"/>
          <w:szCs w:val="20"/>
          <w:color w:val="auto"/>
        </w:rPr>
      </w:pPr>
    </w:p>
    <w:p>
      <w:pPr>
        <w:ind w:left="680" w:hanging="427"/>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Peter Kolchinsky</w:t>
      </w:r>
    </w:p>
    <w:p>
      <w:pPr>
        <w:spacing w:after="0" w:line="23" w:lineRule="exact"/>
        <w:rPr>
          <w:sz w:val="20"/>
          <w:szCs w:val="20"/>
          <w:color w:val="auto"/>
        </w:r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460"/>
        <w:spacing w:after="0" w:line="207" w:lineRule="exact"/>
        <w:tabs>
          <w:tab w:leader="none" w:pos="109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40"/>
        <w:spacing w:after="0" w:line="207" w:lineRule="exact"/>
        <w:tabs>
          <w:tab w:leader="none" w:pos="109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hanging="427"/>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ind w:left="2380" w:hanging="439"/>
        <w:spacing w:after="0"/>
        <w:tabs>
          <w:tab w:leader="none" w:pos="23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1,334,610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2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1" w:lineRule="exact"/>
        <w:rPr>
          <w:rFonts w:ascii="Arial" w:cs="Arial" w:eastAsia="Arial" w:hAnsi="Arial"/>
          <w:sz w:val="18"/>
          <w:szCs w:val="18"/>
          <w:b w:val="1"/>
          <w:bCs w:val="1"/>
          <w:color w:val="auto"/>
        </w:rPr>
      </w:pPr>
    </w:p>
    <w:p>
      <w:pPr>
        <w:ind w:left="6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b w:val="1"/>
          <w:bCs w:val="1"/>
          <w:color w:val="auto"/>
        </w:rPr>
      </w:pPr>
    </w:p>
    <w:p>
      <w:pPr>
        <w:ind w:left="680" w:right="5620" w:hanging="467"/>
        <w:spacing w:after="0" w:line="374"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323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3" w:lineRule="exact"/>
        <w:rPr>
          <w:sz w:val="20"/>
          <w:szCs w:val="20"/>
          <w:color w:val="auto"/>
        </w:rPr>
      </w:pPr>
    </w:p>
    <w:p>
      <w:pPr>
        <w:ind w:left="680" w:hanging="42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Rajeev Shah</w:t>
      </w:r>
    </w:p>
    <w:p>
      <w:pPr>
        <w:spacing w:after="0" w:line="23" w:lineRule="exact"/>
        <w:rPr>
          <w:sz w:val="20"/>
          <w:szCs w:val="20"/>
          <w:color w:val="auto"/>
        </w:rPr>
      </w:pPr>
    </w:p>
    <w:p>
      <w:pPr>
        <w:ind w:left="680" w:hanging="42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460"/>
        <w:spacing w:after="0" w:line="207" w:lineRule="exact"/>
        <w:tabs>
          <w:tab w:leader="none" w:pos="109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40"/>
        <w:spacing w:after="0" w:line="207" w:lineRule="exact"/>
        <w:tabs>
          <w:tab w:leader="none" w:pos="109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p>
      <w:pPr>
        <w:ind w:left="2380" w:hanging="439"/>
        <w:spacing w:after="0"/>
        <w:tabs>
          <w:tab w:leader="none" w:pos="23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1,334,610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27"/>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1" w:lineRule="exact"/>
        <w:rPr>
          <w:rFonts w:ascii="Arial" w:cs="Arial" w:eastAsia="Arial" w:hAnsi="Arial"/>
          <w:sz w:val="18"/>
          <w:szCs w:val="18"/>
          <w:b w:val="1"/>
          <w:bCs w:val="1"/>
          <w:color w:val="auto"/>
        </w:rPr>
      </w:pPr>
    </w:p>
    <w:p>
      <w:pPr>
        <w:ind w:left="6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b w:val="1"/>
          <w:bCs w:val="1"/>
          <w:color w:val="auto"/>
        </w:rPr>
      </w:pPr>
    </w:p>
    <w:p>
      <w:pPr>
        <w:ind w:left="680" w:right="5620" w:hanging="467"/>
        <w:spacing w:after="0" w:line="374" w:lineRule="auto"/>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323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3" w:lineRule="exact"/>
        <w:rPr>
          <w:sz w:val="20"/>
          <w:szCs w:val="20"/>
          <w:color w:val="auto"/>
        </w:rPr>
      </w:pPr>
    </w:p>
    <w:p>
      <w:pPr>
        <w:ind w:left="680" w:hanging="427"/>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 Capital Healthcare Fund, L.P.</w:t>
      </w:r>
    </w:p>
    <w:p>
      <w:pPr>
        <w:spacing w:after="0" w:line="23" w:lineRule="exact"/>
        <w:rPr>
          <w:sz w:val="20"/>
          <w:szCs w:val="20"/>
          <w:color w:val="auto"/>
        </w:rPr>
      </w:pPr>
    </w:p>
    <w:p>
      <w:pPr>
        <w:ind w:left="680" w:hanging="427"/>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both"/>
        <w:ind w:left="10460"/>
        <w:spacing w:after="0" w:line="207" w:lineRule="exact"/>
        <w:tabs>
          <w:tab w:leader="none" w:pos="109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440"/>
        <w:spacing w:after="0" w:line="207" w:lineRule="exact"/>
        <w:tabs>
          <w:tab w:leader="none" w:pos="109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hanging="427"/>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1,334,610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27"/>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1,334,610</w:t>
      </w:r>
    </w:p>
    <w:p>
      <w:pPr>
        <w:spacing w:after="0" w:line="23" w:lineRule="exact"/>
        <w:rPr>
          <w:sz w:val="20"/>
          <w:szCs w:val="20"/>
          <w:color w:val="auto"/>
        </w:rPr>
      </w:pPr>
    </w:p>
    <w:p>
      <w:pPr>
        <w:ind w:left="680" w:hanging="4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91" w:lineRule="exact"/>
        <w:rPr>
          <w:rFonts w:ascii="Arial" w:cs="Arial" w:eastAsia="Arial" w:hAnsi="Arial"/>
          <w:sz w:val="18"/>
          <w:szCs w:val="18"/>
          <w:b w:val="1"/>
          <w:bCs w:val="1"/>
          <w:color w:val="auto"/>
        </w:rPr>
      </w:pPr>
    </w:p>
    <w:p>
      <w:pPr>
        <w:ind w:left="6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b w:val="1"/>
          <w:bCs w:val="1"/>
          <w:color w:val="auto"/>
        </w:rPr>
      </w:pPr>
    </w:p>
    <w:p>
      <w:pPr>
        <w:ind w:left="680" w:right="5620" w:hanging="467"/>
        <w:spacing w:after="0" w:line="374"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Larimar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Bala Plaza East, Suite 506, Bala Cynwyd, PA 19004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par value $0.001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517125100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17,710,450 outstanding Common Stock, as reported in the Issuer’s 10-Q filed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980" w:right="10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shares, par value $0.001 per share of Larimar Therapeutics, Inc.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Fund GP,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9"/>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5"/>
      <w:numFmt w:val="bullet"/>
      <w:start w:val="1"/>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5"/>
      <w:numFmt w:val="bullet"/>
      <w:start w:val="1"/>
    </w:lvl>
  </w:abstractNum>
  <w:abstractNum w:abstractNumId="19">
    <w:nsid w:val="8EDBDAB"/>
    <w:multiLevelType w:val="hybridMultilevel"/>
    <w:lvl w:ilvl="0">
      <w:lvlJc w:val="left"/>
      <w:lvlText w:val="9"/>
      <w:numFmt w:val="bullet"/>
      <w:start w:val="1"/>
    </w:lvl>
  </w:abstractNum>
  <w:abstractNum w:abstractNumId="20">
    <w:nsid w:val="79838CB2"/>
    <w:multiLevelType w:val="hybridMultilevel"/>
    <w:lvl w:ilvl="0">
      <w:lvlJc w:val="left"/>
      <w:lvlText w:val="%1"/>
      <w:numFmt w:val="decimal"/>
      <w:start w:val="10"/>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4"/>
      <w:numFmt w:val="bullet"/>
      <w:start w:val="1"/>
    </w:lvl>
  </w:abstractNum>
  <w:abstractNum w:abstractNumId="25">
    <w:nsid w:val="71F32454"/>
    <w:multiLevelType w:val="hybridMultilevel"/>
    <w:lvl w:ilvl="0">
      <w:lvlJc w:val="left"/>
      <w:lvlText w:val="9"/>
      <w:numFmt w:val="bullet"/>
      <w:start w:val="1"/>
    </w:lvl>
  </w:abstractNum>
  <w:abstractNum w:abstractNumId="26">
    <w:nsid w:val="2CA88611"/>
    <w:multiLevelType w:val="hybridMultilevel"/>
    <w:lvl w:ilvl="0">
      <w:lvlJc w:val="left"/>
      <w:lvlText w:val="%1"/>
      <w:numFmt w:val="decimal"/>
      <w:start w:val="10"/>
    </w:lvl>
  </w:abstractNum>
  <w:abstractNum w:abstractNumId="27">
    <w:nsid w:val="836C40E"/>
    <w:multiLevelType w:val="hybridMultilevel"/>
    <w:lvl w:ilvl="0">
      <w:lvlJc w:val="left"/>
      <w:lvlText w:val="(%1)"/>
      <w:numFmt w:val="lowerLetter"/>
      <w:start w:val="5"/>
    </w:lvl>
  </w:abstractNum>
  <w:abstractNum w:abstractNumId="28">
    <w:nsid w:val="2901D8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2022-02-14T15:29:22Z</dcterms:created>
  <dcterms:modified xsi:type="dcterms:W3CDTF">2022-02-14T15:29:22Z</dcterms:modified>
</cp:coreProperties>
</file>