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Larimar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517125100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5220" w:hanging="202"/>
        <w:spacing w:after="0"/>
        <w:tabs>
          <w:tab w:leader="none" w:pos="522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5220" w:hanging="207"/>
        <w:spacing w:after="0"/>
        <w:tabs>
          <w:tab w:leader="none" w:pos="522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8 Pages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Index: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5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SCHEDULE 13G</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CUSIP: 517125100</w:t>
            </w:r>
          </w:p>
        </w:tc>
        <w:tc>
          <w:tcPr>
            <w:tcW w:w="8520" w:type="dxa"/>
            <w:vAlign w:val="bottom"/>
            <w:gridSpan w:val="2"/>
          </w:tcPr>
          <w:p>
            <w:pPr>
              <w:ind w:left="6040"/>
              <w:spacing w:after="0"/>
              <w:rPr>
                <w:sz w:val="20"/>
                <w:szCs w:val="20"/>
                <w:color w:val="auto"/>
              </w:rPr>
            </w:pPr>
            <w:r>
              <w:rPr>
                <w:rFonts w:ascii="Times New Roman" w:cs="Times New Roman" w:eastAsia="Times New Roman" w:hAnsi="Times New Roman"/>
                <w:sz w:val="18"/>
                <w:szCs w:val="18"/>
                <w:color w:val="auto"/>
              </w:rPr>
              <w:t>Page 2 of 8 Pages</w:t>
            </w:r>
          </w:p>
        </w:tc>
        <w:tc>
          <w:tcPr>
            <w:tcW w:w="0" w:type="dxa"/>
            <w:vAlign w:val="bottom"/>
          </w:tcPr>
          <w:p>
            <w:pPr>
              <w:spacing w:after="0"/>
              <w:rPr>
                <w:sz w:val="1"/>
                <w:szCs w:val="1"/>
                <w:color w:val="auto"/>
              </w:rPr>
            </w:pPr>
          </w:p>
        </w:tc>
      </w:tr>
      <w:tr>
        <w:trPr>
          <w:trHeight w:val="175"/>
        </w:trPr>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80" w:type="dxa"/>
            <w:vAlign w:val="bottom"/>
            <w:tcBorders>
              <w:bottom w:val="single" w:sz="8" w:color="auto"/>
            </w:tcBorders>
            <w:gridSpan w:val="4"/>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98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Verition Fund Management LLC</w:t>
            </w: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680" w:type="dxa"/>
            <w:vAlign w:val="bottom"/>
            <w:tcBorders>
              <w:bottom w:val="single" w:sz="8" w:color="auto"/>
            </w:tcBorders>
            <w:gridSpan w:val="4"/>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tcBorders>
            <w:vMerge w:val="continue"/>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78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3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02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400" w:type="dxa"/>
            <w:vAlign w:val="bottom"/>
            <w:tcBorders>
              <w:right w:val="single" w:sz="8" w:color="auto"/>
            </w:tcBorders>
          </w:tcPr>
          <w:p>
            <w:pPr>
              <w:spacing w:after="0"/>
              <w:rPr>
                <w:sz w:val="20"/>
                <w:szCs w:val="20"/>
                <w:color w:val="auto"/>
              </w:rPr>
            </w:pPr>
          </w:p>
        </w:tc>
        <w:tc>
          <w:tcPr>
            <w:tcW w:w="1300" w:type="dxa"/>
            <w:vAlign w:val="bottom"/>
            <w:tcBorders>
              <w:right w:val="single" w:sz="8" w:color="BFBFBF"/>
            </w:tcBorders>
            <w:gridSpan w:val="3"/>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380" w:type="dxa"/>
            <w:vAlign w:val="bottom"/>
            <w:shd w:val="clear" w:color="auto" w:fill="BFBFBF"/>
          </w:tcPr>
          <w:p>
            <w:pPr>
              <w:spacing w:after="0"/>
              <w:rPr>
                <w:sz w:val="20"/>
                <w:szCs w:val="20"/>
                <w:color w:val="auto"/>
              </w:rPr>
            </w:pPr>
          </w:p>
        </w:tc>
        <w:tc>
          <w:tcPr>
            <w:tcW w:w="1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380" w:type="dxa"/>
            <w:vAlign w:val="bottom"/>
            <w:shd w:val="clear" w:color="auto" w:fill="BFBFBF"/>
          </w:tcPr>
          <w:p>
            <w:pPr>
              <w:spacing w:after="0"/>
              <w:rPr>
                <w:sz w:val="24"/>
                <w:szCs w:val="24"/>
                <w:color w:val="auto"/>
              </w:rPr>
            </w:pPr>
          </w:p>
        </w:tc>
        <w:tc>
          <w:tcPr>
            <w:tcW w:w="1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8380" w:type="dxa"/>
            <w:vAlign w:val="bottom"/>
            <w:tcBorders>
              <w:bottom w:val="single" w:sz="8" w:color="auto"/>
            </w:tcBorders>
            <w:shd w:val="clear" w:color="auto" w:fill="BFBFBF"/>
          </w:tcPr>
          <w:p>
            <w:pPr>
              <w:spacing w:after="0"/>
              <w:rPr>
                <w:sz w:val="23"/>
                <w:szCs w:val="23"/>
                <w:color w:val="auto"/>
              </w:rPr>
            </w:pPr>
          </w:p>
        </w:tc>
        <w:tc>
          <w:tcPr>
            <w:tcW w:w="1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594,067</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3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38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5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16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8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38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594,067</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594,067</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020" w:type="dxa"/>
            <w:vAlign w:val="bottom"/>
            <w:tcBorders>
              <w:lef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3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20" w:type="dxa"/>
            <w:vAlign w:val="bottom"/>
            <w:tcBorders>
              <w:left w:val="single" w:sz="8" w:color="auto"/>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838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6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 IA</w:t>
            </w:r>
          </w:p>
        </w:tc>
        <w:tc>
          <w:tcPr>
            <w:tcW w:w="5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SCHEDULE 13G</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CUSIP: 517125100</w:t>
            </w:r>
          </w:p>
        </w:tc>
        <w:tc>
          <w:tcPr>
            <w:tcW w:w="8520" w:type="dxa"/>
            <w:vAlign w:val="bottom"/>
            <w:gridSpan w:val="2"/>
          </w:tcPr>
          <w:p>
            <w:pPr>
              <w:ind w:left="6040"/>
              <w:spacing w:after="0"/>
              <w:rPr>
                <w:sz w:val="20"/>
                <w:szCs w:val="20"/>
                <w:color w:val="auto"/>
              </w:rPr>
            </w:pPr>
            <w:r>
              <w:rPr>
                <w:rFonts w:ascii="Times New Roman" w:cs="Times New Roman" w:eastAsia="Times New Roman" w:hAnsi="Times New Roman"/>
                <w:sz w:val="18"/>
                <w:szCs w:val="18"/>
                <w:color w:val="auto"/>
              </w:rPr>
              <w:t>Page 3 of 8 Pages</w:t>
            </w:r>
          </w:p>
        </w:tc>
        <w:tc>
          <w:tcPr>
            <w:tcW w:w="0" w:type="dxa"/>
            <w:vAlign w:val="bottom"/>
          </w:tcPr>
          <w:p>
            <w:pPr>
              <w:spacing w:after="0"/>
              <w:rPr>
                <w:sz w:val="1"/>
                <w:szCs w:val="1"/>
                <w:color w:val="auto"/>
              </w:rPr>
            </w:pPr>
          </w:p>
        </w:tc>
      </w:tr>
      <w:tr>
        <w:trPr>
          <w:trHeight w:val="175"/>
        </w:trPr>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80" w:type="dxa"/>
            <w:vAlign w:val="bottom"/>
            <w:tcBorders>
              <w:bottom w:val="single" w:sz="8" w:color="auto"/>
            </w:tcBorders>
            <w:gridSpan w:val="3"/>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98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Nicholas Maounis</w:t>
            </w: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680" w:type="dxa"/>
            <w:vAlign w:val="bottom"/>
            <w:tcBorders>
              <w:bottom w:val="single" w:sz="8" w:color="auto"/>
            </w:tcBorders>
            <w:gridSpan w:val="3"/>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tcBorders>
            <w:vMerge w:val="continue"/>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6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80" w:type="dxa"/>
            <w:vAlign w:val="bottom"/>
          </w:tcPr>
          <w:p>
            <w:pPr>
              <w:spacing w:after="0"/>
              <w:rPr>
                <w:sz w:val="23"/>
                <w:szCs w:val="23"/>
                <w:color w:val="auto"/>
              </w:rPr>
            </w:pPr>
          </w:p>
        </w:tc>
        <w:tc>
          <w:tcPr>
            <w:tcW w:w="83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02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400" w:type="dxa"/>
            <w:vAlign w:val="bottom"/>
            <w:tcBorders>
              <w:right w:val="single" w:sz="8" w:color="auto"/>
            </w:tcBorders>
          </w:tcPr>
          <w:p>
            <w:pPr>
              <w:spacing w:after="0"/>
              <w:rPr>
                <w:sz w:val="20"/>
                <w:szCs w:val="20"/>
                <w:color w:val="auto"/>
              </w:rPr>
            </w:pPr>
          </w:p>
        </w:tc>
        <w:tc>
          <w:tcPr>
            <w:tcW w:w="1300" w:type="dxa"/>
            <w:vAlign w:val="bottom"/>
            <w:tcBorders>
              <w:right w:val="single" w:sz="8" w:color="BFBFBF"/>
            </w:tcBorders>
            <w:gridSpan w:val="2"/>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380" w:type="dxa"/>
            <w:vAlign w:val="bottom"/>
            <w:shd w:val="clear" w:color="auto" w:fill="BFBFBF"/>
          </w:tcPr>
          <w:p>
            <w:pPr>
              <w:spacing w:after="0"/>
              <w:rPr>
                <w:sz w:val="20"/>
                <w:szCs w:val="20"/>
                <w:color w:val="auto"/>
              </w:rPr>
            </w:pPr>
          </w:p>
        </w:tc>
        <w:tc>
          <w:tcPr>
            <w:tcW w:w="1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380" w:type="dxa"/>
            <w:vAlign w:val="bottom"/>
            <w:shd w:val="clear" w:color="auto" w:fill="BFBFBF"/>
          </w:tcPr>
          <w:p>
            <w:pPr>
              <w:spacing w:after="0"/>
              <w:rPr>
                <w:sz w:val="24"/>
                <w:szCs w:val="24"/>
                <w:color w:val="auto"/>
              </w:rPr>
            </w:pPr>
          </w:p>
        </w:tc>
        <w:tc>
          <w:tcPr>
            <w:tcW w:w="1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380" w:type="dxa"/>
            <w:vAlign w:val="bottom"/>
            <w:tcBorders>
              <w:bottom w:val="single" w:sz="8" w:color="auto"/>
            </w:tcBorders>
            <w:shd w:val="clear" w:color="auto" w:fill="BFBFBF"/>
          </w:tcPr>
          <w:p>
            <w:pPr>
              <w:spacing w:after="0"/>
              <w:rPr>
                <w:sz w:val="23"/>
                <w:szCs w:val="23"/>
                <w:color w:val="auto"/>
              </w:rPr>
            </w:pPr>
          </w:p>
        </w:tc>
        <w:tc>
          <w:tcPr>
            <w:tcW w:w="1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594,067</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83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838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5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680" w:type="dxa"/>
            <w:vAlign w:val="bottom"/>
            <w:tcBorders>
              <w:right w:val="single" w:sz="8" w:color="auto"/>
            </w:tcBorders>
            <w:vMerge w:val="continue"/>
          </w:tcPr>
          <w:p>
            <w:pPr>
              <w:spacing w:after="0"/>
              <w:rPr>
                <w:sz w:val="16"/>
                <w:szCs w:val="16"/>
                <w:color w:val="auto"/>
              </w:rPr>
            </w:pPr>
          </w:p>
        </w:tc>
        <w:tc>
          <w:tcPr>
            <w:tcW w:w="8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38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594,067</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594,067</w:t>
            </w:r>
          </w:p>
        </w:tc>
        <w:tc>
          <w:tcPr>
            <w:tcW w:w="6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020" w:type="dxa"/>
            <w:vAlign w:val="bottom"/>
            <w:tcBorders>
              <w:lef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3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20" w:type="dxa"/>
            <w:vAlign w:val="bottom"/>
            <w:tcBorders>
              <w:left w:val="single" w:sz="8" w:color="auto"/>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38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6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0.9%</w:t>
            </w:r>
          </w:p>
        </w:tc>
        <w:tc>
          <w:tcPr>
            <w:tcW w:w="6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00" w:type="dxa"/>
            <w:vAlign w:val="bottom"/>
            <w:tcBorders>
              <w:right w:val="single" w:sz="8" w:color="auto"/>
            </w:tcBorders>
          </w:tcPr>
          <w:p>
            <w:pPr>
              <w:spacing w:after="0"/>
              <w:rPr>
                <w:sz w:val="20"/>
                <w:szCs w:val="20"/>
                <w:color w:val="auto"/>
              </w:rPr>
            </w:pPr>
          </w:p>
        </w:tc>
        <w:tc>
          <w:tcPr>
            <w:tcW w:w="98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HC</w:t>
            </w:r>
          </w:p>
        </w:tc>
        <w:tc>
          <w:tcPr>
            <w:tcW w:w="6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3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720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SCHEDULE 13G</w:t>
            </w:r>
          </w:p>
        </w:tc>
        <w:tc>
          <w:tcPr>
            <w:tcW w:w="3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CUSIP: 517125100</w:t>
            </w:r>
          </w:p>
        </w:tc>
        <w:tc>
          <w:tcPr>
            <w:tcW w:w="3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Page 4 of 8 Pages</w:t>
            </w: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308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Larimar Therapeutics, Inc. (the “Issuer”)</w:t>
            </w:r>
          </w:p>
        </w:tc>
        <w:tc>
          <w:tcPr>
            <w:tcW w:w="308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Address of the Issuer’s Principal Executive Offices</w:t>
            </w:r>
          </w:p>
        </w:tc>
        <w:tc>
          <w:tcPr>
            <w:tcW w:w="3080" w:type="dxa"/>
            <w:vAlign w:val="bottom"/>
          </w:tcPr>
          <w:p>
            <w:pPr>
              <w:spacing w:after="0"/>
              <w:rPr>
                <w:sz w:val="24"/>
                <w:szCs w:val="24"/>
                <w:color w:val="auto"/>
              </w:rPr>
            </w:pPr>
          </w:p>
        </w:tc>
      </w:tr>
      <w:tr>
        <w:trPr>
          <w:trHeight w:val="414"/>
        </w:trPr>
        <w:tc>
          <w:tcPr>
            <w:tcW w:w="940" w:type="dxa"/>
            <w:vAlign w:val="bottom"/>
          </w:tcPr>
          <w:p>
            <w:pPr>
              <w:spacing w:after="0"/>
              <w:rPr>
                <w:sz w:val="24"/>
                <w:szCs w:val="24"/>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Three Bala Plaza East, Suite 506</w:t>
            </w:r>
          </w:p>
        </w:tc>
        <w:tc>
          <w:tcPr>
            <w:tcW w:w="3080" w:type="dxa"/>
            <w:vAlign w:val="bottom"/>
          </w:tcPr>
          <w:p>
            <w:pPr>
              <w:spacing w:after="0"/>
              <w:rPr>
                <w:sz w:val="24"/>
                <w:szCs w:val="24"/>
                <w:color w:val="auto"/>
              </w:rPr>
            </w:pPr>
          </w:p>
        </w:tc>
      </w:tr>
      <w:tr>
        <w:trPr>
          <w:trHeight w:val="234"/>
        </w:trPr>
        <w:tc>
          <w:tcPr>
            <w:tcW w:w="940" w:type="dxa"/>
            <w:vAlign w:val="bottom"/>
          </w:tcPr>
          <w:p>
            <w:pPr>
              <w:spacing w:after="0"/>
              <w:rPr>
                <w:sz w:val="20"/>
                <w:szCs w:val="20"/>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 Cynwyd, PA 19004</w:t>
            </w:r>
          </w:p>
        </w:tc>
        <w:tc>
          <w:tcPr>
            <w:tcW w:w="308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c>
          <w:tcPr>
            <w:tcW w:w="3080" w:type="dxa"/>
            <w:vAlign w:val="bottom"/>
          </w:tcPr>
          <w:p>
            <w:pPr>
              <w:spacing w:after="0"/>
              <w:rPr>
                <w:sz w:val="24"/>
                <w:szCs w:val="24"/>
                <w:color w:val="auto"/>
              </w:rPr>
            </w:pPr>
          </w:p>
        </w:tc>
      </w:tr>
      <w:tr>
        <w:trPr>
          <w:trHeight w:val="414"/>
        </w:trPr>
        <w:tc>
          <w:tcPr>
            <w:tcW w:w="940" w:type="dxa"/>
            <w:vAlign w:val="bottom"/>
          </w:tcPr>
          <w:p>
            <w:pPr>
              <w:spacing w:after="0"/>
              <w:rPr>
                <w:sz w:val="24"/>
                <w:szCs w:val="24"/>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This Statement is filed on behalf of each of the following persons: Verition Fund Management LLC and Nicholas Maounis (collectively, the</w:t>
            </w:r>
          </w:p>
        </w:tc>
      </w:tr>
      <w:tr>
        <w:trPr>
          <w:trHeight w:val="216"/>
        </w:trPr>
        <w:tc>
          <w:tcPr>
            <w:tcW w:w="940" w:type="dxa"/>
            <w:vAlign w:val="bottom"/>
          </w:tcPr>
          <w:p>
            <w:pPr>
              <w:spacing w:after="0"/>
              <w:rPr>
                <w:sz w:val="18"/>
                <w:szCs w:val="18"/>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“Reporting Persons”). This Statement relates to Shares (as defined herein) held for the account of Verition Multi-Strategy Master Fund Ltd.</w:t>
            </w:r>
          </w:p>
        </w:tc>
      </w:tr>
      <w:tr>
        <w:trPr>
          <w:trHeight w:val="216"/>
        </w:trPr>
        <w:tc>
          <w:tcPr>
            <w:tcW w:w="940" w:type="dxa"/>
            <w:vAlign w:val="bottom"/>
          </w:tcPr>
          <w:p>
            <w:pPr>
              <w:spacing w:after="0"/>
              <w:rPr>
                <w:sz w:val="18"/>
                <w:szCs w:val="18"/>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Verition Fund Management LLC serves as the investment manager to Verition Multi-Strategy Master Fund Ltd. Mr. Nicholas Maounis is</w:t>
            </w:r>
          </w:p>
        </w:tc>
      </w:tr>
      <w:tr>
        <w:trPr>
          <w:trHeight w:val="216"/>
        </w:trPr>
        <w:tc>
          <w:tcPr>
            <w:tcW w:w="940" w:type="dxa"/>
            <w:vAlign w:val="bottom"/>
          </w:tcPr>
          <w:p>
            <w:pPr>
              <w:spacing w:after="0"/>
              <w:rPr>
                <w:sz w:val="18"/>
                <w:szCs w:val="18"/>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the managing member of Verition Fund Management LLC. In such capacities, each of the Reporting Persons may be deemed to have voting</w:t>
            </w:r>
          </w:p>
        </w:tc>
      </w:tr>
      <w:tr>
        <w:trPr>
          <w:trHeight w:val="234"/>
        </w:trPr>
        <w:tc>
          <w:tcPr>
            <w:tcW w:w="940" w:type="dxa"/>
            <w:vAlign w:val="bottom"/>
          </w:tcPr>
          <w:p>
            <w:pPr>
              <w:spacing w:after="0"/>
              <w:rPr>
                <w:sz w:val="20"/>
                <w:szCs w:val="20"/>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dispositive power over the Shares held for Verition Multi-Strategy Master Fund Ltd.</w:t>
            </w:r>
          </w:p>
        </w:tc>
        <w:tc>
          <w:tcPr>
            <w:tcW w:w="308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Address of the Principal Business Office, or if none, Residence</w:t>
            </w:r>
          </w:p>
        </w:tc>
        <w:tc>
          <w:tcPr>
            <w:tcW w:w="308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principal business office of each of the Reporting Persons is One American Lane, Greenwich, CT 06831.</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308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Verition Fund Management LLC is a Delaware limited liability company. Nicholas Maounis is a citizen of the United States.</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308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per share (the “Shares”)</w:t>
            </w:r>
          </w:p>
        </w:tc>
        <w:tc>
          <w:tcPr>
            <w:tcW w:w="308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308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517125100</w:t>
            </w:r>
          </w:p>
        </w:tc>
        <w:tc>
          <w:tcPr>
            <w:tcW w:w="308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r>
              <w:rPr>
                <w:rFonts w:ascii="Times New Roman" w:cs="Times New Roman" w:eastAsia="Times New Roman" w:hAnsi="Times New Roman"/>
                <w:sz w:val="18"/>
                <w:szCs w:val="18"/>
                <w:color w:val="auto"/>
              </w:rPr>
              <w:t>:</w:t>
            </w:r>
          </w:p>
        </w:tc>
      </w:tr>
    </w:tbl>
    <w:p>
      <w:pPr>
        <w:spacing w:after="0" w:line="157" w:lineRule="exact"/>
        <w:rPr>
          <w:sz w:val="20"/>
          <w:szCs w:val="20"/>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840" w:right="140" w:hanging="833"/>
        <w:spacing w:after="0" w:line="215" w:lineRule="exact"/>
        <w:tabs>
          <w:tab w:leader="none" w:pos="1394"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0" w:lineRule="exact"/>
        <w:rPr>
          <w:rFonts w:ascii="Times New Roman" w:cs="Times New Roman" w:eastAsia="Times New Roman" w:hAnsi="Times New Roman"/>
          <w:sz w:val="18"/>
          <w:szCs w:val="18"/>
          <w:color w:val="auto"/>
        </w:rPr>
      </w:pPr>
    </w:p>
    <w:p>
      <w:pPr>
        <w:ind w:left="1840" w:hanging="833"/>
        <w:spacing w:after="0" w:line="215" w:lineRule="exact"/>
        <w:tabs>
          <w:tab w:leader="none" w:pos="1394"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774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SCHEDULE 13G</w:t>
            </w:r>
          </w:p>
        </w:tc>
        <w:tc>
          <w:tcPr>
            <w:tcW w:w="26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CUSIP: 517125100</w:t>
            </w:r>
          </w:p>
        </w:tc>
        <w:tc>
          <w:tcPr>
            <w:tcW w:w="26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Page 5 of 8 Pages</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4(a)</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c>
          <w:tcPr>
            <w:tcW w:w="262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As of September 30, 2024, the number of Shares that the Reporting Persons may be deemed to beneficially own equals 594,067 Shares held</w:t>
            </w:r>
          </w:p>
        </w:tc>
      </w:tr>
      <w:tr>
        <w:trPr>
          <w:trHeight w:val="234"/>
        </w:trPr>
        <w:tc>
          <w:tcPr>
            <w:tcW w:w="880" w:type="dxa"/>
            <w:vAlign w:val="bottom"/>
          </w:tcPr>
          <w:p>
            <w:pPr>
              <w:spacing w:after="0"/>
              <w:rPr>
                <w:sz w:val="20"/>
                <w:szCs w:val="20"/>
                <w:color w:val="auto"/>
              </w:rPr>
            </w:pP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the account of Verition Multi-Strategy Master Fund Ltd.</w:t>
            </w:r>
          </w:p>
        </w:tc>
        <w:tc>
          <w:tcPr>
            <w:tcW w:w="262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4(b)</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262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As of September 30, 2024, the number of Shares the Reporting Persons may be deemed to beneficially own constitutes approximately 0.9%</w:t>
            </w:r>
          </w:p>
        </w:tc>
      </w:tr>
      <w:tr>
        <w:trPr>
          <w:trHeight w:val="216"/>
        </w:trPr>
        <w:tc>
          <w:tcPr>
            <w:tcW w:w="880" w:type="dxa"/>
            <w:vAlign w:val="bottom"/>
          </w:tcPr>
          <w:p>
            <w:pPr>
              <w:spacing w:after="0"/>
              <w:rPr>
                <w:sz w:val="18"/>
                <w:szCs w:val="18"/>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 the total number of Shares outstanding (based upon information provided in the Issuer’s quarterly report on Form 10-Q filed with the</w:t>
            </w:r>
          </w:p>
        </w:tc>
      </w:tr>
      <w:tr>
        <w:trPr>
          <w:trHeight w:val="234"/>
        </w:trPr>
        <w:tc>
          <w:tcPr>
            <w:tcW w:w="880" w:type="dxa"/>
            <w:vAlign w:val="bottom"/>
          </w:tcPr>
          <w:p>
            <w:pPr>
              <w:spacing w:after="0"/>
              <w:rPr>
                <w:sz w:val="20"/>
                <w:szCs w:val="20"/>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Securities and Exchange Commission on October 30, 2024, there were 63,806,628 Shares outstanding as of September 30, 2024).</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4(c)</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 as to which such person has:</w:t>
            </w:r>
          </w:p>
        </w:tc>
        <w:tc>
          <w:tcPr>
            <w:tcW w:w="262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 Sole power to vote or direct the vote: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80" w:type="dxa"/>
            <w:vAlign w:val="bottom"/>
          </w:tcPr>
          <w:p>
            <w:pPr>
              <w:spacing w:after="0"/>
              <w:rPr>
                <w:sz w:val="18"/>
                <w:szCs w:val="18"/>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(ii) Shared power to vote or direct the vote: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594,067</w:t>
            </w:r>
          </w:p>
        </w:tc>
      </w:tr>
      <w:tr>
        <w:trPr>
          <w:trHeight w:val="216"/>
        </w:trPr>
        <w:tc>
          <w:tcPr>
            <w:tcW w:w="880" w:type="dxa"/>
            <w:vAlign w:val="bottom"/>
          </w:tcPr>
          <w:p>
            <w:pPr>
              <w:spacing w:after="0"/>
              <w:rPr>
                <w:sz w:val="18"/>
                <w:szCs w:val="18"/>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(iii) Sole power to dispose or direct the disposition of:</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80" w:type="dxa"/>
            <w:vAlign w:val="bottom"/>
          </w:tcPr>
          <w:p>
            <w:pPr>
              <w:spacing w:after="0"/>
              <w:rPr>
                <w:sz w:val="20"/>
                <w:szCs w:val="20"/>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594,067</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c>
          <w:tcPr>
            <w:tcW w:w="2620" w:type="dxa"/>
            <w:vAlign w:val="bottom"/>
          </w:tcPr>
          <w:p>
            <w:pPr>
              <w:spacing w:after="0"/>
              <w:rPr>
                <w:sz w:val="24"/>
                <w:szCs w:val="24"/>
                <w:color w:val="auto"/>
              </w:rPr>
            </w:pPr>
          </w:p>
        </w:tc>
      </w:tr>
      <w:tr>
        <w:trPr>
          <w:trHeight w:val="378"/>
        </w:trPr>
        <w:tc>
          <w:tcPr>
            <w:tcW w:w="880" w:type="dxa"/>
            <w:vAlign w:val="bottom"/>
          </w:tcPr>
          <w:p>
            <w:pPr>
              <w:spacing w:after="0"/>
              <w:rPr>
                <w:sz w:val="24"/>
                <w:szCs w:val="24"/>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owners of</w:t>
            </w:r>
          </w:p>
        </w:tc>
      </w:tr>
      <w:tr>
        <w:trPr>
          <w:trHeight w:val="303"/>
        </w:trPr>
        <w:tc>
          <w:tcPr>
            <w:tcW w:w="880" w:type="dxa"/>
            <w:vAlign w:val="bottom"/>
          </w:tcPr>
          <w:p>
            <w:pPr>
              <w:spacing w:after="0"/>
              <w:rPr>
                <w:sz w:val="24"/>
                <w:szCs w:val="24"/>
                <w:color w:val="auto"/>
              </w:rPr>
            </w:pPr>
          </w:p>
        </w:tc>
        <w:tc>
          <w:tcPr>
            <w:tcW w:w="7740" w:type="dxa"/>
            <w:vAlign w:val="bottom"/>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2620" w:type="dxa"/>
            <w:vAlign w:val="bottom"/>
          </w:tcPr>
          <w:p>
            <w:pPr>
              <w:spacing w:after="0"/>
              <w:rPr>
                <w:sz w:val="24"/>
                <w:szCs w:val="24"/>
                <w:color w:val="auto"/>
              </w:rPr>
            </w:pPr>
          </w:p>
        </w:tc>
      </w:tr>
      <w:tr>
        <w:trPr>
          <w:trHeight w:val="39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c>
          <w:tcPr>
            <w:tcW w:w="262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Verition Multi-Strategy Master Fund Ltd. is known to have the right to receive dividends from, and proceeds from the sale of, the Shares</w:t>
            </w:r>
          </w:p>
        </w:tc>
      </w:tr>
      <w:tr>
        <w:trPr>
          <w:trHeight w:val="234"/>
        </w:trPr>
        <w:tc>
          <w:tcPr>
            <w:tcW w:w="880" w:type="dxa"/>
            <w:vAlign w:val="bottom"/>
          </w:tcPr>
          <w:p>
            <w:pPr>
              <w:spacing w:after="0"/>
              <w:rPr>
                <w:sz w:val="20"/>
                <w:szCs w:val="20"/>
                <w:color w:val="auto"/>
              </w:rPr>
            </w:pP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covered by this statement that may be deemed to be beneficially owned by the Reporting Persons.</w:t>
            </w:r>
          </w:p>
        </w:tc>
        <w:tc>
          <w:tcPr>
            <w:tcW w:w="2620" w:type="dxa"/>
            <w:vAlign w:val="bottom"/>
          </w:tcPr>
          <w:p>
            <w:pPr>
              <w:spacing w:after="0"/>
              <w:rPr>
                <w:sz w:val="20"/>
                <w:szCs w:val="20"/>
                <w:color w:val="auto"/>
              </w:rPr>
            </w:pPr>
          </w:p>
        </w:tc>
      </w:tr>
      <w:tr>
        <w:trPr>
          <w:trHeight w:val="4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880" w:type="dxa"/>
            <w:vAlign w:val="bottom"/>
          </w:tcPr>
          <w:p>
            <w:pPr>
              <w:spacing w:after="0"/>
              <w:rPr>
                <w:sz w:val="20"/>
                <w:szCs w:val="20"/>
                <w:color w:val="auto"/>
              </w:rPr>
            </w:pP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c>
          <w:tcPr>
            <w:tcW w:w="262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See disclosure in Item 2 hereof.</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262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880" w:type="dxa"/>
            <w:vAlign w:val="bottom"/>
          </w:tcPr>
          <w:p>
            <w:pPr>
              <w:spacing w:after="0"/>
              <w:rPr>
                <w:sz w:val="18"/>
                <w:szCs w:val="18"/>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r>
        <w:trPr>
          <w:trHeight w:val="216"/>
        </w:trPr>
        <w:tc>
          <w:tcPr>
            <w:tcW w:w="880" w:type="dxa"/>
            <w:vAlign w:val="bottom"/>
          </w:tcPr>
          <w:p>
            <w:pPr>
              <w:spacing w:after="0"/>
              <w:rPr>
                <w:sz w:val="18"/>
                <w:szCs w:val="18"/>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 having</w:t>
            </w:r>
          </w:p>
        </w:tc>
      </w:tr>
      <w:tr>
        <w:trPr>
          <w:trHeight w:val="234"/>
        </w:trPr>
        <w:tc>
          <w:tcPr>
            <w:tcW w:w="880" w:type="dxa"/>
            <w:vAlign w:val="bottom"/>
          </w:tcPr>
          <w:p>
            <w:pPr>
              <w:spacing w:after="0"/>
              <w:rPr>
                <w:sz w:val="20"/>
                <w:szCs w:val="20"/>
                <w:color w:val="auto"/>
              </w:rPr>
            </w:pPr>
          </w:p>
        </w:tc>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that purpose or effect, other than activities solely in connection with a nomination under §240.14a-11.</w:t>
            </w:r>
          </w:p>
        </w:tc>
        <w:tc>
          <w:tcPr>
            <w:tcW w:w="2620" w:type="dxa"/>
            <w:vAlign w:val="bottom"/>
          </w:tcPr>
          <w:p>
            <w:pPr>
              <w:spacing w:after="0"/>
              <w:rPr>
                <w:sz w:val="20"/>
                <w:szCs w:val="20"/>
                <w:color w:val="auto"/>
              </w:rPr>
            </w:pPr>
          </w:p>
        </w:tc>
      </w:tr>
      <w:tr>
        <w:trPr>
          <w:trHeight w:val="412"/>
        </w:trPr>
        <w:tc>
          <w:tcPr>
            <w:tcW w:w="88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ind w:left="1160"/>
        <w:spacing w:after="0"/>
        <w:tabs>
          <w:tab w:leader="none" w:pos="8740" w:val="left"/>
        </w:tabs>
        <w:rPr>
          <w:sz w:val="20"/>
          <w:szCs w:val="20"/>
          <w:color w:val="auto"/>
        </w:rPr>
      </w:pPr>
      <w:r>
        <w:rPr>
          <w:rFonts w:ascii="Times New Roman" w:cs="Times New Roman" w:eastAsia="Times New Roman" w:hAnsi="Times New Roman"/>
          <w:sz w:val="18"/>
          <w:szCs w:val="18"/>
          <w:color w:val="auto"/>
        </w:rPr>
        <w:t>CUSIP: 517125100</w:t>
      </w:r>
      <w:r>
        <w:rPr>
          <w:sz w:val="20"/>
          <w:szCs w:val="20"/>
          <w:color w:val="auto"/>
        </w:rPr>
        <w:tab/>
      </w:r>
      <w:r>
        <w:rPr>
          <w:rFonts w:ascii="Times New Roman" w:cs="Times New Roman" w:eastAsia="Times New Roman" w:hAnsi="Times New Roman"/>
          <w:sz w:val="17"/>
          <w:szCs w:val="17"/>
          <w:color w:val="auto"/>
        </w:rPr>
        <w:t>Page 6 of 8 Pages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VERITION FUND MANAGEMENT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William Anderson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William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-125095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CFO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NICHOLAS MAOUNIS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Nicholas Maounis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1342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320" w:type="dxa"/>
            <w:vAlign w:val="bottom"/>
            <w:gridSpan w:val="2"/>
          </w:tcPr>
          <w:p>
            <w:pPr>
              <w:jc w:val="right"/>
              <w:ind w:right="4870"/>
              <w:spacing w:after="0"/>
              <w:rPr>
                <w:sz w:val="20"/>
                <w:szCs w:val="20"/>
                <w:color w:val="auto"/>
              </w:rPr>
            </w:pPr>
            <w:r>
              <w:rPr>
                <w:rFonts w:ascii="Times New Roman" w:cs="Times New Roman" w:eastAsia="Times New Roman" w:hAnsi="Times New Roman"/>
                <w:sz w:val="18"/>
                <w:szCs w:val="18"/>
                <w:color w:val="auto"/>
              </w:rPr>
              <w:t>SCHEDULE 13G</w:t>
            </w:r>
          </w:p>
        </w:tc>
      </w:tr>
      <w:tr>
        <w:trPr>
          <w:trHeight w:val="234"/>
        </w:trPr>
        <w:tc>
          <w:tcPr>
            <w:tcW w:w="700" w:type="dxa"/>
            <w:vAlign w:val="bottom"/>
          </w:tcPr>
          <w:p>
            <w:pPr>
              <w:spacing w:after="0"/>
              <w:rPr>
                <w:sz w:val="20"/>
                <w:szCs w:val="20"/>
                <w:color w:val="auto"/>
              </w:rPr>
            </w:pPr>
          </w:p>
        </w:tc>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CUSIP: 517125100</w:t>
            </w:r>
          </w:p>
        </w:tc>
        <w:tc>
          <w:tcPr>
            <w:tcW w:w="1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9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Page 7 of 8 Pages</w:t>
            </w:r>
          </w:p>
        </w:tc>
      </w:tr>
      <w:tr>
        <w:trPr>
          <w:trHeight w:val="351"/>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380" w:type="dxa"/>
            <w:vAlign w:val="bottom"/>
            <w:gridSpan w:val="3"/>
          </w:tcPr>
          <w:p>
            <w:pPr>
              <w:jc w:val="right"/>
              <w:ind w:right="48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No.</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Joint Filing Agreement</w:t>
            </w:r>
          </w:p>
        </w:tc>
        <w:tc>
          <w:tcPr>
            <w:tcW w:w="7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7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ind w:left="1160"/>
        <w:spacing w:after="0"/>
        <w:tabs>
          <w:tab w:leader="none" w:pos="8740" w:val="left"/>
        </w:tabs>
        <w:rPr>
          <w:sz w:val="20"/>
          <w:szCs w:val="20"/>
          <w:color w:val="auto"/>
        </w:rPr>
      </w:pPr>
      <w:r>
        <w:rPr>
          <w:rFonts w:ascii="Times New Roman" w:cs="Times New Roman" w:eastAsia="Times New Roman" w:hAnsi="Times New Roman"/>
          <w:sz w:val="18"/>
          <w:szCs w:val="18"/>
          <w:color w:val="auto"/>
        </w:rPr>
        <w:t>CUSIP: 517125100</w:t>
      </w:r>
      <w:r>
        <w:rPr>
          <w:sz w:val="20"/>
          <w:szCs w:val="20"/>
          <w:color w:val="auto"/>
        </w:rPr>
        <w:tab/>
      </w:r>
      <w:r>
        <w:rPr>
          <w:rFonts w:ascii="Times New Roman" w:cs="Times New Roman" w:eastAsia="Times New Roman" w:hAnsi="Times New Roman"/>
          <w:sz w:val="17"/>
          <w:szCs w:val="17"/>
          <w:color w:val="auto"/>
        </w:rPr>
        <w:t>Page 8 of 8 Pages</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Common Stock of Larimar Therapeutics, Inc., dated as of November 14, 2024,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VERITION FUND MANAGEMENT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William Anderson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William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-125095</wp:posOffset>
            </wp:positionV>
            <wp:extent cx="320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CFO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NICHOLAS MAOUNIS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Nicholas Maounis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1342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2024-11-14T08:23:11Z</dcterms:created>
  <dcterms:modified xsi:type="dcterms:W3CDTF">2024-11-14T08:23:11Z</dcterms:modified>
</cp:coreProperties>
</file>