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jc w:val="left"/>
        <w:rPr/>
      </w:pPr>
      <w:bookmarkStart w:id="0" w:name="d309018d8k.htm"/>
      <w:bookmarkStart w:id="1" w:name="ksd309018d8k"/>
      <w:bookmarkEnd w:id="0"/>
      <w:bookmarkEnd w:id="1"/>
      <w:r>
        <w:rPr/>
        <w:t> </w:t>
      </w:r>
    </w:p>
    <w:p>
      <w:pPr>
        <w:pStyle w:val="TextBody"/>
        <w:pBdr>
          <w:bottom w:val="single" w:sz="2" w:space="1" w:color="000000"/>
        </w:pBdr>
        <w:spacing w:lineRule="atLeast" w:line="141" w:before="0" w:after="40"/>
        <w:jc w:val="left"/>
        <w:rPr/>
      </w:pPr>
      <w:r>
        <w:rPr/>
        <w:t> </w:t>
      </w:r>
    </w:p>
    <w:p>
      <w:pPr>
        <w:pStyle w:val="TextBody"/>
        <w:spacing w:before="80" w:after="0"/>
        <w:jc w:val="center"/>
        <w:rPr>
          <w:rFonts w:ascii="Times New Roman" w:hAnsi="Times New Roman"/>
          <w:b/>
          <w:sz w:val="36"/>
        </w:rPr>
      </w:pPr>
      <w:r>
        <w:rPr>
          <w:rFonts w:ascii="Times New Roman" w:hAnsi="Times New Roman"/>
          <w:b/>
          <w:sz w:val="36"/>
        </w:rPr>
        <w:t>UNITED STATES</w:t>
      </w:r>
    </w:p>
    <w:p>
      <w:pPr>
        <w:pStyle w:val="TextBody"/>
        <w:spacing w:before="0" w:after="0"/>
        <w:jc w:val="center"/>
        <w:rPr>
          <w:rFonts w:ascii="Times New Roman" w:hAnsi="Times New Roman"/>
          <w:b/>
          <w:sz w:val="36"/>
        </w:rPr>
      </w:pPr>
      <w:r>
        <w:rPr>
          <w:rFonts w:ascii="Times New Roman" w:hAnsi="Times New Roman"/>
          <w:b/>
          <w:sz w:val="36"/>
        </w:rPr>
        <w:t>SECURITIES AND EXCHANGE COMMISSION</w:t>
      </w:r>
    </w:p>
    <w:p>
      <w:pPr>
        <w:pStyle w:val="TextBody"/>
        <w:spacing w:before="0" w:after="0"/>
        <w:jc w:val="center"/>
        <w:rPr>
          <w:rFonts w:ascii="Times New Roman" w:hAnsi="Times New Roman"/>
          <w:b/>
          <w:sz w:val="24"/>
        </w:rPr>
      </w:pPr>
      <w:r>
        <w:rPr>
          <w:rFonts w:ascii="Times New Roman" w:hAnsi="Times New Roman"/>
          <w:b/>
          <w:sz w:val="24"/>
        </w:rPr>
        <w:t>Washington, DC 20549</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00" w:after="0"/>
        <w:jc w:val="center"/>
        <w:rPr>
          <w:rFonts w:ascii="Times New Roman" w:hAnsi="Times New Roman"/>
          <w:b/>
          <w:sz w:val="36"/>
        </w:rPr>
      </w:pPr>
      <w:r>
        <w:rPr>
          <w:rFonts w:ascii="Times New Roman" w:hAnsi="Times New Roman"/>
          <w:b/>
          <w:sz w:val="36"/>
        </w:rPr>
        <w:t>FORM 8-K</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00" w:after="0"/>
        <w:jc w:val="center"/>
        <w:rPr>
          <w:rFonts w:ascii="Times New Roman" w:hAnsi="Times New Roman"/>
          <w:b/>
          <w:sz w:val="24"/>
        </w:rPr>
      </w:pPr>
      <w:r>
        <w:rPr>
          <w:rFonts w:ascii="Times New Roman" w:hAnsi="Times New Roman"/>
          <w:b/>
          <w:sz w:val="24"/>
        </w:rPr>
        <w:t>CURRENT REPORT</w:t>
      </w:r>
    </w:p>
    <w:p>
      <w:pPr>
        <w:pStyle w:val="TextBody"/>
        <w:spacing w:before="0" w:after="0"/>
        <w:jc w:val="center"/>
        <w:rPr>
          <w:rFonts w:ascii="Times New Roman" w:hAnsi="Times New Roman"/>
          <w:b/>
          <w:sz w:val="24"/>
        </w:rPr>
      </w:pPr>
      <w:r>
        <w:rPr>
          <w:rFonts w:ascii="Times New Roman" w:hAnsi="Times New Roman"/>
          <w:b/>
          <w:sz w:val="24"/>
        </w:rPr>
        <w:t>Pursuant to Section 13 or 15(d)</w:t>
      </w:r>
    </w:p>
    <w:p>
      <w:pPr>
        <w:pStyle w:val="TextBody"/>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spacing w:before="200" w:after="0"/>
        <w:jc w:val="center"/>
        <w:rPr>
          <w:rFonts w:ascii="Times New Roman" w:hAnsi="Times New Roman"/>
          <w:b/>
          <w:sz w:val="24"/>
        </w:rPr>
      </w:pPr>
      <w:r>
        <w:rPr>
          <w:rFonts w:ascii="Times New Roman" w:hAnsi="Times New Roman"/>
          <w:b/>
          <w:sz w:val="24"/>
        </w:rPr>
        <w:t>Date of Report (Date of earliest event reported): May 10, 2022</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00" w:after="0"/>
        <w:jc w:val="center"/>
        <w:rPr>
          <w:rFonts w:ascii="Times New Roman" w:hAnsi="Times New Roman"/>
          <w:b/>
          <w:sz w:val="48"/>
        </w:rPr>
      </w:pPr>
      <w:r>
        <w:rPr>
          <w:rFonts w:ascii="Times New Roman" w:hAnsi="Times New Roman"/>
          <w:b/>
          <w:sz w:val="48"/>
        </w:rPr>
        <w:t>Larimar Therapeutics, Inc.</w:t>
      </w:r>
    </w:p>
    <w:p>
      <w:pPr>
        <w:pStyle w:val="TextBody"/>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tbl>
      <w:tblPr>
        <w:tblW w:w="4530" w:type="dxa"/>
        <w:jc w:val="left"/>
        <w:tblInd w:w="0" w:type="dxa"/>
        <w:tblCellMar>
          <w:top w:w="0" w:type="dxa"/>
          <w:left w:w="0" w:type="dxa"/>
          <w:bottom w:w="0" w:type="dxa"/>
          <w:right w:w="0" w:type="dxa"/>
        </w:tblCellMar>
      </w:tblPr>
      <w:tblGrid>
        <w:gridCol w:w="1985"/>
        <w:gridCol w:w="60"/>
        <w:gridCol w:w="1055"/>
        <w:gridCol w:w="60"/>
        <w:gridCol w:w="1370"/>
      </w:tblGrid>
      <w:tr>
        <w:trPr/>
        <w:tc>
          <w:tcPr>
            <w:tcW w:w="19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70" w:type="dxa"/>
            <w:tcBorders/>
            <w:shd w:fill="auto" w:val="clear"/>
            <w:vAlign w:val="center"/>
          </w:tcPr>
          <w:p>
            <w:pPr>
              <w:pStyle w:val="TableContents"/>
              <w:spacing w:before="0" w:after="283"/>
              <w:rPr>
                <w:sz w:val="4"/>
                <w:szCs w:val="4"/>
              </w:rPr>
            </w:pPr>
            <w:r>
              <w:rPr>
                <w:sz w:val="4"/>
                <w:szCs w:val="4"/>
              </w:rPr>
            </w:r>
          </w:p>
        </w:tc>
      </w:tr>
      <w:tr>
        <w:trPr/>
        <w:tc>
          <w:tcPr>
            <w:tcW w:w="1985" w:type="dxa"/>
            <w:tcBorders/>
            <w:shd w:fill="auto" w:val="clear"/>
            <w:vAlign w:val="center"/>
          </w:tcPr>
          <w:p>
            <w:pPr>
              <w:pStyle w:val="TableContents"/>
              <w:spacing w:before="0" w:after="283"/>
              <w:jc w:val="center"/>
              <w:rPr>
                <w:b/>
              </w:rPr>
            </w:pPr>
            <w:r>
              <w:rPr>
                <w:b/>
              </w:rPr>
              <w:t>Delaware</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center"/>
              <w:rPr>
                <w:b/>
              </w:rPr>
            </w:pPr>
            <w:r>
              <w:rPr>
                <w:b/>
              </w:rPr>
              <w:t>001-36510</w:t>
            </w:r>
          </w:p>
        </w:tc>
        <w:tc>
          <w:tcPr>
            <w:tcW w:w="60" w:type="dxa"/>
            <w:tcBorders/>
            <w:shd w:fill="auto" w:val="clear"/>
            <w:vAlign w:val="center"/>
          </w:tcPr>
          <w:p>
            <w:pPr>
              <w:pStyle w:val="TableContents"/>
              <w:spacing w:before="0" w:after="283"/>
              <w:rPr/>
            </w:pPr>
            <w:r>
              <w:rPr/>
              <w:t> </w:t>
            </w:r>
          </w:p>
        </w:tc>
        <w:tc>
          <w:tcPr>
            <w:tcW w:w="1370" w:type="dxa"/>
            <w:tcBorders/>
            <w:shd w:fill="auto" w:val="clear"/>
            <w:vAlign w:val="center"/>
          </w:tcPr>
          <w:p>
            <w:pPr>
              <w:pStyle w:val="TableContents"/>
              <w:spacing w:before="0" w:after="283"/>
              <w:jc w:val="center"/>
              <w:rPr>
                <w:b/>
              </w:rPr>
            </w:pPr>
            <w:r>
              <w:rPr>
                <w:b/>
              </w:rPr>
              <w:t>20-3857670</w:t>
            </w:r>
          </w:p>
        </w:tc>
      </w:tr>
      <w:tr>
        <w:trPr/>
        <w:tc>
          <w:tcPr>
            <w:tcW w:w="1985"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(State or other jurisdiction</w:t>
            </w:r>
          </w:p>
          <w:p>
            <w:pPr>
              <w:pStyle w:val="TableContents"/>
              <w:spacing w:before="0" w:after="20"/>
              <w:jc w:val="center"/>
              <w:rPr>
                <w:rFonts w:ascii="Times New Roman" w:hAnsi="Times New Roman"/>
                <w:b/>
                <w:sz w:val="16"/>
              </w:rPr>
            </w:pPr>
            <w:r>
              <w:rPr>
                <w:rFonts w:ascii="Times New Roman" w:hAnsi="Times New Roman"/>
                <w:b/>
                <w:sz w:val="16"/>
              </w:rPr>
              <w:t>of incorporation)</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(Commission</w:t>
            </w:r>
          </w:p>
          <w:p>
            <w:pPr>
              <w:pStyle w:val="TableContents"/>
              <w:spacing w:before="0" w:after="20"/>
              <w:jc w:val="center"/>
              <w:rPr>
                <w:rFonts w:ascii="Times New Roman" w:hAnsi="Times New Roman"/>
                <w:b/>
                <w:sz w:val="16"/>
              </w:rPr>
            </w:pPr>
            <w:r>
              <w:rPr>
                <w:rFonts w:ascii="Times New Roman" w:hAnsi="Times New Roman"/>
                <w:b/>
                <w:sz w:val="16"/>
              </w:rPr>
              <w:t>File Number)</w:t>
            </w:r>
          </w:p>
        </w:tc>
        <w:tc>
          <w:tcPr>
            <w:tcW w:w="60" w:type="dxa"/>
            <w:tcBorders/>
            <w:shd w:fill="auto" w:val="clear"/>
            <w:vAlign w:val="center"/>
          </w:tcPr>
          <w:p>
            <w:pPr>
              <w:pStyle w:val="TableContents"/>
              <w:spacing w:before="0" w:after="283"/>
              <w:rPr/>
            </w:pPr>
            <w:r>
              <w:rPr/>
              <w:t> </w:t>
            </w:r>
          </w:p>
        </w:tc>
        <w:tc>
          <w:tcPr>
            <w:tcW w:w="1370"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(I.R.S. Employer</w:t>
            </w:r>
          </w:p>
          <w:p>
            <w:pPr>
              <w:pStyle w:val="TableContents"/>
              <w:spacing w:before="0" w:after="20"/>
              <w:jc w:val="center"/>
              <w:rPr>
                <w:rFonts w:ascii="Times New Roman" w:hAnsi="Times New Roman"/>
                <w:b/>
                <w:sz w:val="16"/>
              </w:rPr>
            </w:pPr>
            <w:r>
              <w:rPr>
                <w:rFonts w:ascii="Times New Roman" w:hAnsi="Times New Roman"/>
                <w:b/>
                <w:sz w:val="16"/>
              </w:rPr>
              <w:t>Identification No.)</w:t>
            </w:r>
          </w:p>
        </w:tc>
      </w:tr>
    </w:tbl>
    <w:p>
      <w:pPr>
        <w:pStyle w:val="TextBody"/>
        <w:spacing w:before="0" w:after="0"/>
        <w:jc w:val="left"/>
        <w:rPr/>
      </w:pPr>
      <w:r>
        <w:rPr/>
        <w:t> </w:t>
      </w:r>
    </w:p>
    <w:tbl>
      <w:tblPr>
        <w:tblW w:w="5140" w:type="dxa"/>
        <w:jc w:val="left"/>
        <w:tblInd w:w="0" w:type="dxa"/>
        <w:tblCellMar>
          <w:top w:w="0" w:type="dxa"/>
          <w:left w:w="0" w:type="dxa"/>
          <w:bottom w:w="0" w:type="dxa"/>
          <w:right w:w="0" w:type="dxa"/>
        </w:tblCellMar>
      </w:tblPr>
      <w:tblGrid>
        <w:gridCol w:w="3935"/>
        <w:gridCol w:w="60"/>
        <w:gridCol w:w="1145"/>
      </w:tblGrid>
      <w:tr>
        <w:trPr/>
        <w:tc>
          <w:tcPr>
            <w:tcW w:w="39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45" w:type="dxa"/>
            <w:tcBorders/>
            <w:shd w:fill="auto" w:val="clear"/>
            <w:vAlign w:val="center"/>
          </w:tcPr>
          <w:p>
            <w:pPr>
              <w:pStyle w:val="TableContents"/>
              <w:spacing w:before="0" w:after="283"/>
              <w:rPr>
                <w:sz w:val="4"/>
                <w:szCs w:val="4"/>
              </w:rPr>
            </w:pPr>
            <w:r>
              <w:rPr>
                <w:sz w:val="4"/>
                <w:szCs w:val="4"/>
              </w:rPr>
            </w:r>
          </w:p>
        </w:tc>
      </w:tr>
      <w:tr>
        <w:trPr/>
        <w:tc>
          <w:tcPr>
            <w:tcW w:w="3935" w:type="dxa"/>
            <w:tcBorders/>
            <w:shd w:fill="auto" w:val="clear"/>
            <w:vAlign w:val="center"/>
          </w:tcPr>
          <w:p>
            <w:pPr>
              <w:pStyle w:val="TableContents"/>
              <w:spacing w:before="0" w:after="0"/>
              <w:jc w:val="center"/>
              <w:rPr>
                <w:rFonts w:ascii="Times New Roman" w:hAnsi="Times New Roman"/>
                <w:b/>
                <w:sz w:val="20"/>
              </w:rPr>
            </w:pPr>
            <w:r>
              <w:rPr>
                <w:rFonts w:ascii="Times New Roman" w:hAnsi="Times New Roman"/>
                <w:b/>
                <w:sz w:val="20"/>
              </w:rPr>
              <w:t>Three Bala Plaza East, Suite 506</w:t>
            </w:r>
          </w:p>
          <w:p>
            <w:pPr>
              <w:pStyle w:val="TableContents"/>
              <w:spacing w:before="0" w:after="20"/>
              <w:jc w:val="center"/>
              <w:rPr>
                <w:rFonts w:ascii="Times New Roman" w:hAnsi="Times New Roman"/>
                <w:b/>
                <w:sz w:val="20"/>
              </w:rPr>
            </w:pPr>
            <w:r>
              <w:rPr>
                <w:rFonts w:ascii="Times New Roman" w:hAnsi="Times New Roman"/>
                <w:b/>
                <w:sz w:val="20"/>
              </w:rPr>
              <w:t>Bala Cynwyd, Pennsylvania</w:t>
            </w:r>
          </w:p>
        </w:tc>
        <w:tc>
          <w:tcPr>
            <w:tcW w:w="60" w:type="dxa"/>
            <w:tcBorders/>
            <w:shd w:fill="auto" w:val="clear"/>
            <w:vAlign w:val="center"/>
          </w:tcPr>
          <w:p>
            <w:pPr>
              <w:pStyle w:val="TableContents"/>
              <w:spacing w:before="0" w:after="283"/>
              <w:rPr/>
            </w:pPr>
            <w:r>
              <w:rPr/>
              <w:t> </w:t>
            </w:r>
          </w:p>
        </w:tc>
        <w:tc>
          <w:tcPr>
            <w:tcW w:w="1145" w:type="dxa"/>
            <w:tcBorders/>
            <w:shd w:fill="auto" w:val="clear"/>
            <w:vAlign w:val="center"/>
          </w:tcPr>
          <w:p>
            <w:pPr>
              <w:pStyle w:val="TableContents"/>
              <w:spacing w:before="0" w:after="283"/>
              <w:jc w:val="center"/>
              <w:rPr>
                <w:b/>
              </w:rPr>
            </w:pPr>
            <w:r>
              <w:rPr>
                <w:b/>
              </w:rPr>
              <w:t>19004</w:t>
            </w:r>
          </w:p>
        </w:tc>
      </w:tr>
      <w:tr>
        <w:trPr/>
        <w:tc>
          <w:tcPr>
            <w:tcW w:w="3935" w:type="dxa"/>
            <w:tcBorders/>
            <w:shd w:fill="auto" w:val="clear"/>
            <w:vAlign w:val="center"/>
          </w:tcPr>
          <w:p>
            <w:pPr>
              <w:pStyle w:val="TableContents"/>
              <w:spacing w:before="0" w:after="283"/>
              <w:jc w:val="center"/>
              <w:rPr>
                <w:b/>
              </w:rPr>
            </w:pPr>
            <w:r>
              <w:rPr>
                <w:b/>
              </w:rPr>
              <w:t>(Address of principal executive offices)</w:t>
            </w:r>
          </w:p>
        </w:tc>
        <w:tc>
          <w:tcPr>
            <w:tcW w:w="60" w:type="dxa"/>
            <w:tcBorders/>
            <w:shd w:fill="auto" w:val="clear"/>
            <w:vAlign w:val="center"/>
          </w:tcPr>
          <w:p>
            <w:pPr>
              <w:pStyle w:val="TableContents"/>
              <w:spacing w:before="0" w:after="283"/>
              <w:rPr/>
            </w:pPr>
            <w:r>
              <w:rPr/>
              <w:t> </w:t>
            </w:r>
          </w:p>
        </w:tc>
        <w:tc>
          <w:tcPr>
            <w:tcW w:w="1145" w:type="dxa"/>
            <w:tcBorders/>
            <w:shd w:fill="auto" w:val="clear"/>
            <w:vAlign w:val="center"/>
          </w:tcPr>
          <w:p>
            <w:pPr>
              <w:pStyle w:val="TableContents"/>
              <w:spacing w:before="0" w:after="283"/>
              <w:jc w:val="center"/>
              <w:rPr>
                <w:b/>
              </w:rPr>
            </w:pPr>
            <w:r>
              <w:rPr>
                <w:b/>
              </w:rPr>
              <w:t>(Zip Code)</w:t>
            </w:r>
          </w:p>
        </w:tc>
      </w:tr>
    </w:tbl>
    <w:p>
      <w:pPr>
        <w:pStyle w:val="TextBody"/>
        <w:spacing w:before="200" w:after="0"/>
        <w:jc w:val="center"/>
        <w:rPr>
          <w:rFonts w:ascii="Times New Roman" w:hAnsi="Times New Roman"/>
          <w:b/>
          <w:sz w:val="20"/>
        </w:rPr>
      </w:pPr>
      <w:r>
        <w:rPr>
          <w:rFonts w:ascii="Times New Roman" w:hAnsi="Times New Roman"/>
          <w:b/>
          <w:sz w:val="20"/>
        </w:rPr>
        <w:t>Registrant’s telephone number, including area code: (844) 511-9056</w:t>
      </w:r>
    </w:p>
    <w:p>
      <w:pPr>
        <w:pStyle w:val="TextBody"/>
        <w:spacing w:before="40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spacing w:before="0" w:after="0"/>
        <w:jc w:val="left"/>
        <w:rPr/>
      </w:pPr>
      <w:r>
        <w:rPr/>
        <w:t> </w:t>
      </w:r>
    </w:p>
    <w:tbl>
      <w:tblPr>
        <w:tblW w:w="7540" w:type="dxa"/>
        <w:jc w:val="left"/>
        <w:tblInd w:w="0" w:type="dxa"/>
        <w:tblCellMar>
          <w:top w:w="0" w:type="dxa"/>
          <w:left w:w="0" w:type="dxa"/>
          <w:bottom w:w="0" w:type="dxa"/>
          <w:right w:w="0" w:type="dxa"/>
        </w:tblCellMar>
      </w:tblPr>
      <w:tblGrid>
        <w:gridCol w:w="245"/>
        <w:gridCol w:w="7295"/>
      </w:tblGrid>
      <w:tr>
        <w:trPr/>
        <w:tc>
          <w:tcPr>
            <w:tcW w:w="245" w:type="dxa"/>
            <w:tcBorders/>
            <w:shd w:fill="auto" w:val="clear"/>
            <w:vAlign w:val="center"/>
          </w:tcPr>
          <w:p>
            <w:pPr>
              <w:pStyle w:val="TableContents"/>
              <w:spacing w:before="0" w:after="283"/>
              <w:rPr/>
            </w:pPr>
            <w:r>
              <w:rPr/>
              <w:t>☐</w:t>
            </w:r>
          </w:p>
        </w:tc>
        <w:tc>
          <w:tcPr>
            <w:tcW w:w="72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spacing w:before="0" w:after="0"/>
        <w:jc w:val="left"/>
        <w:rPr/>
      </w:pPr>
      <w:r>
        <w:rPr/>
        <w:t> </w:t>
      </w:r>
    </w:p>
    <w:tbl>
      <w:tblPr>
        <w:tblW w:w="7570" w:type="dxa"/>
        <w:jc w:val="left"/>
        <w:tblInd w:w="0" w:type="dxa"/>
        <w:tblCellMar>
          <w:top w:w="0" w:type="dxa"/>
          <w:left w:w="0" w:type="dxa"/>
          <w:bottom w:w="0" w:type="dxa"/>
          <w:right w:w="0" w:type="dxa"/>
        </w:tblCellMar>
      </w:tblPr>
      <w:tblGrid>
        <w:gridCol w:w="245"/>
        <w:gridCol w:w="7325"/>
      </w:tblGrid>
      <w:tr>
        <w:trPr/>
        <w:tc>
          <w:tcPr>
            <w:tcW w:w="245" w:type="dxa"/>
            <w:tcBorders/>
            <w:shd w:fill="auto" w:val="clear"/>
            <w:vAlign w:val="center"/>
          </w:tcPr>
          <w:p>
            <w:pPr>
              <w:pStyle w:val="TableContents"/>
              <w:spacing w:before="0" w:after="283"/>
              <w:rPr/>
            </w:pPr>
            <w:r>
              <w:rPr/>
              <w:t>☐</w:t>
            </w:r>
          </w:p>
        </w:tc>
        <w:tc>
          <w:tcPr>
            <w:tcW w:w="73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spacing w:before="0" w:after="0"/>
        <w:jc w:val="left"/>
        <w:rPr/>
      </w:pPr>
      <w:r>
        <w:rPr/>
        <w:t> </w:t>
      </w:r>
    </w:p>
    <w:tbl>
      <w:tblPr>
        <w:tblW w:w="9310" w:type="dxa"/>
        <w:jc w:val="left"/>
        <w:tblInd w:w="0" w:type="dxa"/>
        <w:tblCellMar>
          <w:top w:w="0" w:type="dxa"/>
          <w:left w:w="0" w:type="dxa"/>
          <w:bottom w:w="0" w:type="dxa"/>
          <w:right w:w="0" w:type="dxa"/>
        </w:tblCellMar>
      </w:tblPr>
      <w:tblGrid>
        <w:gridCol w:w="245"/>
        <w:gridCol w:w="9065"/>
      </w:tblGrid>
      <w:tr>
        <w:trPr/>
        <w:tc>
          <w:tcPr>
            <w:tcW w:w="245" w:type="dxa"/>
            <w:tcBorders/>
            <w:shd w:fill="auto" w:val="clear"/>
            <w:vAlign w:val="center"/>
          </w:tcPr>
          <w:p>
            <w:pPr>
              <w:pStyle w:val="TableContents"/>
              <w:spacing w:before="0" w:after="283"/>
              <w:rPr/>
            </w:pPr>
            <w:r>
              <w:rPr/>
              <w:t>☐</w:t>
            </w:r>
          </w:p>
        </w:tc>
        <w:tc>
          <w:tcPr>
            <w:tcW w:w="90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spacing w:before="0" w:after="0"/>
        <w:jc w:val="left"/>
        <w:rPr/>
      </w:pPr>
      <w:r>
        <w:rPr/>
        <w:t> </w:t>
      </w:r>
    </w:p>
    <w:tbl>
      <w:tblPr>
        <w:tblW w:w="9250" w:type="dxa"/>
        <w:jc w:val="left"/>
        <w:tblInd w:w="0" w:type="dxa"/>
        <w:tblCellMar>
          <w:top w:w="0" w:type="dxa"/>
          <w:left w:w="0" w:type="dxa"/>
          <w:bottom w:w="0" w:type="dxa"/>
          <w:right w:w="0" w:type="dxa"/>
        </w:tblCellMar>
      </w:tblPr>
      <w:tblGrid>
        <w:gridCol w:w="245"/>
        <w:gridCol w:w="9005"/>
      </w:tblGrid>
      <w:tr>
        <w:trPr/>
        <w:tc>
          <w:tcPr>
            <w:tcW w:w="245" w:type="dxa"/>
            <w:tcBorders/>
            <w:shd w:fill="auto" w:val="clear"/>
            <w:vAlign w:val="center"/>
          </w:tcPr>
          <w:p>
            <w:pPr>
              <w:pStyle w:val="TableContents"/>
              <w:spacing w:before="0" w:after="283"/>
              <w:rPr/>
            </w:pPr>
            <w:r>
              <w:rPr/>
              <w:t>☐</w:t>
            </w:r>
          </w:p>
        </w:tc>
        <w:tc>
          <w:tcPr>
            <w:tcW w:w="90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spacing w:before="0" w:after="0"/>
        <w:jc w:val="left"/>
        <w:rPr/>
      </w:pPr>
      <w:r>
        <w:rPr/>
        <w:t> </w:t>
      </w:r>
    </w:p>
    <w:tbl>
      <w:tblPr>
        <w:tblW w:w="7695" w:type="dxa"/>
        <w:jc w:val="left"/>
        <w:tblInd w:w="0" w:type="dxa"/>
        <w:tblCellMar>
          <w:top w:w="0" w:type="dxa"/>
          <w:left w:w="0" w:type="dxa"/>
          <w:bottom w:w="0" w:type="dxa"/>
          <w:right w:w="0" w:type="dxa"/>
        </w:tblCellMar>
      </w:tblPr>
      <w:tblGrid>
        <w:gridCol w:w="4430"/>
        <w:gridCol w:w="60"/>
        <w:gridCol w:w="770"/>
        <w:gridCol w:w="60"/>
        <w:gridCol w:w="2375"/>
      </w:tblGrid>
      <w:tr>
        <w:trPr/>
        <w:tc>
          <w:tcPr>
            <w:tcW w:w="44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75" w:type="dxa"/>
            <w:tcBorders/>
            <w:shd w:fill="auto" w:val="clear"/>
            <w:vAlign w:val="center"/>
          </w:tcPr>
          <w:p>
            <w:pPr>
              <w:pStyle w:val="TableContents"/>
              <w:spacing w:before="0" w:after="283"/>
              <w:rPr>
                <w:sz w:val="4"/>
                <w:szCs w:val="4"/>
              </w:rPr>
            </w:pPr>
            <w:r>
              <w:rPr>
                <w:sz w:val="4"/>
                <w:szCs w:val="4"/>
              </w:rPr>
            </w:r>
          </w:p>
        </w:tc>
      </w:tr>
      <w:tr>
        <w:trPr/>
        <w:tc>
          <w:tcPr>
            <w:tcW w:w="4430"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Title of each class</w:t>
            </w:r>
          </w:p>
        </w:tc>
        <w:tc>
          <w:tcPr>
            <w:tcW w:w="60" w:type="dxa"/>
            <w:tcBorders/>
            <w:shd w:fill="auto" w:val="clear"/>
            <w:vAlign w:val="center"/>
          </w:tcPr>
          <w:p>
            <w:pPr>
              <w:pStyle w:val="TableContents"/>
              <w:spacing w:before="0" w:after="283"/>
              <w:rPr/>
            </w:pPr>
            <w:r>
              <w:rPr/>
              <w:t> </w:t>
            </w:r>
          </w:p>
        </w:tc>
        <w:tc>
          <w:tcPr>
            <w:tcW w:w="770" w:type="dxa"/>
            <w:tcBorders>
              <w:bottom w:val="single" w:sz="8" w:space="0" w:color="000000"/>
            </w:tcBorders>
            <w:shd w:fill="auto" w:val="clear"/>
            <w:tcMar>
              <w:bottom w:w="28" w:type="dxa"/>
            </w:tcMar>
            <w:vAlign w:val="center"/>
          </w:tcPr>
          <w:p>
            <w:pPr>
              <w:pStyle w:val="TableContents"/>
              <w:spacing w:before="0" w:after="0"/>
              <w:jc w:val="center"/>
              <w:rPr>
                <w:rFonts w:ascii="Times New Roman" w:hAnsi="Times New Roman"/>
                <w:b/>
                <w:sz w:val="16"/>
              </w:rPr>
            </w:pPr>
            <w:r>
              <w:rPr>
                <w:rFonts w:ascii="Times New Roman" w:hAnsi="Times New Roman"/>
                <w:b/>
                <w:sz w:val="16"/>
              </w:rPr>
              <w:t>Trading</w:t>
            </w:r>
          </w:p>
          <w:p>
            <w:pPr>
              <w:pStyle w:val="TableContents"/>
              <w:spacing w:before="0" w:after="20"/>
              <w:jc w:val="center"/>
              <w:rPr>
                <w:rFonts w:ascii="Times New Roman" w:hAnsi="Times New Roman"/>
                <w:b/>
                <w:sz w:val="16"/>
              </w:rPr>
            </w:pPr>
            <w:r>
              <w:rPr>
                <w:rFonts w:ascii="Times New Roman" w:hAnsi="Times New Roman"/>
                <w:b/>
                <w:sz w:val="16"/>
              </w:rPr>
              <w:t>Symbol(s)</w:t>
            </w:r>
          </w:p>
        </w:tc>
        <w:tc>
          <w:tcPr>
            <w:tcW w:w="60" w:type="dxa"/>
            <w:tcBorders/>
            <w:shd w:fill="auto" w:val="clear"/>
            <w:vAlign w:val="center"/>
          </w:tcPr>
          <w:p>
            <w:pPr>
              <w:pStyle w:val="TableContents"/>
              <w:spacing w:before="0" w:after="283"/>
              <w:rPr/>
            </w:pPr>
            <w:r>
              <w:rPr/>
              <w:t> </w:t>
            </w:r>
          </w:p>
        </w:tc>
        <w:tc>
          <w:tcPr>
            <w:tcW w:w="2375" w:type="dxa"/>
            <w:tcBorders>
              <w:bottom w:val="single" w:sz="8" w:space="0" w:color="000000"/>
            </w:tcBorders>
            <w:shd w:fill="auto" w:val="clear"/>
            <w:tcMar>
              <w:bottom w:w="28" w:type="dxa"/>
            </w:tcMar>
            <w:vAlign w:val="center"/>
          </w:tcPr>
          <w:p>
            <w:pPr>
              <w:pStyle w:val="TableContents"/>
              <w:spacing w:before="0" w:after="0"/>
              <w:jc w:val="center"/>
              <w:rPr>
                <w:rFonts w:ascii="Times New Roman" w:hAnsi="Times New Roman"/>
                <w:b/>
                <w:sz w:val="16"/>
              </w:rPr>
            </w:pPr>
            <w:r>
              <w:rPr>
                <w:rFonts w:ascii="Times New Roman" w:hAnsi="Times New Roman"/>
                <w:b/>
                <w:sz w:val="16"/>
              </w:rPr>
              <w:t>Name of each exchange</w:t>
            </w:r>
          </w:p>
          <w:p>
            <w:pPr>
              <w:pStyle w:val="TableContents"/>
              <w:spacing w:before="0" w:after="20"/>
              <w:jc w:val="center"/>
              <w:rPr>
                <w:rFonts w:ascii="Times New Roman" w:hAnsi="Times New Roman"/>
                <w:b/>
                <w:sz w:val="16"/>
              </w:rPr>
            </w:pPr>
            <w:r>
              <w:rPr>
                <w:rFonts w:ascii="Times New Roman" w:hAnsi="Times New Roman"/>
                <w:b/>
                <w:sz w:val="16"/>
              </w:rPr>
              <w:t>on which registered</w:t>
            </w:r>
          </w:p>
        </w:tc>
      </w:tr>
      <w:tr>
        <w:trPr/>
        <w:tc>
          <w:tcPr>
            <w:tcW w:w="4430" w:type="dxa"/>
            <w:tcBorders/>
            <w:shd w:fill="auto" w:val="clear"/>
            <w:vAlign w:val="center"/>
          </w:tcPr>
          <w:p>
            <w:pPr>
              <w:pStyle w:val="TableContents"/>
              <w:spacing w:before="0" w:after="283"/>
              <w:jc w:val="center"/>
              <w:rPr>
                <w:b/>
              </w:rPr>
            </w:pPr>
            <w:r>
              <w:rPr>
                <w:b/>
              </w:rPr>
              <w:t>Common Stock, par value $0.001 per share</w:t>
            </w:r>
          </w:p>
        </w:tc>
        <w:tc>
          <w:tcPr>
            <w:tcW w:w="60" w:type="dxa"/>
            <w:tcBorders/>
            <w:shd w:fill="auto" w:val="clear"/>
            <w:vAlign w:val="center"/>
          </w:tcPr>
          <w:p>
            <w:pPr>
              <w:pStyle w:val="TableContents"/>
              <w:spacing w:before="0" w:after="283"/>
              <w:rPr/>
            </w:pPr>
            <w:r>
              <w:rPr/>
              <w:t> </w:t>
            </w:r>
          </w:p>
        </w:tc>
        <w:tc>
          <w:tcPr>
            <w:tcW w:w="770" w:type="dxa"/>
            <w:tcBorders/>
            <w:shd w:fill="auto" w:val="clear"/>
            <w:vAlign w:val="center"/>
          </w:tcPr>
          <w:p>
            <w:pPr>
              <w:pStyle w:val="TableContents"/>
              <w:spacing w:before="0" w:after="283"/>
              <w:jc w:val="center"/>
              <w:rPr>
                <w:b/>
              </w:rPr>
            </w:pPr>
            <w:r>
              <w:rPr>
                <w:b/>
              </w:rPr>
              <w:t>LRMR</w:t>
            </w:r>
          </w:p>
        </w:tc>
        <w:tc>
          <w:tcPr>
            <w:tcW w:w="60" w:type="dxa"/>
            <w:tcBorders/>
            <w:shd w:fill="auto" w:val="clear"/>
            <w:vAlign w:val="center"/>
          </w:tcPr>
          <w:p>
            <w:pPr>
              <w:pStyle w:val="TableContents"/>
              <w:spacing w:before="0" w:after="283"/>
              <w:rPr/>
            </w:pPr>
            <w:r>
              <w:rPr/>
              <w:t> </w:t>
            </w:r>
          </w:p>
        </w:tc>
        <w:tc>
          <w:tcPr>
            <w:tcW w:w="2375" w:type="dxa"/>
            <w:tcBorders/>
            <w:shd w:fill="auto" w:val="clear"/>
            <w:vAlign w:val="center"/>
          </w:tcPr>
          <w:p>
            <w:pPr>
              <w:pStyle w:val="TableContents"/>
              <w:spacing w:before="0" w:after="283"/>
              <w:jc w:val="center"/>
              <w:rPr>
                <w:b/>
              </w:rPr>
            </w:pPr>
            <w:r>
              <w:rPr>
                <w:b/>
              </w:rPr>
              <w:t>Nasdaq Global Market</w:t>
            </w:r>
          </w:p>
        </w:tc>
      </w:tr>
    </w:tbl>
    <w:p>
      <w:pPr>
        <w:pStyle w:val="TextBody"/>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200" w:after="0"/>
        <w:jc w:val="right"/>
        <w:rPr>
          <w:rFonts w:ascii="Times New Roman" w:hAnsi="Times New Roman"/>
          <w:sz w:val="20"/>
        </w:rPr>
      </w:pPr>
      <w:r>
        <w:rPr>
          <w:rFonts w:ascii="Times New Roman" w:hAnsi="Times New Roman"/>
          <w:sz w:val="20"/>
        </w:rPr>
        <w:t>Emerging growth company  ☐</w:t>
      </w:r>
    </w:p>
    <w:p>
      <w:pPr>
        <w:pStyle w:val="TextBody"/>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rPr/>
      </w:pPr>
      <w:r>
        <w:rPr/>
      </w:r>
    </w:p>
    <w:tbl>
      <w:tblPr>
        <w:tblW w:w="10205" w:type="dxa"/>
        <w:jc w:val="left"/>
        <w:tblInd w:w="0" w:type="dxa"/>
        <w:tblCellMar>
          <w:top w:w="0" w:type="dxa"/>
          <w:left w:w="0" w:type="dxa"/>
          <w:bottom w:w="0" w:type="dxa"/>
          <w:right w:w="0" w:type="dxa"/>
        </w:tblCellMar>
      </w:tblPr>
      <w:tblGrid>
        <w:gridCol w:w="980"/>
        <w:gridCol w:w="9225"/>
      </w:tblGrid>
      <w:tr>
        <w:trPr/>
        <w:tc>
          <w:tcPr>
            <w:tcW w:w="980" w:type="dxa"/>
            <w:tcBorders/>
            <w:shd w:fill="auto" w:val="clear"/>
            <w:vAlign w:val="center"/>
          </w:tcPr>
          <w:p>
            <w:pPr>
              <w:pStyle w:val="TableContents"/>
              <w:spacing w:before="0" w:after="283"/>
              <w:jc w:val="left"/>
              <w:rPr>
                <w:b/>
              </w:rPr>
            </w:pPr>
            <w:r>
              <w:rPr>
                <w:b/>
              </w:rPr>
              <w:t>Item 5.02</w:t>
            </w:r>
          </w:p>
        </w:tc>
        <w:tc>
          <w:tcPr>
            <w:tcW w:w="922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spacing w:before="120" w:after="0"/>
        <w:jc w:val="left"/>
        <w:rPr>
          <w:rFonts w:ascii="Times New Roman" w:hAnsi="Times New Roman"/>
          <w:sz w:val="20"/>
        </w:rPr>
      </w:pPr>
      <w:r>
        <w:rPr>
          <w:rFonts w:ascii="Times New Roman" w:hAnsi="Times New Roman"/>
          <w:sz w:val="20"/>
        </w:rPr>
        <w:t>On May 10, 2022 (the “</w:t>
      </w:r>
      <w:r>
        <w:rPr>
          <w:rFonts w:ascii="Times New Roman" w:hAnsi="Times New Roman"/>
          <w:b/>
          <w:i/>
          <w:sz w:val="20"/>
        </w:rPr>
        <w:t>Grant Date</w:t>
      </w:r>
      <w:r>
        <w:rPr>
          <w:rFonts w:ascii="Times New Roman" w:hAnsi="Times New Roman"/>
          <w:sz w:val="20"/>
        </w:rPr>
        <w:t>”), Larimar Therapeutics, Inc. (the “</w:t>
      </w:r>
      <w:r>
        <w:rPr>
          <w:rFonts w:ascii="Times New Roman" w:hAnsi="Times New Roman"/>
          <w:b/>
          <w:i/>
          <w:sz w:val="20"/>
        </w:rPr>
        <w:t>Company</w:t>
      </w:r>
      <w:r>
        <w:rPr>
          <w:rFonts w:ascii="Times New Roman" w:hAnsi="Times New Roman"/>
          <w:sz w:val="20"/>
        </w:rPr>
        <w:t>”) granted retention awards consisting of options to purchase shares of the Company’s common stock (the “</w:t>
      </w:r>
      <w:r>
        <w:rPr>
          <w:rFonts w:ascii="Times New Roman" w:hAnsi="Times New Roman"/>
          <w:b/>
          <w:i/>
          <w:sz w:val="20"/>
        </w:rPr>
        <w:t>Options</w:t>
      </w:r>
      <w:r>
        <w:rPr>
          <w:rFonts w:ascii="Times New Roman" w:hAnsi="Times New Roman"/>
          <w:sz w:val="20"/>
        </w:rPr>
        <w:t xml:space="preserve">”) to Carole Ben-Maimon, M.D., the Company’s Chief Executive Officer (40,000 Options), and Michael Celano, the Company’s Chief Financial Officer (20,000 Options). The Options vest 25% on the first anniversary of the Grant Date, with the remaining 75% vesting in 36 equal monthly installments thereafter. The Options were granted pursuant to the Company’s 2020 Equity Incentive Plan. </w:t>
      </w:r>
    </w:p>
    <w:p>
      <w:pPr>
        <w:pStyle w:val="TextBody"/>
        <w:spacing w:before="0" w:after="0"/>
        <w:jc w:val="left"/>
        <w:rPr/>
      </w:pPr>
      <w:r>
        <w:rPr/>
        <w:t> </w:t>
      </w:r>
    </w:p>
    <w:tbl>
      <w:tblPr>
        <w:tblW w:w="5455" w:type="dxa"/>
        <w:jc w:val="left"/>
        <w:tblInd w:w="0" w:type="dxa"/>
        <w:tblCellMar>
          <w:top w:w="0" w:type="dxa"/>
          <w:left w:w="0" w:type="dxa"/>
          <w:bottom w:w="0" w:type="dxa"/>
          <w:right w:w="0" w:type="dxa"/>
        </w:tblCellMar>
      </w:tblPr>
      <w:tblGrid>
        <w:gridCol w:w="980"/>
        <w:gridCol w:w="4475"/>
      </w:tblGrid>
      <w:tr>
        <w:trPr/>
        <w:tc>
          <w:tcPr>
            <w:tcW w:w="980" w:type="dxa"/>
            <w:tcBorders/>
            <w:shd w:fill="auto" w:val="clear"/>
            <w:vAlign w:val="center"/>
          </w:tcPr>
          <w:p>
            <w:pPr>
              <w:pStyle w:val="TableContents"/>
              <w:spacing w:before="0" w:after="283"/>
              <w:jc w:val="left"/>
              <w:rPr>
                <w:b/>
              </w:rPr>
            </w:pPr>
            <w:r>
              <w:rPr>
                <w:b/>
              </w:rPr>
              <w:t>Item 5.07</w:t>
            </w:r>
          </w:p>
        </w:tc>
        <w:tc>
          <w:tcPr>
            <w:tcW w:w="447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Submission of Matters to a Vote of Security Holders. </w:t>
            </w:r>
          </w:p>
        </w:tc>
      </w:tr>
    </w:tbl>
    <w:p>
      <w:pPr>
        <w:pStyle w:val="TextBody"/>
        <w:spacing w:before="120" w:after="0"/>
        <w:jc w:val="left"/>
        <w:rPr>
          <w:rFonts w:ascii="Times New Roman" w:hAnsi="Times New Roman"/>
          <w:sz w:val="20"/>
        </w:rPr>
      </w:pPr>
      <w:r>
        <w:rPr>
          <w:rFonts w:ascii="Times New Roman" w:hAnsi="Times New Roman"/>
          <w:sz w:val="20"/>
        </w:rPr>
        <w:t>On May 10, 2022, the Company held its 2022 Annual Meeting of Stockholders (the “</w:t>
      </w:r>
      <w:r>
        <w:rPr>
          <w:rFonts w:ascii="Times New Roman" w:hAnsi="Times New Roman"/>
          <w:b/>
          <w:i/>
          <w:sz w:val="20"/>
        </w:rPr>
        <w:t>Annual Meeting</w:t>
      </w:r>
      <w:r>
        <w:rPr>
          <w:rFonts w:ascii="Times New Roman" w:hAnsi="Times New Roman"/>
          <w:sz w:val="20"/>
        </w:rPr>
        <w:t xml:space="preserve">”) virtually. As of April 4, 2022, the record date for the Annual Meeting, there were 17,710,450 outstanding shares of the Company’s common stock, par value $0.001 per share, entitled to vote at the Annual Meeting. The following is a brief description of the final voting results for each of the proposals submitted to a vote of the stockholders at the Annual Meeting, which are described in detail in the Company’s definitive proxy statement for the Annual Meeting, filed with the U.S. Securities and Exchange Commission on April 12, 2022. </w:t>
      </w:r>
    </w:p>
    <w:p>
      <w:pPr>
        <w:pStyle w:val="TextBody"/>
        <w:spacing w:before="240" w:after="0"/>
        <w:jc w:val="left"/>
        <w:rPr>
          <w:rFonts w:ascii="Times New Roman" w:hAnsi="Times New Roman"/>
          <w:sz w:val="20"/>
        </w:rPr>
      </w:pPr>
      <w:r>
        <w:rPr>
          <w:rFonts w:ascii="Times New Roman" w:hAnsi="Times New Roman"/>
          <w:i/>
          <w:sz w:val="20"/>
        </w:rPr>
        <w:t>Proposal 1 – Election of Class</w:t>
      </w:r>
      <w:r>
        <w:rPr>
          <w:rFonts w:ascii="Times New Roman" w:hAnsi="Times New Roman"/>
          <w:sz w:val="20"/>
        </w:rPr>
        <w:t> </w:t>
      </w:r>
      <w:r>
        <w:rPr>
          <w:rFonts w:ascii="Times New Roman" w:hAnsi="Times New Roman"/>
          <w:i/>
          <w:sz w:val="20"/>
        </w:rPr>
        <w:t xml:space="preserve">II Director. </w:t>
      </w:r>
      <w:r>
        <w:rPr>
          <w:rFonts w:ascii="Times New Roman" w:hAnsi="Times New Roman"/>
          <w:sz w:val="20"/>
        </w:rPr>
        <w:t xml:space="preserve">Thomas E. Hamilton was elected to the Board of Directors as a Class II director to serve until the Company’s 2025 Annual Meeting of Stockholders and until his successor, if any, is duly elected and qualified or appointed, or his earlier death, resignation, or removal, as follows: </w:t>
      </w:r>
    </w:p>
    <w:p>
      <w:pPr>
        <w:pStyle w:val="TextBody"/>
        <w:spacing w:before="0" w:after="0"/>
        <w:jc w:val="left"/>
        <w:rPr/>
      </w:pPr>
      <w:r>
        <w:rPr/>
        <w:t> </w:t>
      </w:r>
    </w:p>
    <w:tbl>
      <w:tblPr>
        <w:tblW w:w="3570" w:type="dxa"/>
        <w:jc w:val="left"/>
        <w:tblInd w:w="0" w:type="dxa"/>
        <w:tblCellMar>
          <w:top w:w="0" w:type="dxa"/>
          <w:left w:w="0" w:type="dxa"/>
          <w:bottom w:w="0" w:type="dxa"/>
          <w:right w:w="0" w:type="dxa"/>
        </w:tblCellMar>
      </w:tblPr>
      <w:tblGrid>
        <w:gridCol w:w="1115"/>
        <w:gridCol w:w="60"/>
        <w:gridCol w:w="980"/>
        <w:gridCol w:w="60"/>
        <w:gridCol w:w="1355"/>
      </w:tblGrid>
      <w:tr>
        <w:trPr/>
        <w:tc>
          <w:tcPr>
            <w:tcW w:w="11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55" w:type="dxa"/>
            <w:tcBorders/>
            <w:shd w:fill="auto" w:val="clear"/>
            <w:vAlign w:val="center"/>
          </w:tcPr>
          <w:p>
            <w:pPr>
              <w:pStyle w:val="TableContents"/>
              <w:spacing w:before="0" w:after="283"/>
              <w:rPr>
                <w:sz w:val="4"/>
                <w:szCs w:val="4"/>
              </w:rPr>
            </w:pPr>
            <w:r>
              <w:rPr>
                <w:sz w:val="4"/>
                <w:szCs w:val="4"/>
              </w:rPr>
            </w:r>
          </w:p>
        </w:tc>
      </w:tr>
      <w:tr>
        <w:trPr/>
        <w:tc>
          <w:tcPr>
            <w:tcW w:w="1115"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For</w:t>
            </w:r>
          </w:p>
        </w:tc>
        <w:tc>
          <w:tcPr>
            <w:tcW w:w="60" w:type="dxa"/>
            <w:tcBorders/>
            <w:shd w:fill="auto" w:val="clear"/>
            <w:vAlign w:val="center"/>
          </w:tcPr>
          <w:p>
            <w:pPr>
              <w:pStyle w:val="TableContents"/>
              <w:spacing w:before="0" w:after="283"/>
              <w:rPr/>
            </w:pPr>
            <w:r>
              <w:rPr/>
              <w:t> </w:t>
            </w:r>
          </w:p>
        </w:tc>
        <w:tc>
          <w:tcPr>
            <w:tcW w:w="980"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Withheld</w:t>
            </w:r>
          </w:p>
        </w:tc>
        <w:tc>
          <w:tcPr>
            <w:tcW w:w="60" w:type="dxa"/>
            <w:tcBorders/>
            <w:shd w:fill="auto" w:val="clear"/>
            <w:vAlign w:val="center"/>
          </w:tcPr>
          <w:p>
            <w:pPr>
              <w:pStyle w:val="TableContents"/>
              <w:spacing w:before="0" w:after="283"/>
              <w:rPr/>
            </w:pPr>
            <w:r>
              <w:rPr/>
              <w:t> </w:t>
            </w:r>
          </w:p>
        </w:tc>
        <w:tc>
          <w:tcPr>
            <w:tcW w:w="1355"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Broker Non-Votes</w:t>
            </w:r>
          </w:p>
        </w:tc>
      </w:tr>
      <w:tr>
        <w:trPr/>
        <w:tc>
          <w:tcPr>
            <w:tcW w:w="1115" w:type="dxa"/>
            <w:tcBorders/>
            <w:shd w:fill="CCEEFF" w:val="clear"/>
            <w:vAlign w:val="center"/>
          </w:tcPr>
          <w:p>
            <w:pPr>
              <w:pStyle w:val="TableContents"/>
              <w:spacing w:before="0" w:after="283"/>
              <w:jc w:val="center"/>
              <w:rPr/>
            </w:pPr>
            <w:r>
              <w:rPr/>
              <w:t>10,706,016</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center"/>
              <w:rPr/>
            </w:pPr>
            <w:r>
              <w:rPr/>
              <w:t>4,054,348</w:t>
            </w:r>
          </w:p>
        </w:tc>
        <w:tc>
          <w:tcPr>
            <w:tcW w:w="60" w:type="dxa"/>
            <w:tcBorders/>
            <w:shd w:fill="CCEEFF" w:val="clear"/>
            <w:vAlign w:val="center"/>
          </w:tcPr>
          <w:p>
            <w:pPr>
              <w:pStyle w:val="TableContents"/>
              <w:spacing w:before="0" w:after="283"/>
              <w:rPr/>
            </w:pPr>
            <w:r>
              <w:rPr/>
              <w:t> </w:t>
            </w:r>
          </w:p>
        </w:tc>
        <w:tc>
          <w:tcPr>
            <w:tcW w:w="1355" w:type="dxa"/>
            <w:tcBorders/>
            <w:shd w:fill="CCEEFF" w:val="clear"/>
            <w:vAlign w:val="center"/>
          </w:tcPr>
          <w:p>
            <w:pPr>
              <w:pStyle w:val="TableContents"/>
              <w:spacing w:before="0" w:after="283"/>
              <w:jc w:val="center"/>
              <w:rPr/>
            </w:pPr>
            <w:r>
              <w:rPr/>
              <w:t>1,129,162</w:t>
            </w:r>
          </w:p>
        </w:tc>
      </w:tr>
    </w:tbl>
    <w:p>
      <w:pPr>
        <w:pStyle w:val="TextBody"/>
        <w:spacing w:before="240" w:after="0"/>
        <w:jc w:val="left"/>
        <w:rPr>
          <w:rFonts w:ascii="Times New Roman" w:hAnsi="Times New Roman"/>
          <w:sz w:val="20"/>
        </w:rPr>
      </w:pPr>
      <w:r>
        <w:rPr>
          <w:rFonts w:ascii="Times New Roman" w:hAnsi="Times New Roman"/>
          <w:i/>
          <w:sz w:val="20"/>
        </w:rPr>
        <w:t>Proposal 2 – Approval, on an advisory basis, of the compensation of the Company’s named executive officers in 2021.</w:t>
      </w:r>
      <w:r>
        <w:rPr>
          <w:rFonts w:ascii="Times New Roman" w:hAnsi="Times New Roman"/>
          <w:sz w:val="20"/>
        </w:rPr>
        <w:t xml:space="preserve"> The stockholders approved, on an advisory basis, the compensation of the Company’s named executive officers in 2021, as follows: </w:t>
      </w:r>
    </w:p>
    <w:p>
      <w:pPr>
        <w:pStyle w:val="TextBody"/>
        <w:spacing w:before="0" w:after="0"/>
        <w:jc w:val="left"/>
        <w:rPr/>
      </w:pPr>
      <w:r>
        <w:rPr/>
        <w:t> </w:t>
      </w:r>
    </w:p>
    <w:tbl>
      <w:tblPr>
        <w:tblW w:w="4535" w:type="dxa"/>
        <w:jc w:val="left"/>
        <w:tblInd w:w="0" w:type="dxa"/>
        <w:tblCellMar>
          <w:top w:w="0" w:type="dxa"/>
          <w:left w:w="0" w:type="dxa"/>
          <w:bottom w:w="0" w:type="dxa"/>
          <w:right w:w="0" w:type="dxa"/>
        </w:tblCellMar>
      </w:tblPr>
      <w:tblGrid>
        <w:gridCol w:w="1115"/>
        <w:gridCol w:w="60"/>
        <w:gridCol w:w="1025"/>
        <w:gridCol w:w="60"/>
        <w:gridCol w:w="860"/>
        <w:gridCol w:w="60"/>
        <w:gridCol w:w="1355"/>
      </w:tblGrid>
      <w:tr>
        <w:trPr/>
        <w:tc>
          <w:tcPr>
            <w:tcW w:w="11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55" w:type="dxa"/>
            <w:tcBorders/>
            <w:shd w:fill="auto" w:val="clear"/>
            <w:vAlign w:val="center"/>
          </w:tcPr>
          <w:p>
            <w:pPr>
              <w:pStyle w:val="TableContents"/>
              <w:spacing w:before="0" w:after="283"/>
              <w:rPr>
                <w:sz w:val="4"/>
                <w:szCs w:val="4"/>
              </w:rPr>
            </w:pPr>
            <w:r>
              <w:rPr>
                <w:sz w:val="4"/>
                <w:szCs w:val="4"/>
              </w:rPr>
            </w:r>
          </w:p>
        </w:tc>
      </w:tr>
      <w:tr>
        <w:trPr/>
        <w:tc>
          <w:tcPr>
            <w:tcW w:w="1115"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Votes For</w:t>
            </w:r>
          </w:p>
        </w:tc>
        <w:tc>
          <w:tcPr>
            <w:tcW w:w="60" w:type="dxa"/>
            <w:tcBorders/>
            <w:shd w:fill="auto" w:val="clear"/>
            <w:vAlign w:val="center"/>
          </w:tcPr>
          <w:p>
            <w:pPr>
              <w:pStyle w:val="TableContents"/>
              <w:spacing w:before="0" w:after="283"/>
              <w:rPr/>
            </w:pPr>
            <w:r>
              <w:rPr/>
              <w:t> </w:t>
            </w:r>
          </w:p>
        </w:tc>
        <w:tc>
          <w:tcPr>
            <w:tcW w:w="1025"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Votes Against</w:t>
            </w:r>
          </w:p>
        </w:tc>
        <w:tc>
          <w:tcPr>
            <w:tcW w:w="60" w:type="dxa"/>
            <w:tcBorders/>
            <w:shd w:fill="auto" w:val="clear"/>
            <w:vAlign w:val="center"/>
          </w:tcPr>
          <w:p>
            <w:pPr>
              <w:pStyle w:val="TableContents"/>
              <w:spacing w:before="0" w:after="283"/>
              <w:rPr/>
            </w:pPr>
            <w:r>
              <w:rPr/>
              <w:t> </w:t>
            </w:r>
          </w:p>
        </w:tc>
        <w:tc>
          <w:tcPr>
            <w:tcW w:w="860"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Abstentions</w:t>
            </w:r>
          </w:p>
        </w:tc>
        <w:tc>
          <w:tcPr>
            <w:tcW w:w="60" w:type="dxa"/>
            <w:tcBorders/>
            <w:shd w:fill="auto" w:val="clear"/>
            <w:vAlign w:val="center"/>
          </w:tcPr>
          <w:p>
            <w:pPr>
              <w:pStyle w:val="TableContents"/>
              <w:spacing w:before="0" w:after="283"/>
              <w:rPr/>
            </w:pPr>
            <w:r>
              <w:rPr/>
              <w:t> </w:t>
            </w:r>
          </w:p>
        </w:tc>
        <w:tc>
          <w:tcPr>
            <w:tcW w:w="1355"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Broker Non-Votes</w:t>
            </w:r>
          </w:p>
        </w:tc>
      </w:tr>
      <w:tr>
        <w:trPr/>
        <w:tc>
          <w:tcPr>
            <w:tcW w:w="1115" w:type="dxa"/>
            <w:tcBorders/>
            <w:shd w:fill="CCEEFF" w:val="clear"/>
            <w:vAlign w:val="center"/>
          </w:tcPr>
          <w:p>
            <w:pPr>
              <w:pStyle w:val="TableContents"/>
              <w:spacing w:before="0" w:after="283"/>
              <w:jc w:val="center"/>
              <w:rPr/>
            </w:pPr>
            <w:r>
              <w:rPr/>
              <w:t>13,936,241</w:t>
            </w:r>
          </w:p>
        </w:tc>
        <w:tc>
          <w:tcPr>
            <w:tcW w:w="60" w:type="dxa"/>
            <w:tcBorders/>
            <w:shd w:fill="CCEEFF" w:val="clear"/>
            <w:vAlign w:val="center"/>
          </w:tcPr>
          <w:p>
            <w:pPr>
              <w:pStyle w:val="TableContents"/>
              <w:spacing w:before="0" w:after="283"/>
              <w:rPr/>
            </w:pPr>
            <w:r>
              <w:rPr/>
              <w:t> </w:t>
            </w:r>
          </w:p>
        </w:tc>
        <w:tc>
          <w:tcPr>
            <w:tcW w:w="1025" w:type="dxa"/>
            <w:tcBorders/>
            <w:shd w:fill="CCEEFF" w:val="clear"/>
            <w:vAlign w:val="center"/>
          </w:tcPr>
          <w:p>
            <w:pPr>
              <w:pStyle w:val="TableContents"/>
              <w:spacing w:before="0" w:after="283"/>
              <w:jc w:val="center"/>
              <w:rPr/>
            </w:pPr>
            <w:r>
              <w:rPr/>
              <w:t>49,830</w:t>
            </w:r>
          </w:p>
        </w:tc>
        <w:tc>
          <w:tcPr>
            <w:tcW w:w="60" w:type="dxa"/>
            <w:tcBorders/>
            <w:shd w:fill="CCEEFF" w:val="clear"/>
            <w:vAlign w:val="center"/>
          </w:tcPr>
          <w:p>
            <w:pPr>
              <w:pStyle w:val="TableContents"/>
              <w:spacing w:before="0" w:after="283"/>
              <w:rPr/>
            </w:pPr>
            <w:r>
              <w:rPr/>
              <w:t> </w:t>
            </w:r>
          </w:p>
        </w:tc>
        <w:tc>
          <w:tcPr>
            <w:tcW w:w="860" w:type="dxa"/>
            <w:tcBorders/>
            <w:shd w:fill="CCEEFF" w:val="clear"/>
            <w:vAlign w:val="center"/>
          </w:tcPr>
          <w:p>
            <w:pPr>
              <w:pStyle w:val="TableContents"/>
              <w:spacing w:before="0" w:after="283"/>
              <w:jc w:val="center"/>
              <w:rPr/>
            </w:pPr>
            <w:r>
              <w:rPr/>
              <w:t>774,980</w:t>
            </w:r>
          </w:p>
        </w:tc>
        <w:tc>
          <w:tcPr>
            <w:tcW w:w="60" w:type="dxa"/>
            <w:tcBorders/>
            <w:shd w:fill="CCEEFF" w:val="clear"/>
            <w:vAlign w:val="center"/>
          </w:tcPr>
          <w:p>
            <w:pPr>
              <w:pStyle w:val="TableContents"/>
              <w:spacing w:before="0" w:after="283"/>
              <w:rPr/>
            </w:pPr>
            <w:r>
              <w:rPr/>
              <w:t> </w:t>
            </w:r>
          </w:p>
        </w:tc>
        <w:tc>
          <w:tcPr>
            <w:tcW w:w="1355" w:type="dxa"/>
            <w:tcBorders/>
            <w:shd w:fill="CCEEFF" w:val="clear"/>
            <w:vAlign w:val="center"/>
          </w:tcPr>
          <w:p>
            <w:pPr>
              <w:pStyle w:val="TableContents"/>
              <w:spacing w:before="0" w:after="283"/>
              <w:jc w:val="center"/>
              <w:rPr/>
            </w:pPr>
            <w:r>
              <w:rPr/>
              <w:t>1,129,162</w:t>
            </w:r>
          </w:p>
        </w:tc>
      </w:tr>
    </w:tbl>
    <w:p>
      <w:pPr>
        <w:pStyle w:val="TextBody"/>
        <w:spacing w:before="240" w:after="0"/>
        <w:jc w:val="left"/>
        <w:rPr>
          <w:rFonts w:ascii="Times New Roman" w:hAnsi="Times New Roman"/>
          <w:sz w:val="20"/>
        </w:rPr>
      </w:pPr>
      <w:r>
        <w:rPr>
          <w:rFonts w:ascii="Times New Roman" w:hAnsi="Times New Roman"/>
          <w:i/>
          <w:sz w:val="20"/>
        </w:rPr>
        <w:t>Proposal 3 – Ratification of Independent Registered Public Accountant.</w:t>
      </w:r>
      <w:r>
        <w:rPr>
          <w:rFonts w:ascii="Times New Roman" w:hAnsi="Times New Roman"/>
          <w:sz w:val="20"/>
        </w:rPr>
        <w:t xml:space="preserve"> The appointment of PricewaterhouseCoopers LLP as the Company’s independent registered public accounting firm for the 2022 fiscal year was ratified, as follows: </w:t>
      </w:r>
    </w:p>
    <w:p>
      <w:pPr>
        <w:pStyle w:val="TextBody"/>
        <w:spacing w:before="0" w:after="0"/>
        <w:jc w:val="left"/>
        <w:rPr/>
      </w:pPr>
      <w:r>
        <w:rPr/>
        <w:t> </w:t>
      </w:r>
    </w:p>
    <w:tbl>
      <w:tblPr>
        <w:tblW w:w="4535" w:type="dxa"/>
        <w:jc w:val="left"/>
        <w:tblInd w:w="0" w:type="dxa"/>
        <w:tblCellMar>
          <w:top w:w="0" w:type="dxa"/>
          <w:left w:w="0" w:type="dxa"/>
          <w:bottom w:w="0" w:type="dxa"/>
          <w:right w:w="0" w:type="dxa"/>
        </w:tblCellMar>
      </w:tblPr>
      <w:tblGrid>
        <w:gridCol w:w="1115"/>
        <w:gridCol w:w="60"/>
        <w:gridCol w:w="1025"/>
        <w:gridCol w:w="60"/>
        <w:gridCol w:w="860"/>
        <w:gridCol w:w="60"/>
        <w:gridCol w:w="1355"/>
      </w:tblGrid>
      <w:tr>
        <w:trPr/>
        <w:tc>
          <w:tcPr>
            <w:tcW w:w="11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55" w:type="dxa"/>
            <w:tcBorders/>
            <w:shd w:fill="auto" w:val="clear"/>
            <w:vAlign w:val="center"/>
          </w:tcPr>
          <w:p>
            <w:pPr>
              <w:pStyle w:val="TableContents"/>
              <w:spacing w:before="0" w:after="283"/>
              <w:rPr>
                <w:sz w:val="4"/>
                <w:szCs w:val="4"/>
              </w:rPr>
            </w:pPr>
            <w:r>
              <w:rPr>
                <w:sz w:val="4"/>
                <w:szCs w:val="4"/>
              </w:rPr>
            </w:r>
          </w:p>
        </w:tc>
      </w:tr>
      <w:tr>
        <w:trPr/>
        <w:tc>
          <w:tcPr>
            <w:tcW w:w="1115"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Votes For</w:t>
            </w:r>
          </w:p>
        </w:tc>
        <w:tc>
          <w:tcPr>
            <w:tcW w:w="60" w:type="dxa"/>
            <w:tcBorders/>
            <w:shd w:fill="auto" w:val="clear"/>
            <w:vAlign w:val="center"/>
          </w:tcPr>
          <w:p>
            <w:pPr>
              <w:pStyle w:val="TableContents"/>
              <w:spacing w:before="0" w:after="283"/>
              <w:rPr/>
            </w:pPr>
            <w:r>
              <w:rPr/>
              <w:t> </w:t>
            </w:r>
          </w:p>
        </w:tc>
        <w:tc>
          <w:tcPr>
            <w:tcW w:w="1025"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Votes Against</w:t>
            </w:r>
          </w:p>
        </w:tc>
        <w:tc>
          <w:tcPr>
            <w:tcW w:w="60" w:type="dxa"/>
            <w:tcBorders/>
            <w:shd w:fill="auto" w:val="clear"/>
            <w:vAlign w:val="center"/>
          </w:tcPr>
          <w:p>
            <w:pPr>
              <w:pStyle w:val="TableContents"/>
              <w:spacing w:before="0" w:after="283"/>
              <w:rPr/>
            </w:pPr>
            <w:r>
              <w:rPr/>
              <w:t> </w:t>
            </w:r>
          </w:p>
        </w:tc>
        <w:tc>
          <w:tcPr>
            <w:tcW w:w="860"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Abstentions</w:t>
            </w:r>
          </w:p>
        </w:tc>
        <w:tc>
          <w:tcPr>
            <w:tcW w:w="60" w:type="dxa"/>
            <w:tcBorders/>
            <w:shd w:fill="auto" w:val="clear"/>
            <w:vAlign w:val="center"/>
          </w:tcPr>
          <w:p>
            <w:pPr>
              <w:pStyle w:val="TableContents"/>
              <w:spacing w:before="0" w:after="283"/>
              <w:rPr/>
            </w:pPr>
            <w:r>
              <w:rPr/>
              <w:t> </w:t>
            </w:r>
          </w:p>
        </w:tc>
        <w:tc>
          <w:tcPr>
            <w:tcW w:w="1355"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Broker Non-Votes</w:t>
            </w:r>
          </w:p>
        </w:tc>
      </w:tr>
      <w:tr>
        <w:trPr/>
        <w:tc>
          <w:tcPr>
            <w:tcW w:w="1115" w:type="dxa"/>
            <w:tcBorders/>
            <w:shd w:fill="CCEEFF" w:val="clear"/>
            <w:vAlign w:val="center"/>
          </w:tcPr>
          <w:p>
            <w:pPr>
              <w:pStyle w:val="TableContents"/>
              <w:spacing w:before="0" w:after="283"/>
              <w:jc w:val="center"/>
              <w:rPr/>
            </w:pPr>
            <w:r>
              <w:rPr/>
              <w:t>15,888,293</w:t>
            </w:r>
          </w:p>
        </w:tc>
        <w:tc>
          <w:tcPr>
            <w:tcW w:w="60" w:type="dxa"/>
            <w:tcBorders/>
            <w:shd w:fill="CCEEFF" w:val="clear"/>
            <w:vAlign w:val="center"/>
          </w:tcPr>
          <w:p>
            <w:pPr>
              <w:pStyle w:val="TableContents"/>
              <w:spacing w:before="0" w:after="283"/>
              <w:rPr/>
            </w:pPr>
            <w:r>
              <w:rPr/>
              <w:t> </w:t>
            </w:r>
          </w:p>
        </w:tc>
        <w:tc>
          <w:tcPr>
            <w:tcW w:w="1025" w:type="dxa"/>
            <w:tcBorders/>
            <w:shd w:fill="CCEEFF" w:val="clear"/>
            <w:vAlign w:val="center"/>
          </w:tcPr>
          <w:p>
            <w:pPr>
              <w:pStyle w:val="TableContents"/>
              <w:spacing w:before="0" w:after="283"/>
              <w:jc w:val="center"/>
              <w:rPr/>
            </w:pPr>
            <w:r>
              <w:rPr/>
              <w:t>1,558</w:t>
            </w:r>
          </w:p>
        </w:tc>
        <w:tc>
          <w:tcPr>
            <w:tcW w:w="60" w:type="dxa"/>
            <w:tcBorders/>
            <w:shd w:fill="CCEEFF" w:val="clear"/>
            <w:vAlign w:val="center"/>
          </w:tcPr>
          <w:p>
            <w:pPr>
              <w:pStyle w:val="TableContents"/>
              <w:spacing w:before="0" w:after="283"/>
              <w:rPr/>
            </w:pPr>
            <w:r>
              <w:rPr/>
              <w:t> </w:t>
            </w:r>
          </w:p>
        </w:tc>
        <w:tc>
          <w:tcPr>
            <w:tcW w:w="860" w:type="dxa"/>
            <w:tcBorders/>
            <w:shd w:fill="CCEEFF" w:val="clear"/>
            <w:vAlign w:val="center"/>
          </w:tcPr>
          <w:p>
            <w:pPr>
              <w:pStyle w:val="TableContents"/>
              <w:spacing w:before="0" w:after="283"/>
              <w:jc w:val="center"/>
              <w:rPr/>
            </w:pPr>
            <w:r>
              <w:rPr/>
              <w:t>362</w:t>
            </w:r>
          </w:p>
        </w:tc>
        <w:tc>
          <w:tcPr>
            <w:tcW w:w="60" w:type="dxa"/>
            <w:tcBorders/>
            <w:shd w:fill="CCEEFF" w:val="clear"/>
            <w:vAlign w:val="center"/>
          </w:tcPr>
          <w:p>
            <w:pPr>
              <w:pStyle w:val="TableContents"/>
              <w:spacing w:before="0" w:after="283"/>
              <w:rPr/>
            </w:pPr>
            <w:r>
              <w:rPr/>
              <w:t> </w:t>
            </w:r>
          </w:p>
        </w:tc>
        <w:tc>
          <w:tcPr>
            <w:tcW w:w="1355" w:type="dxa"/>
            <w:tcBorders/>
            <w:shd w:fill="CCEEFF" w:val="clear"/>
            <w:vAlign w:val="center"/>
          </w:tcPr>
          <w:p>
            <w:pPr>
              <w:pStyle w:val="TableContents"/>
              <w:spacing w:before="0" w:after="283"/>
              <w:jc w:val="center"/>
              <w:rPr/>
            </w:pPr>
            <w:r>
              <w:rPr/>
              <w:t>0</w:t>
            </w:r>
          </w:p>
        </w:tc>
      </w:tr>
    </w:tbl>
    <w:p>
      <w:pPr>
        <w:pStyle w:val="HorizontalLine"/>
        <w:rPr/>
      </w:pPr>
      <w:r>
        <w:br w:type="page"/>
      </w:r>
      <w:r>
        <w:rPr/>
      </w:r>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jc w:val="left"/>
        <w:rPr/>
      </w:pPr>
      <w:r>
        <w:rPr/>
        <w:t> </w:t>
      </w:r>
    </w:p>
    <w:tbl>
      <w:tblPr>
        <w:tblW w:w="4360" w:type="dxa"/>
        <w:jc w:val="left"/>
        <w:tblInd w:w="0" w:type="dxa"/>
        <w:tblCellMar>
          <w:top w:w="0" w:type="dxa"/>
          <w:left w:w="0" w:type="dxa"/>
          <w:bottom w:w="0" w:type="dxa"/>
          <w:right w:w="0" w:type="dxa"/>
        </w:tblCellMar>
      </w:tblPr>
      <w:tblGrid>
        <w:gridCol w:w="680"/>
        <w:gridCol w:w="60"/>
        <w:gridCol w:w="3620"/>
      </w:tblGrid>
      <w:tr>
        <w:trPr/>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20" w:type="dxa"/>
            <w:tcBorders/>
            <w:shd w:fill="auto" w:val="clear"/>
            <w:vAlign w:val="center"/>
          </w:tcPr>
          <w:p>
            <w:pPr>
              <w:pStyle w:val="TableContents"/>
              <w:spacing w:before="0" w:after="283"/>
              <w:rPr>
                <w:sz w:val="4"/>
                <w:szCs w:val="4"/>
              </w:rPr>
            </w:pPr>
            <w:r>
              <w:rPr>
                <w:sz w:val="4"/>
                <w:szCs w:val="4"/>
              </w:rPr>
            </w:r>
          </w:p>
        </w:tc>
      </w:tr>
      <w:tr>
        <w:trPr/>
        <w:tc>
          <w:tcPr>
            <w:tcW w:w="4360" w:type="dxa"/>
            <w:gridSpan w:val="3"/>
            <w:tcBorders/>
            <w:shd w:fill="auto" w:val="clear"/>
            <w:vAlign w:val="center"/>
          </w:tcPr>
          <w:p>
            <w:pPr>
              <w:pStyle w:val="TableContents"/>
              <w:spacing w:before="0" w:after="283"/>
              <w:rPr/>
            </w:pPr>
            <w:r>
              <w:rPr/>
              <w:t>Larimar Therapeutics, Inc.</w:t>
            </w:r>
          </w:p>
        </w:tc>
      </w:tr>
      <w:tr>
        <w:trPr/>
        <w:tc>
          <w:tcPr>
            <w:tcW w:w="680" w:type="dxa"/>
            <w:tcBorders/>
            <w:shd w:fill="auto" w:val="clear"/>
            <w:vAlign w:val="center"/>
          </w:tcPr>
          <w:p>
            <w:pPr>
              <w:pStyle w:val="TableContents"/>
              <w:spacing w:before="0" w:after="283"/>
              <w:rPr>
                <w:sz w:val="4"/>
                <w:szCs w:val="4"/>
              </w:rPr>
            </w:pPr>
            <w:r>
              <w:rPr>
                <w:sz w:val="4"/>
                <w:szCs w:val="4"/>
              </w:rPr>
            </w:r>
          </w:p>
        </w:tc>
        <w:tc>
          <w:tcPr>
            <w:tcW w:w="3680" w:type="dxa"/>
            <w:gridSpan w:val="2"/>
            <w:tcBorders/>
            <w:shd w:fill="auto" w:val="clear"/>
            <w:vAlign w:val="center"/>
          </w:tcPr>
          <w:p>
            <w:pPr>
              <w:pStyle w:val="TableContents"/>
              <w:spacing w:before="0" w:after="283"/>
              <w:rPr>
                <w:sz w:val="4"/>
                <w:szCs w:val="4"/>
              </w:rPr>
            </w:pPr>
            <w:r>
              <w:rPr>
                <w:sz w:val="4"/>
                <w:szCs w:val="4"/>
              </w:rPr>
            </w:r>
          </w:p>
        </w:tc>
      </w:tr>
      <w:tr>
        <w:trPr/>
        <w:tc>
          <w:tcPr>
            <w:tcW w:w="680" w:type="dxa"/>
            <w:tcBorders/>
            <w:shd w:fill="auto" w:val="clear"/>
            <w:vAlign w:val="center"/>
          </w:tcPr>
          <w:p>
            <w:pPr>
              <w:pStyle w:val="TableContents"/>
              <w:spacing w:before="0" w:after="283"/>
              <w:rPr/>
            </w:pPr>
            <w:r>
              <w:rPr/>
              <w:t>By:</w:t>
            </w:r>
          </w:p>
        </w:tc>
        <w:tc>
          <w:tcPr>
            <w:tcW w:w="60" w:type="dxa"/>
            <w:tcBorders/>
            <w:shd w:fill="auto" w:val="clear"/>
            <w:vAlign w:val="center"/>
          </w:tcPr>
          <w:p>
            <w:pPr>
              <w:pStyle w:val="TableContents"/>
              <w:spacing w:before="0" w:after="283"/>
              <w:rPr/>
            </w:pPr>
            <w:r>
              <w:rPr/>
              <w:t> </w:t>
            </w:r>
          </w:p>
        </w:tc>
        <w:tc>
          <w:tcPr>
            <w:tcW w:w="3620" w:type="dxa"/>
            <w:tcBorders/>
            <w:shd w:fill="auto" w:val="clear"/>
            <w:vAlign w:val="cente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Carole S. Ben-Maimon, M.D.</w:t>
            </w:r>
          </w:p>
        </w:tc>
      </w:tr>
      <w:tr>
        <w:trPr/>
        <w:tc>
          <w:tcPr>
            <w:tcW w:w="680" w:type="dxa"/>
            <w:tcBorders/>
            <w:shd w:fill="auto" w:val="clear"/>
            <w:vAlign w:val="center"/>
          </w:tcPr>
          <w:p>
            <w:pPr>
              <w:pStyle w:val="TableContents"/>
              <w:spacing w:before="0" w:after="283"/>
              <w:rPr>
                <w:i/>
              </w:rPr>
            </w:pPr>
            <w:r>
              <w:rPr>
                <w:i/>
              </w:rPr>
              <w:t>Name:</w:t>
            </w:r>
          </w:p>
        </w:tc>
        <w:tc>
          <w:tcPr>
            <w:tcW w:w="60" w:type="dxa"/>
            <w:tcBorders/>
            <w:shd w:fill="auto" w:val="clear"/>
            <w:vAlign w:val="center"/>
          </w:tcPr>
          <w:p>
            <w:pPr>
              <w:pStyle w:val="TableContents"/>
              <w:spacing w:before="0" w:after="283"/>
              <w:rPr/>
            </w:pPr>
            <w:r>
              <w:rPr/>
              <w:t> </w:t>
            </w:r>
          </w:p>
        </w:tc>
        <w:tc>
          <w:tcPr>
            <w:tcW w:w="3620" w:type="dxa"/>
            <w:tcBorders/>
            <w:shd w:fill="auto" w:val="clear"/>
            <w:vAlign w:val="center"/>
          </w:tcPr>
          <w:p>
            <w:pPr>
              <w:pStyle w:val="TableContents"/>
              <w:spacing w:before="0" w:after="283"/>
              <w:rPr>
                <w:i/>
              </w:rPr>
            </w:pPr>
            <w:r>
              <w:rPr>
                <w:i/>
              </w:rPr>
              <w:t>Carole S. Ben-Maimon, M.D.</w:t>
            </w:r>
          </w:p>
        </w:tc>
      </w:tr>
      <w:tr>
        <w:trPr/>
        <w:tc>
          <w:tcPr>
            <w:tcW w:w="680" w:type="dxa"/>
            <w:tcBorders/>
            <w:shd w:fill="auto" w:val="clear"/>
            <w:vAlign w:val="center"/>
          </w:tcPr>
          <w:p>
            <w:pPr>
              <w:pStyle w:val="TableContents"/>
              <w:spacing w:before="0" w:after="283"/>
              <w:rPr>
                <w:i/>
              </w:rPr>
            </w:pPr>
            <w:r>
              <w:rPr>
                <w:i/>
              </w:rPr>
              <w:t>Title:</w:t>
            </w:r>
          </w:p>
        </w:tc>
        <w:tc>
          <w:tcPr>
            <w:tcW w:w="60" w:type="dxa"/>
            <w:tcBorders/>
            <w:shd w:fill="auto" w:val="clear"/>
            <w:vAlign w:val="center"/>
          </w:tcPr>
          <w:p>
            <w:pPr>
              <w:pStyle w:val="TableContents"/>
              <w:spacing w:before="0" w:after="283"/>
              <w:rPr/>
            </w:pPr>
            <w:r>
              <w:rPr/>
              <w:t> </w:t>
            </w:r>
          </w:p>
        </w:tc>
        <w:tc>
          <w:tcPr>
            <w:tcW w:w="3620" w:type="dxa"/>
            <w:tcBorders/>
            <w:shd w:fill="auto" w:val="clear"/>
            <w:vAlign w:val="center"/>
          </w:tcPr>
          <w:p>
            <w:pPr>
              <w:pStyle w:val="TableContents"/>
              <w:spacing w:before="0" w:after="283"/>
              <w:rPr>
                <w:i/>
              </w:rPr>
            </w:pPr>
            <w:r>
              <w:rPr>
                <w:i/>
              </w:rPr>
              <w:t>President and Chief Executive Officer</w:t>
            </w:r>
          </w:p>
        </w:tc>
      </w:tr>
    </w:tbl>
    <w:p>
      <w:pPr>
        <w:pStyle w:val="TextBody"/>
        <w:spacing w:before="240" w:after="0"/>
        <w:jc w:val="left"/>
        <w:rPr>
          <w:rFonts w:ascii="Times New Roman" w:hAnsi="Times New Roman"/>
          <w:sz w:val="20"/>
        </w:rPr>
      </w:pPr>
      <w:r>
        <w:rPr>
          <w:rFonts w:ascii="Times New Roman" w:hAnsi="Times New Roman"/>
          <w:sz w:val="20"/>
        </w:rPr>
        <w:t xml:space="preserve">Date: May 12, 2022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732</Words>
  <CharactersWithSpaces>4804</CharactersWithSpaces>
  <Paragraphs>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