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333-279275</w:t>
      </w:r>
    </w:p>
    <w:p>
      <w:pPr>
        <w:spacing w:after="0" w:line="290" w:lineRule="exact"/>
        <w:rPr>
          <w:sz w:val="24"/>
          <w:szCs w:val="24"/>
          <w:color w:val="auto"/>
        </w:rPr>
      </w:pPr>
    </w:p>
    <w:tbl>
      <w:tblPr>
        <w:tblLayout w:type="fixed"/>
        <w:tblInd w:w="120" w:type="dxa"/>
        <w:tblCellMar>
          <w:top w:w="0" w:type="dxa"/>
          <w:left w:w="0" w:type="dxa"/>
          <w:bottom w:w="0" w:type="dxa"/>
          <w:right w:w="0" w:type="dxa"/>
        </w:tblCellMar>
      </w:tblPr>
      <w:tr>
        <w:trPr>
          <w:trHeight w:val="212"/>
        </w:trPr>
        <w:tc>
          <w:tcPr>
            <w:tcW w:w="380" w:type="dxa"/>
            <w:vAlign w:val="bottom"/>
            <w:vMerge w:val="restart"/>
            <w:textDirection w:val="btLr"/>
          </w:tcPr>
          <w:p>
            <w:pPr>
              <w:ind w:left="357"/>
              <w:spacing w:after="0"/>
              <w:rPr>
                <w:sz w:val="20"/>
                <w:szCs w:val="20"/>
                <w:color w:val="auto"/>
              </w:rPr>
            </w:pPr>
            <w:r>
              <w:rPr>
                <w:rFonts w:ascii="Arial" w:cs="Arial" w:eastAsia="Arial" w:hAnsi="Arial"/>
                <w:sz w:val="2"/>
                <w:szCs w:val="2"/>
                <w:b w:val="1"/>
                <w:bCs w:val="1"/>
                <w:color w:val="FF4338"/>
                <w:w w:val="97"/>
              </w:rPr>
              <w:t>Theinformationinthispreliminaryprospectussupplementisnotcompleteandmaybechanged.Aregistrationstatementrelating to thesesecuritieshasbeenfiledwiththeSecuritiesandExchangeCommissionandiseffective.Thispreliminaryprospectussupplementandthe</w:t>
            </w: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80" w:type="dxa"/>
            <w:vAlign w:val="bottom"/>
            <w:gridSpan w:val="12"/>
          </w:tcPr>
          <w:p>
            <w:pPr>
              <w:jc w:val="center"/>
              <w:ind w:left="1248"/>
              <w:spacing w:after="0"/>
              <w:rPr>
                <w:sz w:val="20"/>
                <w:szCs w:val="20"/>
                <w:color w:val="auto"/>
              </w:rPr>
            </w:pPr>
            <w:r>
              <w:rPr>
                <w:rFonts w:ascii="Times New Roman" w:cs="Times New Roman" w:eastAsia="Times New Roman" w:hAnsi="Times New Roman"/>
                <w:sz w:val="16"/>
                <w:szCs w:val="16"/>
                <w:b w:val="1"/>
                <w:bCs w:val="1"/>
                <w:color w:val="FF4338"/>
              </w:rPr>
              <w:t>SUBJECT TO COMPLETION, DATED JULY 29, 2025</w:t>
            </w: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3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528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PRELIMINARY PROSPECTUS SUPPLEMENT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80" w:type="dxa"/>
            <w:vAlign w:val="bottom"/>
            <w:vMerge w:val="continue"/>
          </w:tcPr>
          <w:p>
            <w:pPr>
              <w:spacing w:after="0"/>
              <w:rPr>
                <w:sz w:val="18"/>
                <w:szCs w:val="18"/>
                <w:color w:val="auto"/>
              </w:rPr>
            </w:pPr>
          </w:p>
        </w:tc>
        <w:tc>
          <w:tcPr>
            <w:tcW w:w="480" w:type="dxa"/>
            <w:vAlign w:val="bottom"/>
            <w:vMerge w:val="restart"/>
            <w:textDirection w:val="btLr"/>
          </w:tcPr>
          <w:p>
            <w:pPr>
              <w:ind w:left="417"/>
              <w:spacing w:after="0"/>
              <w:rPr>
                <w:sz w:val="20"/>
                <w:szCs w:val="20"/>
                <w:color w:val="auto"/>
              </w:rPr>
            </w:pPr>
            <w:r>
              <w:rPr>
                <w:rFonts w:ascii="Arial" w:cs="Arial" w:eastAsia="Arial" w:hAnsi="Arial"/>
                <w:sz w:val="3"/>
                <w:szCs w:val="3"/>
                <w:b w:val="1"/>
                <w:bCs w:val="1"/>
                <w:color w:val="FF4338"/>
                <w:w w:val="71"/>
              </w:rPr>
              <w:t>accompanyingprospectusarenotanoffertosellthesesecuritiesandtheyarenotsolicitinganoffertobuythesesecuritiesin anyjurisdictionwheretheofferorsaleisnotpermitted.</w:t>
            </w:r>
          </w:p>
        </w:tc>
        <w:tc>
          <w:tcPr>
            <w:tcW w:w="528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(To Prospectus dated May 24, 2024)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1"/>
        </w:trPr>
        <w:tc>
          <w:tcPr>
            <w:tcW w:w="380" w:type="dxa"/>
            <w:vAlign w:val="bottom"/>
            <w:vMerge w:val="continue"/>
          </w:tcPr>
          <w:p>
            <w:pPr>
              <w:spacing w:after="0"/>
              <w:rPr>
                <w:sz w:val="24"/>
                <w:szCs w:val="24"/>
                <w:color w:val="auto"/>
              </w:rPr>
            </w:pPr>
          </w:p>
        </w:tc>
        <w:tc>
          <w:tcPr>
            <w:tcW w:w="48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80" w:type="dxa"/>
            <w:vAlign w:val="bottom"/>
            <w:gridSpan w:val="10"/>
            <w:vMerge w:val="restart"/>
          </w:tcPr>
          <w:p>
            <w:pPr>
              <w:jc w:val="center"/>
              <w:ind w:left="1448"/>
              <w:spacing w:after="0"/>
              <w:rPr>
                <w:sz w:val="20"/>
                <w:szCs w:val="20"/>
                <w:color w:val="auto"/>
              </w:rPr>
            </w:pPr>
            <w:r>
              <w:rPr>
                <w:rFonts w:ascii="Times New Roman" w:cs="Times New Roman" w:eastAsia="Times New Roman" w:hAnsi="Times New Roman"/>
                <w:sz w:val="25"/>
                <w:szCs w:val="25"/>
                <w:b w:val="1"/>
                <w:bCs w:val="1"/>
                <w:color w:val="auto"/>
              </w:rPr>
              <w:t>         Shares of Common Stock</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3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80" w:type="dxa"/>
            <w:vAlign w:val="bottom"/>
            <w:gridSpan w:val="10"/>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5"/>
        </w:trPr>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80" w:type="dxa"/>
            <w:vAlign w:val="bottom"/>
            <w:gridSpan w:val="6"/>
          </w:tcPr>
          <w:p>
            <w:pPr>
              <w:ind w:left="740"/>
              <w:spacing w:after="0"/>
              <w:rPr>
                <w:sz w:val="20"/>
                <w:szCs w:val="20"/>
                <w:color w:val="auto"/>
              </w:rPr>
            </w:pPr>
            <w:r>
              <w:rPr>
                <w:rFonts w:ascii="Times New Roman" w:cs="Times New Roman" w:eastAsia="Times New Roman" w:hAnsi="Times New Roman"/>
                <w:sz w:val="25"/>
                <w:szCs w:val="25"/>
                <w:b w:val="1"/>
                <w:bCs w:val="1"/>
                <w:color w:val="auto"/>
                <w:w w:val="99"/>
              </w:rPr>
              <w:t>Pre-Funded Warrants to Purchase up to </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25"/>
                <w:szCs w:val="25"/>
                <w:b w:val="1"/>
                <w:bCs w:val="1"/>
                <w:color w:val="auto"/>
                <w:w w:val="79"/>
              </w:rPr>
              <w:t> </w:t>
            </w:r>
          </w:p>
        </w:tc>
        <w:tc>
          <w:tcPr>
            <w:tcW w:w="18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3560" w:type="dxa"/>
            <w:vAlign w:val="bottom"/>
            <w:gridSpan w:val="8"/>
          </w:tcPr>
          <w:p>
            <w:pPr>
              <w:ind w:left="100"/>
              <w:spacing w:after="0"/>
              <w:rPr>
                <w:sz w:val="20"/>
                <w:szCs w:val="20"/>
                <w:color w:val="auto"/>
              </w:rPr>
            </w:pPr>
            <w:r>
              <w:rPr>
                <w:rFonts w:ascii="Times New Roman" w:cs="Times New Roman" w:eastAsia="Times New Roman" w:hAnsi="Times New Roman"/>
                <w:sz w:val="25"/>
                <w:szCs w:val="25"/>
                <w:b w:val="1"/>
                <w:bCs w:val="1"/>
                <w:color w:val="auto"/>
              </w:rPr>
              <w:t>Shares of Common Stock</w:t>
            </w:r>
          </w:p>
        </w:tc>
        <w:tc>
          <w:tcPr>
            <w:tcW w:w="0" w:type="dxa"/>
            <w:vAlign w:val="bottom"/>
          </w:tcPr>
          <w:p>
            <w:pPr>
              <w:spacing w:after="0"/>
              <w:rPr>
                <w:sz w:val="1"/>
                <w:szCs w:val="1"/>
                <w:color w:val="auto"/>
              </w:rPr>
            </w:pPr>
          </w:p>
        </w:tc>
      </w:tr>
      <w:tr>
        <w:trPr>
          <w:trHeight w:val="221"/>
        </w:trPr>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spacing w:after="0"/>
              <w:rPr>
                <w:sz w:val="19"/>
                <w:szCs w:val="19"/>
                <w:color w:val="auto"/>
              </w:rPr>
            </w:pPr>
          </w:p>
        </w:tc>
        <w:tc>
          <w:tcPr>
            <w:tcW w:w="240" w:type="dxa"/>
            <w:vAlign w:val="bottom"/>
            <w:tcBorders>
              <w:bottom w:val="single" w:sz="8" w:color="auto"/>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gridSpan w:val="2"/>
          </w:tcPr>
          <w:p>
            <w:pPr>
              <w:spacing w:after="0"/>
              <w:rPr>
                <w:sz w:val="19"/>
                <w:szCs w:val="19"/>
                <w:color w:val="auto"/>
              </w:rPr>
            </w:pPr>
          </w:p>
        </w:tc>
        <w:tc>
          <w:tcPr>
            <w:tcW w:w="460" w:type="dxa"/>
            <w:vAlign w:val="bottom"/>
            <w:gridSpan w:val="2"/>
          </w:tcPr>
          <w:p>
            <w:pPr>
              <w:spacing w:after="0"/>
              <w:rPr>
                <w:sz w:val="19"/>
                <w:szCs w:val="19"/>
                <w:color w:val="auto"/>
              </w:rPr>
            </w:pPr>
          </w:p>
        </w:tc>
        <w:tc>
          <w:tcPr>
            <w:tcW w:w="1440" w:type="dxa"/>
            <w:vAlign w:val="bottom"/>
            <w:gridSpan w:val="3"/>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xml:space="preserve">We are offering     </w:t>
            </w:r>
          </w:p>
        </w:tc>
        <w:tc>
          <w:tcPr>
            <w:tcW w:w="7940" w:type="dxa"/>
            <w:vAlign w:val="bottom"/>
            <w:gridSpan w:val="16"/>
          </w:tcPr>
          <w:p>
            <w:pPr>
              <w:ind w:left="40"/>
              <w:spacing w:after="0"/>
              <w:rPr>
                <w:sz w:val="20"/>
                <w:szCs w:val="20"/>
                <w:color w:val="auto"/>
              </w:rPr>
            </w:pPr>
            <w:r>
              <w:rPr>
                <w:rFonts w:ascii="Times New Roman" w:cs="Times New Roman" w:eastAsia="Times New Roman" w:hAnsi="Times New Roman"/>
                <w:sz w:val="16"/>
                <w:szCs w:val="16"/>
                <w:color w:val="auto"/>
              </w:rPr>
              <w:t>      shares of our common stock and, in lieu of offering shares of our common stock to certain investors, pre-funded</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8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warrants, or Pre-Funded Warrants, to purchase up to an aggregate of            shares of our common stock. A holder of Pre-Funded Warrants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8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will not have the right to exercise any portion of its Pre-Funded Warrants if the holder, together with its affiliates and certain related parties,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8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would beneficially own in excess of 4.99% (or, at the election of the holder, 9.99%) of the number of shares of our common stock outstanding</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8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immediately after giving effect to such exercise. Each Pre-Funded Warrant is exercisable for one share of our common stock. The purchase</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8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price of each Pre-Funded Warrant is equal to the price at which a share of our common stock is sold to the public in this offering, minus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8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$0.001, which is the exercise price of each Pre-Funded Warrant. The Pre-Funded Warrants are immediately exercisable and may be exercised</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8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at any time until all of the Pre-Funded Warrants are exercised in full. This prospectus supplement also relates to the offering by us of our</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common stock issuable upon exercise of such Pre-Funded Warrants.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8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There is no established public trading market for the Pre-Funded Warrants, and we do not expect a market to develop. We do not intend to</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8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apply for listing of the Pre-Funded Warrants on The Nasdaq Global Market or any securities exchange or nationally recognized trading system.</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2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Without an active trading market, the liquidity of the Pre-Funded Warrants will be limited.</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8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Deerfield Management Company, L.P., which we refer to as Deerfield Management, our largest stockholder, and/or certain of its affiliates,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8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which we refer to collectively with Deerfield Management as the Deerfield Funds, have indicated an interest in purchasing shares of our</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8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common stock in this offering. The amount of such investment could be a significant portion of the securities sold in this offering. However,</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8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because indications of interest are not binding agreements or commitments to purchase, such Deerfield Funds may decide not to purchase any</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8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shares of our common stock in this offering or they could purchase fewer shares of our common stock than indicated. In addition, the</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4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underwriters could determine to sell fewer or not to sell any shares of our common stock to such Deerfield Funds.</w:t>
            </w: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8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Our common stock is listed on The Nasdaq Global Market under the symbol “LRMR.” On July 28, 2025, the last reported sale price of our</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common stock was $3.64 per share.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60" w:type="dxa"/>
            <w:vAlign w:val="bottom"/>
            <w:gridSpan w:val="2"/>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spacing w:after="0"/>
              <w:rPr>
                <w:sz w:val="20"/>
                <w:szCs w:val="20"/>
                <w:color w:val="auto"/>
              </w:rPr>
            </w:pPr>
          </w:p>
        </w:tc>
        <w:tc>
          <w:tcPr>
            <w:tcW w:w="240" w:type="dxa"/>
            <w:vAlign w:val="bottom"/>
            <w:tcBorders>
              <w:bottom w:val="single" w:sz="8" w:color="auto"/>
            </w:tcBorders>
            <w:gridSpan w:val="2"/>
          </w:tcPr>
          <w:p>
            <w:pPr>
              <w:spacing w:after="0"/>
              <w:rPr>
                <w:sz w:val="20"/>
                <w:szCs w:val="20"/>
                <w:color w:val="auto"/>
              </w:rPr>
            </w:pPr>
          </w:p>
        </w:tc>
        <w:tc>
          <w:tcPr>
            <w:tcW w:w="380" w:type="dxa"/>
            <w:vAlign w:val="bottom"/>
            <w:gridSpan w:val="3"/>
          </w:tcPr>
          <w:p>
            <w:pPr>
              <w:spacing w:after="0"/>
              <w:rPr>
                <w:sz w:val="20"/>
                <w:szCs w:val="20"/>
                <w:color w:val="auto"/>
              </w:rPr>
            </w:pPr>
          </w:p>
        </w:tc>
        <w:tc>
          <w:tcPr>
            <w:tcW w:w="460" w:type="dxa"/>
            <w:vAlign w:val="bottom"/>
            <w:gridSpan w:val="2"/>
          </w:tcPr>
          <w:p>
            <w:pPr>
              <w:spacing w:after="0"/>
              <w:rPr>
                <w:sz w:val="20"/>
                <w:szCs w:val="20"/>
                <w:color w:val="auto"/>
              </w:rPr>
            </w:pPr>
          </w:p>
        </w:tc>
        <w:tc>
          <w:tcPr>
            <w:tcW w:w="1440" w:type="dxa"/>
            <w:vAlign w:val="bottom"/>
            <w:gridSpan w:val="3"/>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80" w:type="dxa"/>
            <w:vAlign w:val="bottom"/>
            <w:gridSpan w:val="19"/>
          </w:tcPr>
          <w:p>
            <w:pPr>
              <w:spacing w:after="0"/>
              <w:rPr>
                <w:sz w:val="20"/>
                <w:szCs w:val="20"/>
                <w:color w:val="auto"/>
              </w:rPr>
            </w:pPr>
            <w:r>
              <w:rPr>
                <w:rFonts w:ascii="Times New Roman" w:cs="Times New Roman" w:eastAsia="Times New Roman" w:hAnsi="Times New Roman"/>
                <w:sz w:val="20"/>
                <w:szCs w:val="20"/>
                <w:b w:val="1"/>
                <w:bCs w:val="1"/>
                <w:color w:val="auto"/>
              </w:rPr>
              <w:t>Investing in our securities involves risks. See the “</w:t>
            </w:r>
            <w:r>
              <w:rPr>
                <w:rFonts w:ascii="Times New Roman" w:cs="Times New Roman" w:eastAsia="Times New Roman" w:hAnsi="Times New Roman"/>
                <w:sz w:val="20"/>
                <w:szCs w:val="20"/>
                <w:b w:val="1"/>
                <w:bCs w:val="1"/>
                <w:color w:val="0000EE"/>
              </w:rPr>
              <w:t>Risk Factors</w:t>
            </w:r>
            <w:r>
              <w:rPr>
                <w:rFonts w:ascii="Times New Roman" w:cs="Times New Roman" w:eastAsia="Times New Roman" w:hAnsi="Times New Roman"/>
                <w:sz w:val="20"/>
                <w:szCs w:val="20"/>
                <w:b w:val="1"/>
                <w:bCs w:val="1"/>
                <w:color w:val="auto"/>
              </w:rPr>
              <w:t>” beginning on page S-7 of this prospectus</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20" w:type="dxa"/>
            <w:vAlign w:val="bottom"/>
            <w:gridSpan w:val="5"/>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0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80" w:type="dxa"/>
            <w:vAlign w:val="bottom"/>
            <w:gridSpan w:val="19"/>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supplement, as well as in the documents incorporated or deemed to be incorporated by reference into this</w:t>
            </w:r>
          </w:p>
        </w:tc>
        <w:tc>
          <w:tcPr>
            <w:tcW w:w="0" w:type="dxa"/>
            <w:vAlign w:val="bottom"/>
          </w:tcPr>
          <w:p>
            <w:pPr>
              <w:spacing w:after="0"/>
              <w:rPr>
                <w:sz w:val="1"/>
                <w:szCs w:val="1"/>
                <w:color w:val="auto"/>
              </w:rPr>
            </w:pPr>
          </w:p>
        </w:tc>
      </w:tr>
      <w:tr>
        <w:trPr>
          <w:trHeight w:val="262"/>
        </w:trPr>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80" w:type="dxa"/>
            <w:vAlign w:val="bottom"/>
            <w:gridSpan w:val="6"/>
          </w:tcPr>
          <w:p>
            <w:pPr>
              <w:spacing w:after="0"/>
              <w:rPr>
                <w:sz w:val="20"/>
                <w:szCs w:val="20"/>
                <w:color w:val="auto"/>
              </w:rPr>
            </w:pPr>
            <w:r>
              <w:rPr>
                <w:rFonts w:ascii="Times New Roman" w:cs="Times New Roman" w:eastAsia="Times New Roman" w:hAnsi="Times New Roman"/>
                <w:sz w:val="20"/>
                <w:szCs w:val="20"/>
                <w:b w:val="1"/>
                <w:bCs w:val="1"/>
                <w:color w:val="auto"/>
              </w:rPr>
              <w:t>prospectus supplement and the accompanying prospectus.</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9"/>
        </w:trPr>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80" w:type="dxa"/>
            <w:vAlign w:val="bottom"/>
            <w:gridSpan w:val="19"/>
          </w:tcPr>
          <w:p>
            <w:pPr>
              <w:spacing w:after="0"/>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80" w:type="dxa"/>
            <w:vAlign w:val="bottom"/>
            <w:gridSpan w:val="19"/>
          </w:tcPr>
          <w:p>
            <w:pPr>
              <w:spacing w:after="0"/>
              <w:rPr>
                <w:sz w:val="20"/>
                <w:szCs w:val="20"/>
                <w:color w:val="auto"/>
              </w:rPr>
            </w:pPr>
            <w:r>
              <w:rPr>
                <w:rFonts w:ascii="Times New Roman" w:cs="Times New Roman" w:eastAsia="Times New Roman" w:hAnsi="Times New Roman"/>
                <w:sz w:val="16"/>
                <w:szCs w:val="16"/>
                <w:b w:val="1"/>
                <w:bCs w:val="1"/>
                <w:color w:val="auto"/>
              </w:rPr>
              <w:t>or determined if this prospectus supplement or accompanying prospectus is truthful or complete. Any representation to the contrary</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8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is a criminal offense.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 Pre-Funded</w:t>
            </w: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3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40" w:type="dxa"/>
            <w:vAlign w:val="bottom"/>
            <w:gridSpan w:val="7"/>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20" w:type="dxa"/>
            <w:vAlign w:val="bottom"/>
            <w:gridSpan w:val="3"/>
            <w:vMerge w:val="continue"/>
          </w:tcPr>
          <w:p>
            <w:pPr>
              <w:spacing w:after="0"/>
              <w:rPr>
                <w:sz w:val="23"/>
                <w:szCs w:val="23"/>
                <w:color w:val="auto"/>
              </w:rPr>
            </w:pPr>
          </w:p>
        </w:tc>
        <w:tc>
          <w:tcPr>
            <w:tcW w:w="460" w:type="dxa"/>
            <w:vAlign w:val="bottom"/>
          </w:tcPr>
          <w:p>
            <w:pPr>
              <w:spacing w:after="0"/>
              <w:rPr>
                <w:sz w:val="23"/>
                <w:szCs w:val="23"/>
                <w:color w:val="auto"/>
              </w:rPr>
            </w:pPr>
          </w:p>
        </w:tc>
        <w:tc>
          <w:tcPr>
            <w:tcW w:w="1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gridSpan w:val="7"/>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8"/>
              </w:rPr>
              <w:t>Warrant</w:t>
            </w:r>
          </w:p>
        </w:tc>
        <w:tc>
          <w:tcPr>
            <w:tcW w:w="4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520" w:type="dxa"/>
            <w:vAlign w:val="bottom"/>
            <w:tcBorders>
              <w:top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Public offering price</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w w:val="72"/>
              </w:rPr>
              <w:t> </w:t>
            </w:r>
          </w:p>
        </w:tc>
        <w:tc>
          <w:tcPr>
            <w:tcW w:w="2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xml:space="preserve">       </w:t>
            </w:r>
          </w:p>
        </w:tc>
        <w:tc>
          <w:tcPr>
            <w:tcW w:w="4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520" w:type="dxa"/>
            <w:vAlign w:val="bottom"/>
            <w:gridSpan w:val="5"/>
          </w:tcPr>
          <w:p>
            <w:pPr>
              <w:spacing w:after="0" w:line="202" w:lineRule="exact"/>
              <w:rPr>
                <w:sz w:val="20"/>
                <w:szCs w:val="20"/>
                <w:color w:val="auto"/>
              </w:rPr>
            </w:pPr>
            <w:r>
              <w:rPr>
                <w:rFonts w:ascii="Times New Roman" w:cs="Times New Roman" w:eastAsia="Times New Roman" w:hAnsi="Times New Roman"/>
                <w:sz w:val="16"/>
                <w:szCs w:val="16"/>
                <w:color w:val="auto"/>
              </w:rPr>
              <w:t>Underwriting discounts and commissions</w:t>
            </w:r>
            <w:r>
              <w:rPr>
                <w:rFonts w:ascii="Times New Roman" w:cs="Times New Roman" w:eastAsia="Times New Roman" w:hAnsi="Times New Roman"/>
                <w:sz w:val="23"/>
                <w:szCs w:val="23"/>
                <w:color w:val="auto"/>
                <w:vertAlign w:val="superscript"/>
              </w:rPr>
              <w:t>(1)</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spacing w:after="0"/>
              <w:rPr>
                <w:sz w:val="17"/>
                <w:szCs w:val="17"/>
                <w:color w:val="auto"/>
              </w:rPr>
            </w:pPr>
          </w:p>
        </w:tc>
        <w:tc>
          <w:tcPr>
            <w:tcW w:w="11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5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to us, before expenses</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Borders>
              <w:bottom w:val="single" w:sz="8" w:color="auto"/>
            </w:tcBorders>
            <w:gridSpan w:val="2"/>
          </w:tcPr>
          <w:p>
            <w:pPr>
              <w:spacing w:after="0"/>
              <w:rPr>
                <w:sz w:val="12"/>
                <w:szCs w:val="12"/>
                <w:color w:val="auto"/>
              </w:rPr>
            </w:pPr>
          </w:p>
        </w:tc>
        <w:tc>
          <w:tcPr>
            <w:tcW w:w="3200" w:type="dxa"/>
            <w:vAlign w:val="bottom"/>
            <w:gridSpan w:val="3"/>
          </w:tcPr>
          <w:p>
            <w:pPr>
              <w:spacing w:after="0"/>
              <w:rPr>
                <w:sz w:val="12"/>
                <w:szCs w:val="12"/>
                <w:color w:val="auto"/>
              </w:rPr>
            </w:pPr>
          </w:p>
        </w:tc>
        <w:tc>
          <w:tcPr>
            <w:tcW w:w="5060" w:type="dxa"/>
            <w:vAlign w:val="bottom"/>
            <w:gridSpan w:val="14"/>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8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(1)  See “Underwriting” beginning on page S-27 of this prospectus supplement for additional information regarding underwriting</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compensation.</w:t>
            </w:r>
          </w:p>
        </w:tc>
        <w:tc>
          <w:tcPr>
            <w:tcW w:w="2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8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We have granted the underwriters an option for a period of up to 30 days from the date of this prospectus supplement to purchase up to an</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xml:space="preserve">additional           </w:t>
            </w:r>
          </w:p>
        </w:tc>
        <w:tc>
          <w:tcPr>
            <w:tcW w:w="7940" w:type="dxa"/>
            <w:vAlign w:val="bottom"/>
            <w:gridSpan w:val="16"/>
          </w:tcPr>
          <w:p>
            <w:pPr>
              <w:ind w:left="40"/>
              <w:spacing w:after="0"/>
              <w:rPr>
                <w:sz w:val="20"/>
                <w:szCs w:val="20"/>
                <w:color w:val="auto"/>
              </w:rPr>
            </w:pPr>
            <w:r>
              <w:rPr>
                <w:rFonts w:ascii="Times New Roman" w:cs="Times New Roman" w:eastAsia="Times New Roman" w:hAnsi="Times New Roman"/>
                <w:sz w:val="16"/>
                <w:szCs w:val="16"/>
                <w:color w:val="auto"/>
              </w:rPr>
              <w:t>shares of our common stock at the public offering price, less the underwriting discounts and commissions.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-7282180</wp:posOffset>
            </wp:positionV>
            <wp:extent cx="1920240" cy="702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20240" cy="702945"/>
                    </a:xfrm>
                    <a:prstGeom prst="rect">
                      <a:avLst/>
                    </a:prstGeom>
                    <a:noFill/>
                  </pic:spPr>
                </pic:pic>
              </a:graphicData>
            </a:graphic>
          </wp:anchor>
        </w:drawing>
      </w:r>
    </w:p>
    <w:p>
      <w:pPr>
        <w:spacing w:after="0" w:line="188"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6"/>
          <w:szCs w:val="16"/>
          <w:color w:val="auto"/>
        </w:rPr>
        <w:t>Delivery of the securities is expected to be made on or about                ,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174625</wp:posOffset>
            </wp:positionV>
            <wp:extent cx="1234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i w:val="1"/>
          <w:iCs w:val="1"/>
          <w:color w:val="auto"/>
        </w:rPr>
        <w:t>Joint Bookrunning Managers</w:t>
      </w:r>
    </w:p>
    <w:p>
      <w:pPr>
        <w:spacing w:after="0" w:line="240" w:lineRule="exact"/>
        <w:rPr>
          <w:sz w:val="24"/>
          <w:szCs w:val="24"/>
          <w:color w:val="auto"/>
        </w:rPr>
      </w:pPr>
    </w:p>
    <w:p>
      <w:pPr>
        <w:ind w:left="980"/>
        <w:spacing w:after="0"/>
        <w:tabs>
          <w:tab w:leader="none" w:pos="7760" w:val="left"/>
        </w:tabs>
        <w:rPr>
          <w:sz w:val="20"/>
          <w:szCs w:val="20"/>
          <w:color w:val="auto"/>
        </w:rPr>
      </w:pPr>
      <w:r>
        <w:rPr>
          <w:rFonts w:ascii="Times New Roman" w:cs="Times New Roman" w:eastAsia="Times New Roman" w:hAnsi="Times New Roman"/>
          <w:sz w:val="25"/>
          <w:szCs w:val="25"/>
          <w:b w:val="1"/>
          <w:bCs w:val="1"/>
          <w:color w:val="auto"/>
        </w:rPr>
        <w:t>Leerink Partners</w:t>
      </w:r>
      <w:r>
        <w:rPr>
          <w:sz w:val="20"/>
          <w:szCs w:val="20"/>
          <w:color w:val="auto"/>
        </w:rPr>
        <w:tab/>
      </w:r>
      <w:r>
        <w:rPr>
          <w:rFonts w:ascii="Times New Roman" w:cs="Times New Roman" w:eastAsia="Times New Roman" w:hAnsi="Times New Roman"/>
          <w:sz w:val="25"/>
          <w:szCs w:val="25"/>
          <w:b w:val="1"/>
          <w:bCs w:val="1"/>
          <w:color w:val="auto"/>
        </w:rPr>
        <w:t>Guggenheim Securities</w:t>
      </w:r>
    </w:p>
    <w:p>
      <w:pPr>
        <w:sectPr>
          <w:pgSz w:w="11900" w:h="16838" w:orient="portrait"/>
          <w:cols w:equalWidth="0" w:num="1">
            <w:col w:w="11140"/>
          </w:cols>
          <w:pgMar w:left="320" w:top="225" w:right="439" w:bottom="425" w:gutter="0" w:footer="0" w:header="0"/>
        </w:sectPr>
      </w:pPr>
    </w:p>
    <w:p>
      <w:pPr>
        <w:spacing w:after="0" w:line="23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5"/>
          <w:szCs w:val="15"/>
          <w:b w:val="1"/>
          <w:bCs w:val="1"/>
          <w:color w:val="auto"/>
        </w:rPr>
        <w:t>Prospectus Supplement dated July    , 2025</w:t>
      </w:r>
    </w:p>
    <w:p>
      <w:pPr>
        <w:sectPr>
          <w:pgSz w:w="11900" w:h="16838" w:orient="portrait"/>
          <w:cols w:equalWidth="0" w:num="1">
            <w:col w:w="11140"/>
          </w:cols>
          <w:pgMar w:left="320" w:top="225" w:right="439" w:bottom="425"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60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48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8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948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148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34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6040" w:type="dxa"/>
            <w:vAlign w:val="bottom"/>
            <w:gridSpan w:val="7"/>
          </w:tcPr>
          <w:p>
            <w:pPr>
              <w:spacing w:after="0"/>
              <w:rPr>
                <w:sz w:val="24"/>
                <w:szCs w:val="24"/>
                <w:color w:val="auto"/>
              </w:rPr>
            </w:pPr>
          </w:p>
        </w:tc>
        <w:tc>
          <w:tcPr>
            <w:tcW w:w="14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S-1</w:t>
            </w:r>
          </w:p>
        </w:tc>
      </w:tr>
      <w:tr>
        <w:trPr>
          <w:trHeight w:val="196"/>
        </w:trPr>
        <w:tc>
          <w:tcPr>
            <w:tcW w:w="120" w:type="dxa"/>
            <w:vAlign w:val="bottom"/>
          </w:tcPr>
          <w:p>
            <w:pPr>
              <w:spacing w:after="0"/>
              <w:rPr>
                <w:sz w:val="17"/>
                <w:szCs w:val="17"/>
                <w:color w:val="auto"/>
              </w:rPr>
            </w:pPr>
          </w:p>
        </w:tc>
        <w:tc>
          <w:tcPr>
            <w:tcW w:w="94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1480" w:type="dxa"/>
            <w:vAlign w:val="bottom"/>
          </w:tcPr>
          <w:p>
            <w:pPr>
              <w:ind w:left="1080"/>
              <w:spacing w:after="0" w:line="196" w:lineRule="exact"/>
              <w:rPr>
                <w:sz w:val="20"/>
                <w:szCs w:val="20"/>
                <w:color w:val="auto"/>
              </w:rPr>
            </w:pPr>
            <w:r>
              <w:rPr>
                <w:rFonts w:ascii="Times New Roman" w:cs="Times New Roman" w:eastAsia="Times New Roman" w:hAnsi="Times New Roman"/>
                <w:sz w:val="18"/>
                <w:szCs w:val="18"/>
                <w:color w:val="auto"/>
              </w:rPr>
              <w:t>S-2</w:t>
            </w:r>
          </w:p>
        </w:tc>
      </w:tr>
      <w:tr>
        <w:trPr>
          <w:trHeight w:val="196"/>
        </w:trPr>
        <w:tc>
          <w:tcPr>
            <w:tcW w:w="120" w:type="dxa"/>
            <w:vAlign w:val="bottom"/>
          </w:tcPr>
          <w:p>
            <w:pPr>
              <w:spacing w:after="0"/>
              <w:rPr>
                <w:sz w:val="17"/>
                <w:szCs w:val="17"/>
                <w:color w:val="auto"/>
              </w:rPr>
            </w:pPr>
          </w:p>
        </w:tc>
        <w:tc>
          <w:tcPr>
            <w:tcW w:w="328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COMPANY OVERVIEW</w:t>
            </w:r>
          </w:p>
        </w:tc>
        <w:tc>
          <w:tcPr>
            <w:tcW w:w="6200" w:type="dxa"/>
            <w:vAlign w:val="bottom"/>
            <w:gridSpan w:val="8"/>
          </w:tcPr>
          <w:p>
            <w:pPr>
              <w:spacing w:after="0"/>
              <w:rPr>
                <w:sz w:val="17"/>
                <w:szCs w:val="17"/>
                <w:color w:val="auto"/>
              </w:rPr>
            </w:pPr>
          </w:p>
        </w:tc>
        <w:tc>
          <w:tcPr>
            <w:tcW w:w="1480" w:type="dxa"/>
            <w:vAlign w:val="bottom"/>
          </w:tcPr>
          <w:p>
            <w:pPr>
              <w:ind w:left="1080"/>
              <w:spacing w:after="0" w:line="196" w:lineRule="exact"/>
              <w:rPr>
                <w:sz w:val="20"/>
                <w:szCs w:val="20"/>
                <w:color w:val="auto"/>
              </w:rPr>
            </w:pPr>
            <w:r>
              <w:rPr>
                <w:rFonts w:ascii="Times New Roman" w:cs="Times New Roman" w:eastAsia="Times New Roman" w:hAnsi="Times New Roman"/>
                <w:sz w:val="18"/>
                <w:szCs w:val="18"/>
                <w:color w:val="auto"/>
              </w:rPr>
              <w:t>S-2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1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RECENT DEVELOPMENTS</w:t>
            </w:r>
          </w:p>
        </w:tc>
        <w:tc>
          <w:tcPr>
            <w:tcW w:w="7300" w:type="dxa"/>
            <w:vAlign w:val="bottom"/>
            <w:gridSpan w:val="13"/>
          </w:tcPr>
          <w:p>
            <w:pPr>
              <w:spacing w:after="0"/>
              <w:rPr>
                <w:sz w:val="17"/>
                <w:szCs w:val="17"/>
                <w:color w:val="auto"/>
              </w:rPr>
            </w:pPr>
          </w:p>
        </w:tc>
        <w:tc>
          <w:tcPr>
            <w:tcW w:w="1480" w:type="dxa"/>
            <w:vAlign w:val="bottom"/>
          </w:tcPr>
          <w:p>
            <w:pPr>
              <w:ind w:left="1080"/>
              <w:spacing w:after="0" w:line="196" w:lineRule="exact"/>
              <w:rPr>
                <w:sz w:val="20"/>
                <w:szCs w:val="20"/>
                <w:color w:val="auto"/>
              </w:rPr>
            </w:pPr>
            <w:r>
              <w:rPr>
                <w:rFonts w:ascii="Times New Roman" w:cs="Times New Roman" w:eastAsia="Times New Roman" w:hAnsi="Times New Roman"/>
                <w:sz w:val="18"/>
                <w:szCs w:val="18"/>
                <w:color w:val="auto"/>
              </w:rPr>
              <w:t>S-3</w:t>
            </w:r>
          </w:p>
        </w:tc>
      </w:tr>
      <w:tr>
        <w:trPr>
          <w:trHeight w:val="196"/>
        </w:trPr>
        <w:tc>
          <w:tcPr>
            <w:tcW w:w="120" w:type="dxa"/>
            <w:vAlign w:val="bottom"/>
          </w:tcPr>
          <w:p>
            <w:pPr>
              <w:spacing w:after="0"/>
              <w:rPr>
                <w:sz w:val="17"/>
                <w:szCs w:val="17"/>
                <w:color w:val="auto"/>
              </w:rPr>
            </w:pPr>
          </w:p>
        </w:tc>
        <w:tc>
          <w:tcPr>
            <w:tcW w:w="94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COMPANY INFORMATION</w:t>
            </w:r>
          </w:p>
        </w:tc>
        <w:tc>
          <w:tcPr>
            <w:tcW w:w="1480" w:type="dxa"/>
            <w:vAlign w:val="bottom"/>
          </w:tcPr>
          <w:p>
            <w:pPr>
              <w:ind w:left="1080"/>
              <w:spacing w:after="0" w:line="196" w:lineRule="exact"/>
              <w:rPr>
                <w:sz w:val="20"/>
                <w:szCs w:val="20"/>
                <w:color w:val="auto"/>
              </w:rPr>
            </w:pPr>
            <w:r>
              <w:rPr>
                <w:rFonts w:ascii="Times New Roman" w:cs="Times New Roman" w:eastAsia="Times New Roman" w:hAnsi="Times New Roman"/>
                <w:sz w:val="18"/>
                <w:szCs w:val="18"/>
                <w:color w:val="auto"/>
              </w:rPr>
              <w:t>S-4</w:t>
            </w:r>
          </w:p>
        </w:tc>
      </w:tr>
      <w:tr>
        <w:trPr>
          <w:trHeight w:val="196"/>
        </w:trPr>
        <w:tc>
          <w:tcPr>
            <w:tcW w:w="1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880" w:type="dxa"/>
            <w:vAlign w:val="bottom"/>
            <w:tcBorders>
              <w:top w:val="single" w:sz="8" w:color="0000EE"/>
            </w:tcBorders>
            <w:gridSpan w:val="8"/>
          </w:tcPr>
          <w:p>
            <w:pPr>
              <w:spacing w:after="0"/>
              <w:rPr>
                <w:sz w:val="17"/>
                <w:szCs w:val="17"/>
                <w:color w:val="auto"/>
              </w:rPr>
            </w:pPr>
          </w:p>
        </w:tc>
        <w:tc>
          <w:tcPr>
            <w:tcW w:w="7320" w:type="dxa"/>
            <w:vAlign w:val="bottom"/>
            <w:gridSpan w:val="14"/>
          </w:tcPr>
          <w:p>
            <w:pPr>
              <w:spacing w:after="0"/>
              <w:rPr>
                <w:sz w:val="17"/>
                <w:szCs w:val="17"/>
                <w:color w:val="auto"/>
              </w:rPr>
            </w:pPr>
          </w:p>
        </w:tc>
        <w:tc>
          <w:tcPr>
            <w:tcW w:w="1480" w:type="dxa"/>
            <w:vAlign w:val="bottom"/>
          </w:tcPr>
          <w:p>
            <w:pPr>
              <w:ind w:left="1080"/>
              <w:spacing w:after="0" w:line="196" w:lineRule="exact"/>
              <w:rPr>
                <w:sz w:val="20"/>
                <w:szCs w:val="20"/>
                <w:color w:val="auto"/>
              </w:rPr>
            </w:pPr>
            <w:r>
              <w:rPr>
                <w:rFonts w:ascii="Times New Roman" w:cs="Times New Roman" w:eastAsia="Times New Roman" w:hAnsi="Times New Roman"/>
                <w:sz w:val="18"/>
                <w:szCs w:val="18"/>
                <w:color w:val="auto"/>
              </w:rPr>
              <w:t>S-5</w:t>
            </w:r>
          </w:p>
        </w:tc>
      </w:tr>
      <w:tr>
        <w:trPr>
          <w:trHeight w:val="196"/>
        </w:trPr>
        <w:tc>
          <w:tcPr>
            <w:tcW w:w="120" w:type="dxa"/>
            <w:vAlign w:val="bottom"/>
          </w:tcPr>
          <w:p>
            <w:pPr>
              <w:spacing w:after="0"/>
              <w:rPr>
                <w:sz w:val="17"/>
                <w:szCs w:val="17"/>
                <w:color w:val="auto"/>
              </w:rPr>
            </w:pPr>
          </w:p>
        </w:tc>
        <w:tc>
          <w:tcPr>
            <w:tcW w:w="94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480" w:type="dxa"/>
            <w:vAlign w:val="bottom"/>
          </w:tcPr>
          <w:p>
            <w:pPr>
              <w:ind w:left="1080"/>
              <w:spacing w:after="0" w:line="196" w:lineRule="exact"/>
              <w:rPr>
                <w:sz w:val="20"/>
                <w:szCs w:val="20"/>
                <w:color w:val="auto"/>
              </w:rPr>
            </w:pPr>
            <w:r>
              <w:rPr>
                <w:rFonts w:ascii="Times New Roman" w:cs="Times New Roman" w:eastAsia="Times New Roman" w:hAnsi="Times New Roman"/>
                <w:sz w:val="18"/>
                <w:szCs w:val="18"/>
                <w:color w:val="auto"/>
              </w:rPr>
              <w:t>S-7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3700" w:type="dxa"/>
            <w:vAlign w:val="bottom"/>
            <w:gridSpan w:val="2"/>
          </w:tcPr>
          <w:p>
            <w:pPr>
              <w:spacing w:after="0"/>
              <w:rPr>
                <w:sz w:val="17"/>
                <w:szCs w:val="17"/>
                <w:color w:val="auto"/>
              </w:rPr>
            </w:pPr>
          </w:p>
        </w:tc>
        <w:tc>
          <w:tcPr>
            <w:tcW w:w="1480" w:type="dxa"/>
            <w:vAlign w:val="bottom"/>
          </w:tcPr>
          <w:p>
            <w:pPr>
              <w:ind w:left="1080"/>
              <w:spacing w:after="0" w:line="196" w:lineRule="exact"/>
              <w:rPr>
                <w:sz w:val="20"/>
                <w:szCs w:val="20"/>
                <w:color w:val="auto"/>
              </w:rPr>
            </w:pPr>
            <w:r>
              <w:rPr>
                <w:rFonts w:ascii="Times New Roman" w:cs="Times New Roman" w:eastAsia="Times New Roman" w:hAnsi="Times New Roman"/>
                <w:sz w:val="18"/>
                <w:szCs w:val="18"/>
                <w:color w:val="auto"/>
              </w:rPr>
              <w:t>S-12</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900" w:type="dxa"/>
            <w:vAlign w:val="bottom"/>
            <w:gridSpan w:val="18"/>
          </w:tcPr>
          <w:p>
            <w:pPr>
              <w:spacing w:after="0"/>
              <w:rPr>
                <w:sz w:val="17"/>
                <w:szCs w:val="17"/>
                <w:color w:val="auto"/>
              </w:rPr>
            </w:pPr>
          </w:p>
        </w:tc>
        <w:tc>
          <w:tcPr>
            <w:tcW w:w="1480" w:type="dxa"/>
            <w:vAlign w:val="bottom"/>
          </w:tcPr>
          <w:p>
            <w:pPr>
              <w:ind w:left="1080"/>
              <w:spacing w:after="0" w:line="196" w:lineRule="exact"/>
              <w:rPr>
                <w:sz w:val="20"/>
                <w:szCs w:val="20"/>
                <w:color w:val="auto"/>
              </w:rPr>
            </w:pPr>
            <w:r>
              <w:rPr>
                <w:rFonts w:ascii="Times New Roman" w:cs="Times New Roman" w:eastAsia="Times New Roman" w:hAnsi="Times New Roman"/>
                <w:sz w:val="18"/>
                <w:szCs w:val="18"/>
                <w:color w:val="auto"/>
              </w:rPr>
              <w:t>S-15</w:t>
            </w:r>
          </w:p>
        </w:tc>
      </w:tr>
      <w:tr>
        <w:trPr>
          <w:trHeight w:val="196"/>
        </w:trPr>
        <w:tc>
          <w:tcPr>
            <w:tcW w:w="12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8620" w:type="dxa"/>
            <w:vAlign w:val="bottom"/>
            <w:gridSpan w:val="24"/>
          </w:tcPr>
          <w:p>
            <w:pPr>
              <w:spacing w:after="0"/>
              <w:rPr>
                <w:sz w:val="17"/>
                <w:szCs w:val="17"/>
                <w:color w:val="auto"/>
              </w:rPr>
            </w:pPr>
          </w:p>
        </w:tc>
        <w:tc>
          <w:tcPr>
            <w:tcW w:w="1480" w:type="dxa"/>
            <w:vAlign w:val="bottom"/>
          </w:tcPr>
          <w:p>
            <w:pPr>
              <w:ind w:left="1080"/>
              <w:spacing w:after="0" w:line="196" w:lineRule="exact"/>
              <w:rPr>
                <w:sz w:val="20"/>
                <w:szCs w:val="20"/>
                <w:color w:val="auto"/>
              </w:rPr>
            </w:pPr>
            <w:r>
              <w:rPr>
                <w:rFonts w:ascii="Times New Roman" w:cs="Times New Roman" w:eastAsia="Times New Roman" w:hAnsi="Times New Roman"/>
                <w:sz w:val="18"/>
                <w:szCs w:val="18"/>
                <w:color w:val="auto"/>
              </w:rPr>
              <w:t>S-16</w:t>
            </w:r>
          </w:p>
        </w:tc>
      </w:tr>
      <w:tr>
        <w:trPr>
          <w:trHeight w:val="196"/>
        </w:trPr>
        <w:tc>
          <w:tcPr>
            <w:tcW w:w="120" w:type="dxa"/>
            <w:vAlign w:val="bottom"/>
          </w:tcPr>
          <w:p>
            <w:pPr>
              <w:spacing w:after="0"/>
              <w:rPr>
                <w:sz w:val="17"/>
                <w:szCs w:val="17"/>
                <w:color w:val="auto"/>
              </w:rPr>
            </w:pPr>
          </w:p>
        </w:tc>
        <w:tc>
          <w:tcPr>
            <w:tcW w:w="456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THE SECURITIES WE ARE OFFERING</w:t>
            </w:r>
          </w:p>
        </w:tc>
        <w:tc>
          <w:tcPr>
            <w:tcW w:w="4920" w:type="dxa"/>
            <w:vAlign w:val="bottom"/>
            <w:gridSpan w:val="4"/>
          </w:tcPr>
          <w:p>
            <w:pPr>
              <w:spacing w:after="0"/>
              <w:rPr>
                <w:sz w:val="17"/>
                <w:szCs w:val="17"/>
                <w:color w:val="auto"/>
              </w:rPr>
            </w:pPr>
          </w:p>
        </w:tc>
        <w:tc>
          <w:tcPr>
            <w:tcW w:w="1480" w:type="dxa"/>
            <w:vAlign w:val="bottom"/>
          </w:tcPr>
          <w:p>
            <w:pPr>
              <w:ind w:left="1080"/>
              <w:spacing w:after="0" w:line="196" w:lineRule="exact"/>
              <w:rPr>
                <w:sz w:val="20"/>
                <w:szCs w:val="20"/>
                <w:color w:val="auto"/>
              </w:rPr>
            </w:pPr>
            <w:r>
              <w:rPr>
                <w:rFonts w:ascii="Times New Roman" w:cs="Times New Roman" w:eastAsia="Times New Roman" w:hAnsi="Times New Roman"/>
                <w:sz w:val="18"/>
                <w:szCs w:val="18"/>
                <w:color w:val="auto"/>
              </w:rPr>
              <w:t>S-18</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7900" w:type="dxa"/>
            <w:vAlign w:val="bottom"/>
            <w:gridSpan w:val="18"/>
          </w:tcPr>
          <w:p>
            <w:pPr>
              <w:spacing w:after="0"/>
              <w:rPr>
                <w:sz w:val="17"/>
                <w:szCs w:val="17"/>
                <w:color w:val="auto"/>
              </w:rPr>
            </w:pPr>
          </w:p>
        </w:tc>
        <w:tc>
          <w:tcPr>
            <w:tcW w:w="1480" w:type="dxa"/>
            <w:vAlign w:val="bottom"/>
          </w:tcPr>
          <w:p>
            <w:pPr>
              <w:ind w:left="1080"/>
              <w:spacing w:after="0" w:line="196" w:lineRule="exact"/>
              <w:rPr>
                <w:sz w:val="20"/>
                <w:szCs w:val="20"/>
                <w:color w:val="auto"/>
              </w:rPr>
            </w:pPr>
            <w:r>
              <w:rPr>
                <w:rFonts w:ascii="Times New Roman" w:cs="Times New Roman" w:eastAsia="Times New Roman" w:hAnsi="Times New Roman"/>
                <w:sz w:val="18"/>
                <w:szCs w:val="18"/>
                <w:color w:val="auto"/>
              </w:rPr>
              <w:t>S-20</w:t>
            </w:r>
          </w:p>
        </w:tc>
      </w:tr>
      <w:tr>
        <w:trPr>
          <w:trHeight w:val="196"/>
        </w:trPr>
        <w:tc>
          <w:tcPr>
            <w:tcW w:w="120" w:type="dxa"/>
            <w:vAlign w:val="bottom"/>
          </w:tcPr>
          <w:p>
            <w:pPr>
              <w:spacing w:after="0"/>
              <w:rPr>
                <w:sz w:val="17"/>
                <w:szCs w:val="17"/>
                <w:color w:val="auto"/>
              </w:rPr>
            </w:pPr>
          </w:p>
        </w:tc>
        <w:tc>
          <w:tcPr>
            <w:tcW w:w="94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CONSEQUENCES TO U.S. HOLDERS AND NON-U.S. HOLDERS</w:t>
            </w:r>
          </w:p>
        </w:tc>
        <w:tc>
          <w:tcPr>
            <w:tcW w:w="1480" w:type="dxa"/>
            <w:vAlign w:val="bottom"/>
          </w:tcPr>
          <w:p>
            <w:pPr>
              <w:ind w:left="1080"/>
              <w:spacing w:after="0" w:line="196" w:lineRule="exact"/>
              <w:rPr>
                <w:sz w:val="20"/>
                <w:szCs w:val="20"/>
                <w:color w:val="auto"/>
              </w:rPr>
            </w:pPr>
            <w:r>
              <w:rPr>
                <w:rFonts w:ascii="Times New Roman" w:cs="Times New Roman" w:eastAsia="Times New Roman" w:hAnsi="Times New Roman"/>
                <w:sz w:val="18"/>
                <w:szCs w:val="18"/>
                <w:color w:val="auto"/>
              </w:rPr>
              <w:t>S-21</w:t>
            </w:r>
          </w:p>
        </w:tc>
      </w:tr>
      <w:tr>
        <w:trPr>
          <w:trHeight w:val="196"/>
        </w:trPr>
        <w:tc>
          <w:tcPr>
            <w:tcW w:w="120" w:type="dxa"/>
            <w:vAlign w:val="bottom"/>
          </w:tcPr>
          <w:p>
            <w:pPr>
              <w:spacing w:after="0"/>
              <w:rPr>
                <w:sz w:val="17"/>
                <w:szCs w:val="17"/>
                <w:color w:val="auto"/>
              </w:rPr>
            </w:pPr>
          </w:p>
        </w:tc>
        <w:tc>
          <w:tcPr>
            <w:tcW w:w="8380" w:type="dxa"/>
            <w:vAlign w:val="bottom"/>
            <w:tcBorders>
              <w:top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1100" w:type="dxa"/>
            <w:vAlign w:val="bottom"/>
          </w:tcPr>
          <w:p>
            <w:pPr>
              <w:spacing w:after="0"/>
              <w:rPr>
                <w:sz w:val="17"/>
                <w:szCs w:val="17"/>
                <w:color w:val="auto"/>
              </w:rPr>
            </w:pPr>
          </w:p>
        </w:tc>
        <w:tc>
          <w:tcPr>
            <w:tcW w:w="1480" w:type="dxa"/>
            <w:vAlign w:val="bottom"/>
          </w:tcPr>
          <w:p>
            <w:pPr>
              <w:ind w:left="1080"/>
              <w:spacing w:after="0" w:line="196" w:lineRule="exact"/>
              <w:rPr>
                <w:sz w:val="20"/>
                <w:szCs w:val="20"/>
                <w:color w:val="auto"/>
              </w:rPr>
            </w:pPr>
            <w:r>
              <w:rPr>
                <w:rFonts w:ascii="Times New Roman" w:cs="Times New Roman" w:eastAsia="Times New Roman" w:hAnsi="Times New Roman"/>
                <w:sz w:val="18"/>
                <w:szCs w:val="18"/>
                <w:color w:val="auto"/>
              </w:rPr>
              <w:t>S-27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4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8020" w:type="dxa"/>
            <w:vAlign w:val="bottom"/>
            <w:gridSpan w:val="20"/>
          </w:tcPr>
          <w:p>
            <w:pPr>
              <w:spacing w:after="0"/>
              <w:rPr>
                <w:sz w:val="17"/>
                <w:szCs w:val="17"/>
                <w:color w:val="auto"/>
              </w:rPr>
            </w:pPr>
          </w:p>
        </w:tc>
        <w:tc>
          <w:tcPr>
            <w:tcW w:w="1480" w:type="dxa"/>
            <w:vAlign w:val="bottom"/>
          </w:tcPr>
          <w:p>
            <w:pPr>
              <w:ind w:left="1080"/>
              <w:spacing w:after="0" w:line="196" w:lineRule="exact"/>
              <w:rPr>
                <w:sz w:val="20"/>
                <w:szCs w:val="20"/>
                <w:color w:val="auto"/>
              </w:rPr>
            </w:pPr>
            <w:r>
              <w:rPr>
                <w:rFonts w:ascii="Times New Roman" w:cs="Times New Roman" w:eastAsia="Times New Roman" w:hAnsi="Times New Roman"/>
                <w:sz w:val="18"/>
                <w:szCs w:val="18"/>
                <w:color w:val="auto"/>
              </w:rPr>
              <w:t>S-33</w:t>
            </w:r>
          </w:p>
        </w:tc>
      </w:tr>
      <w:tr>
        <w:trPr>
          <w:trHeight w:val="196"/>
        </w:trPr>
        <w:tc>
          <w:tcPr>
            <w:tcW w:w="120" w:type="dxa"/>
            <w:vAlign w:val="bottom"/>
          </w:tcPr>
          <w:p>
            <w:pPr>
              <w:spacing w:after="0"/>
              <w:rPr>
                <w:sz w:val="17"/>
                <w:szCs w:val="17"/>
                <w:color w:val="auto"/>
              </w:rPr>
            </w:pPr>
          </w:p>
        </w:tc>
        <w:tc>
          <w:tcPr>
            <w:tcW w:w="94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1480" w:type="dxa"/>
            <w:vAlign w:val="bottom"/>
          </w:tcPr>
          <w:p>
            <w:pPr>
              <w:ind w:left="1080"/>
              <w:spacing w:after="0" w:line="196" w:lineRule="exact"/>
              <w:rPr>
                <w:sz w:val="20"/>
                <w:szCs w:val="20"/>
                <w:color w:val="auto"/>
              </w:rPr>
            </w:pPr>
            <w:r>
              <w:rPr>
                <w:rFonts w:ascii="Times New Roman" w:cs="Times New Roman" w:eastAsia="Times New Roman" w:hAnsi="Times New Roman"/>
                <w:sz w:val="18"/>
                <w:szCs w:val="18"/>
                <w:color w:val="auto"/>
              </w:rPr>
              <w:t>S-33</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4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480" w:type="dxa"/>
            <w:vAlign w:val="bottom"/>
          </w:tcPr>
          <w:p>
            <w:pPr>
              <w:ind w:left="1080"/>
              <w:spacing w:after="0" w:line="196" w:lineRule="exact"/>
              <w:rPr>
                <w:sz w:val="20"/>
                <w:szCs w:val="20"/>
                <w:color w:val="auto"/>
              </w:rPr>
            </w:pPr>
            <w:r>
              <w:rPr>
                <w:rFonts w:ascii="Times New Roman" w:cs="Times New Roman" w:eastAsia="Times New Roman" w:hAnsi="Times New Roman"/>
                <w:sz w:val="18"/>
                <w:szCs w:val="18"/>
                <w:color w:val="auto"/>
              </w:rPr>
              <w:t>S-33</w:t>
            </w:r>
          </w:p>
        </w:tc>
      </w:tr>
      <w:tr>
        <w:trPr>
          <w:trHeight w:val="20"/>
        </w:trPr>
        <w:tc>
          <w:tcPr>
            <w:tcW w:w="120" w:type="dxa"/>
            <w:vAlign w:val="bottom"/>
          </w:tcPr>
          <w:p>
            <w:pPr>
              <w:spacing w:after="0" w:line="20" w:lineRule="exact"/>
              <w:rPr>
                <w:sz w:val="1"/>
                <w:szCs w:val="1"/>
                <w:color w:val="auto"/>
              </w:rPr>
            </w:pPr>
          </w:p>
        </w:tc>
        <w:tc>
          <w:tcPr>
            <w:tcW w:w="150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18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4300" w:type="dxa"/>
            <w:vAlign w:val="bottom"/>
            <w:gridSpan w:val="3"/>
          </w:tcPr>
          <w:p>
            <w:pPr>
              <w:spacing w:after="0"/>
              <w:rPr>
                <w:sz w:val="17"/>
                <w:szCs w:val="17"/>
                <w:color w:val="auto"/>
              </w:rPr>
            </w:pPr>
          </w:p>
        </w:tc>
        <w:tc>
          <w:tcPr>
            <w:tcW w:w="1480" w:type="dxa"/>
            <w:vAlign w:val="bottom"/>
          </w:tcPr>
          <w:p>
            <w:pPr>
              <w:ind w:left="1080"/>
              <w:spacing w:after="0" w:line="196" w:lineRule="exact"/>
              <w:rPr>
                <w:sz w:val="20"/>
                <w:szCs w:val="20"/>
                <w:color w:val="auto"/>
              </w:rPr>
            </w:pPr>
            <w:r>
              <w:rPr>
                <w:rFonts w:ascii="Times New Roman" w:cs="Times New Roman" w:eastAsia="Times New Roman" w:hAnsi="Times New Roman"/>
                <w:sz w:val="18"/>
                <w:szCs w:val="18"/>
                <w:color w:val="auto"/>
              </w:rPr>
              <w:t>S-33</w:t>
            </w:r>
          </w:p>
        </w:tc>
      </w:tr>
      <w:tr>
        <w:trPr>
          <w:trHeight w:val="561"/>
        </w:trPr>
        <w:tc>
          <w:tcPr>
            <w:tcW w:w="120" w:type="dxa"/>
            <w:vAlign w:val="bottom"/>
          </w:tcPr>
          <w:p>
            <w:pPr>
              <w:spacing w:after="0"/>
              <w:rPr>
                <w:sz w:val="24"/>
                <w:szCs w:val="24"/>
                <w:color w:val="auto"/>
              </w:rPr>
            </w:pPr>
          </w:p>
        </w:tc>
        <w:tc>
          <w:tcPr>
            <w:tcW w:w="948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148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948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150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4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120" w:type="dxa"/>
            <w:vAlign w:val="bottom"/>
          </w:tcPr>
          <w:p>
            <w:pPr>
              <w:spacing w:after="0" w:line="20" w:lineRule="exact"/>
              <w:rPr>
                <w:sz w:val="1"/>
                <w:szCs w:val="1"/>
                <w:color w:val="auto"/>
              </w:rPr>
            </w:pPr>
          </w:p>
        </w:tc>
        <w:tc>
          <w:tcPr>
            <w:tcW w:w="150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18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4300" w:type="dxa"/>
            <w:vAlign w:val="bottom"/>
            <w:gridSpan w:val="3"/>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3700" w:type="dxa"/>
            <w:vAlign w:val="bottom"/>
            <w:gridSpan w:val="2"/>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20" w:type="dxa"/>
            <w:vAlign w:val="bottom"/>
          </w:tcPr>
          <w:p>
            <w:pPr>
              <w:spacing w:after="0"/>
              <w:rPr>
                <w:sz w:val="17"/>
                <w:szCs w:val="17"/>
                <w:color w:val="auto"/>
              </w:rPr>
            </w:pPr>
          </w:p>
        </w:tc>
        <w:tc>
          <w:tcPr>
            <w:tcW w:w="15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LARIMAR</w:t>
            </w:r>
          </w:p>
        </w:tc>
        <w:tc>
          <w:tcPr>
            <w:tcW w:w="7980" w:type="dxa"/>
            <w:vAlign w:val="bottom"/>
            <w:gridSpan w:val="19"/>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20" w:type="dxa"/>
            <w:vAlign w:val="bottom"/>
          </w:tcPr>
          <w:p>
            <w:pPr>
              <w:spacing w:after="0"/>
              <w:rPr>
                <w:sz w:val="17"/>
                <w:szCs w:val="17"/>
                <w:color w:val="auto"/>
              </w:rPr>
            </w:pPr>
          </w:p>
        </w:tc>
        <w:tc>
          <w:tcPr>
            <w:tcW w:w="94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12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5600" w:type="dxa"/>
            <w:vAlign w:val="bottom"/>
            <w:gridSpan w:val="5"/>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900" w:type="dxa"/>
            <w:vAlign w:val="bottom"/>
            <w:gridSpan w:val="18"/>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120" w:type="dxa"/>
            <w:vAlign w:val="bottom"/>
          </w:tcPr>
          <w:p>
            <w:pPr>
              <w:spacing w:after="0"/>
              <w:rPr>
                <w:sz w:val="17"/>
                <w:szCs w:val="17"/>
                <w:color w:val="auto"/>
              </w:rPr>
            </w:pPr>
          </w:p>
        </w:tc>
        <w:tc>
          <w:tcPr>
            <w:tcW w:w="94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120" w:type="dxa"/>
            <w:vAlign w:val="bottom"/>
          </w:tcPr>
          <w:p>
            <w:pPr>
              <w:spacing w:after="0" w:line="20" w:lineRule="exact"/>
              <w:rPr>
                <w:sz w:val="1"/>
                <w:szCs w:val="1"/>
                <w:color w:val="auto"/>
              </w:rPr>
            </w:pPr>
          </w:p>
        </w:tc>
        <w:tc>
          <w:tcPr>
            <w:tcW w:w="1860" w:type="dxa"/>
            <w:vAlign w:val="bottom"/>
            <w:tcBorders>
              <w:right w:val="single" w:sz="8" w:color="0000EE"/>
            </w:tcBorders>
            <w:gridSpan w:val="9"/>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5600" w:type="dxa"/>
            <w:vAlign w:val="bottom"/>
            <w:gridSpan w:val="5"/>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2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6460" w:type="dxa"/>
            <w:vAlign w:val="bottom"/>
            <w:gridSpan w:val="9"/>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120" w:type="dxa"/>
            <w:vAlign w:val="bottom"/>
          </w:tcPr>
          <w:p>
            <w:pPr>
              <w:spacing w:after="0"/>
              <w:rPr>
                <w:sz w:val="17"/>
                <w:szCs w:val="17"/>
                <w:color w:val="auto"/>
              </w:rPr>
            </w:pPr>
          </w:p>
        </w:tc>
        <w:tc>
          <w:tcPr>
            <w:tcW w:w="24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7000" w:type="dxa"/>
            <w:vAlign w:val="bottom"/>
            <w:gridSpan w:val="11"/>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20" w:type="dxa"/>
            <w:vAlign w:val="bottom"/>
          </w:tcPr>
          <w:p>
            <w:pPr>
              <w:spacing w:after="0"/>
              <w:rPr>
                <w:sz w:val="17"/>
                <w:szCs w:val="17"/>
                <w:color w:val="auto"/>
              </w:rPr>
            </w:pPr>
          </w:p>
        </w:tc>
        <w:tc>
          <w:tcPr>
            <w:tcW w:w="20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7460" w:type="dxa"/>
            <w:vAlign w:val="bottom"/>
            <w:gridSpan w:val="16"/>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120" w:type="dxa"/>
            <w:vAlign w:val="bottom"/>
          </w:tcPr>
          <w:p>
            <w:pPr>
              <w:spacing w:after="0"/>
              <w:rPr>
                <w:sz w:val="17"/>
                <w:szCs w:val="17"/>
                <w:color w:val="auto"/>
              </w:rPr>
            </w:pPr>
          </w:p>
        </w:tc>
        <w:tc>
          <w:tcPr>
            <w:tcW w:w="94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SUBSCRIPTION RIGHTS</w:t>
            </w: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120" w:type="dxa"/>
            <w:vAlign w:val="bottom"/>
          </w:tcPr>
          <w:p>
            <w:pPr>
              <w:spacing w:after="0"/>
              <w:rPr>
                <w:sz w:val="17"/>
                <w:szCs w:val="17"/>
                <w:color w:val="auto"/>
              </w:rPr>
            </w:pPr>
          </w:p>
        </w:tc>
        <w:tc>
          <w:tcPr>
            <w:tcW w:w="186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GLOBAL SECURITIES</w:t>
            </w:r>
          </w:p>
        </w:tc>
        <w:tc>
          <w:tcPr>
            <w:tcW w:w="2020" w:type="dxa"/>
            <w:vAlign w:val="bottom"/>
            <w:tcBorders>
              <w:top w:val="single" w:sz="8" w:color="0000EE"/>
            </w:tcBorders>
            <w:gridSpan w:val="12"/>
          </w:tcPr>
          <w:p>
            <w:pPr>
              <w:spacing w:after="0"/>
              <w:rPr>
                <w:sz w:val="17"/>
                <w:szCs w:val="17"/>
                <w:color w:val="auto"/>
              </w:rPr>
            </w:pPr>
          </w:p>
        </w:tc>
        <w:tc>
          <w:tcPr>
            <w:tcW w:w="5600" w:type="dxa"/>
            <w:vAlign w:val="bottom"/>
            <w:gridSpan w:val="5"/>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120" w:type="dxa"/>
            <w:vAlign w:val="bottom"/>
          </w:tcPr>
          <w:p>
            <w:pPr>
              <w:spacing w:after="0"/>
              <w:rPr>
                <w:sz w:val="17"/>
                <w:szCs w:val="17"/>
                <w:color w:val="auto"/>
              </w:rPr>
            </w:pPr>
          </w:p>
        </w:tc>
        <w:tc>
          <w:tcPr>
            <w:tcW w:w="94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5"/>
          </w:tcPr>
          <w:p>
            <w:pPr>
              <w:spacing w:after="0"/>
              <w:rPr>
                <w:sz w:val="17"/>
                <w:szCs w:val="17"/>
                <w:color w:val="auto"/>
              </w:rPr>
            </w:pPr>
          </w:p>
        </w:tc>
        <w:tc>
          <w:tcPr>
            <w:tcW w:w="7440" w:type="dxa"/>
            <w:vAlign w:val="bottom"/>
            <w:gridSpan w:val="15"/>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120" w:type="dxa"/>
            <w:vAlign w:val="bottom"/>
          </w:tcPr>
          <w:p>
            <w:pPr>
              <w:spacing w:after="0"/>
              <w:rPr>
                <w:sz w:val="17"/>
                <w:szCs w:val="17"/>
                <w:color w:val="auto"/>
              </w:rPr>
            </w:pPr>
          </w:p>
        </w:tc>
        <w:tc>
          <w:tcPr>
            <w:tcW w:w="94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46"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18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form part of a registration statement on Form S-3 that we filed with the Securities and Exchange Commission, or SEC, utilizing a “shelf” registration process. This document contains two parts. The first part consists of this prospectus supplement, which provides you with specific information about this offering. The second part, the accompanying prospectus, provides more general information, some of which may not apply to this offering. This prospectus supplement may add, update or change information contained in the accompanying prospectus. To the extent that any statement we make in this prospectus supplement is inconsistent with statements made in the accompanying prospectus or any documents incorporated by reference herein or therein, the statements made in this prospectus supplement will be deemed to modify or supersede those made in the accompanying prospectus and such documents incorporated by reference herein and therein. You should read this prospectus supplement and the accompanying prospectus, including the information incorporated by reference herein and therein, and any related free writing prospectus that we have authorized for use in connection with this offering.</w:t>
      </w:r>
    </w:p>
    <w:p>
      <w:pPr>
        <w:spacing w:after="0" w:line="18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that we have included or incorporated by reference in this prospectus supplement, the accompanying prospectus and any related free writing prospectus that we may authorize to be provided to you. We have not, and the underwriters have not, authorized anyone to give any information or to make any representation other than those contained or incorporated by reference in this prospectus supplement, the accompanying prospectus or any related free writing prospectus that we may authorize to be provided to you. You must not rely upon any information or representation not contained or incorporated by reference in this prospectus supplement, the accompanying prospectus or any related free writing prospectus. This prospectus supplement, the accompanying prospectus and any related free writing prospectus do not constitute an offer to sell or the solicitation of an offer to buy any securities other than the registered securities to which they relate, nor do this prospectus supplement, the accompanying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88" w:lineRule="exact"/>
        <w:rPr>
          <w:sz w:val="20"/>
          <w:szCs w:val="20"/>
          <w:color w:val="auto"/>
        </w:rPr>
      </w:pPr>
    </w:p>
    <w:p>
      <w:pPr>
        <w:ind w:left="120" w:right="640"/>
        <w:spacing w:after="0" w:line="261" w:lineRule="auto"/>
        <w:rPr>
          <w:sz w:val="20"/>
          <w:szCs w:val="20"/>
          <w:color w:val="auto"/>
        </w:rPr>
      </w:pPr>
      <w:r>
        <w:rPr>
          <w:rFonts w:ascii="Times New Roman" w:cs="Times New Roman" w:eastAsia="Times New Roman" w:hAnsi="Times New Roman"/>
          <w:sz w:val="18"/>
          <w:szCs w:val="18"/>
          <w:color w:val="auto"/>
        </w:rPr>
        <w:t>You should not assume that the information contained in this prospectus supplement, the accompanying prospectus or any related free writing prospectus is accurate on any date subsequent to the date set forth on the front of the document or that any information we have incorporated by reference herein or therein is correct on any date subsequent to the date of the document incorporated by reference, even though this prospectus supplement, the accompanying prospectus or any related free writing prospectus is delivered, or securities are sold, on a later date.</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This prospectus supplement contains or incorporates by reference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or will be filed or have been or will be incorporated by reference as exhibits to the registration statement of which this prospectus supplement forms a part, and you may obtain copies of those documents as described in this prospectus supplement under the heading “Where You Can Find More Information.”</w:t>
      </w:r>
    </w:p>
    <w:p>
      <w:pPr>
        <w:spacing w:after="0" w:line="183"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When we refer to “Larimar,” “we,” “our,” “us” and the “Company” in this prospectus supplement, we mean Larimar Therapeutics, Inc., and its subsidiary unless otherwise specified. When we refer to “you,” we mean the potential holders of the applicable series of securities.</w:t>
      </w:r>
    </w:p>
    <w:p>
      <w:pPr>
        <w:spacing w:after="0" w:line="162" w:lineRule="exact"/>
        <w:rPr>
          <w:sz w:val="20"/>
          <w:szCs w:val="20"/>
          <w:color w:val="auto"/>
        </w:rPr>
      </w:pPr>
    </w:p>
    <w:p>
      <w:pPr>
        <w:ind w:left="120" w:right="160"/>
        <w:spacing w:after="0" w:line="216" w:lineRule="auto"/>
        <w:rPr>
          <w:sz w:val="20"/>
          <w:szCs w:val="20"/>
          <w:color w:val="auto"/>
        </w:rPr>
      </w:pPr>
      <w:r>
        <w:rPr>
          <w:rFonts w:ascii="Times New Roman" w:cs="Times New Roman" w:eastAsia="Times New Roman" w:hAnsi="Times New Roman"/>
          <w:sz w:val="18"/>
          <w:szCs w:val="18"/>
          <w:color w:val="auto"/>
        </w:rPr>
        <w:t>Larimar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our logo are some of our trademarks used in this prospectus supplement. This prospectus supplement may also include trademarks, tradenames, and service marks that are the property of other organizations. Solely for convenience, our trademarks and tradenames referred to in this prospectus supplement and the accompanying prospectus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those references are not intended to indicate, in any way, that we will not assert, to the fullest extent under applicable law, our rights, or the right of the applicable licensor to these trademarks and tradenames.</w:t>
      </w:r>
    </w:p>
    <w:p>
      <w:pPr>
        <w:spacing w:after="0" w:line="200" w:lineRule="exact"/>
        <w:rPr>
          <w:sz w:val="20"/>
          <w:szCs w:val="20"/>
          <w:color w:val="auto"/>
        </w:rPr>
      </w:pPr>
    </w:p>
    <w:p>
      <w:pPr>
        <w:spacing w:after="0" w:line="29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21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160"/>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description about us, our business and this offering highlights selected information contained elsewhere in this prospectus supplement and the accompanying prospectus or incorporated in this prospectus supplement and the accompanying prospectus by reference. This summary does not contain all of the information you should consider before deciding to invest in our securities. You should carefully read this entire prospectus supplement, the accompanying prospectus and any free writing prospectus with respect to this offering filed by us with the SEC, including each of the documents incorporated herein or therein by reference, before making an investment decision. Investors should carefully consider the information set forth under “Risk Factors” on page S-7 and in the documents incorporated by reference into this prospectus supplement and the accompanying prospectus.</w:t>
      </w:r>
    </w:p>
    <w:p>
      <w:pPr>
        <w:spacing w:after="0" w:line="3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left="300" w:right="40"/>
        <w:spacing w:after="0" w:line="255" w:lineRule="auto"/>
        <w:rPr>
          <w:sz w:val="20"/>
          <w:szCs w:val="20"/>
          <w:color w:val="auto"/>
        </w:rPr>
      </w:pPr>
      <w:r>
        <w:rPr>
          <w:rFonts w:ascii="Times New Roman" w:cs="Times New Roman" w:eastAsia="Times New Roman" w:hAnsi="Times New Roman"/>
          <w:sz w:val="18"/>
          <w:szCs w:val="18"/>
          <w:color w:val="auto"/>
        </w:rPr>
        <w:t>We are a clinical-stage biotechnology company focused on developing treatments for patients suffering from complex rare diseases using our novel cell penetrating peptide, or CPP, technology platform. Our lead product candidate, nomlabofusp (nomlabofusp is the International Nonproprietary Name and the United States Adopted Name for CTI-1601), is a subcutaneously administered, recombinant fusion protein intended to deliver tissue frataxin, or FXN, an essential protein, to the mitochondria of patients with Friedreich’s ataxia, or FA. FA is a rare, progressive, and fatal disease in which patients are unable to produce sufficient FXN due to a genetic abnormality. Currently, there are no treatment options that address the core deficit of FA, low levels of FXN. Nomlabofusp represents the first potential therapy designed to systemically increase FXN levels in patients with FA.</w:t>
      </w:r>
    </w:p>
    <w:p>
      <w:pPr>
        <w:spacing w:after="0" w:line="189" w:lineRule="exact"/>
        <w:rPr>
          <w:sz w:val="20"/>
          <w:szCs w:val="20"/>
          <w:color w:val="auto"/>
        </w:rPr>
      </w:pPr>
    </w:p>
    <w:p>
      <w:pPr>
        <w:ind w:left="300" w:right="40"/>
        <w:spacing w:after="0" w:line="282" w:lineRule="auto"/>
        <w:rPr>
          <w:sz w:val="20"/>
          <w:szCs w:val="20"/>
          <w:color w:val="auto"/>
        </w:rPr>
      </w:pPr>
      <w:r>
        <w:rPr>
          <w:rFonts w:ascii="Times New Roman" w:cs="Times New Roman" w:eastAsia="Times New Roman" w:hAnsi="Times New Roman"/>
          <w:sz w:val="18"/>
          <w:szCs w:val="18"/>
          <w:color w:val="auto"/>
        </w:rPr>
        <w:t>We have completed two Phase 1 clinical trials and a Phase 2 dose exploration trial in adult patients with FA, completed dosing in a PK run-in study in adolescent patients with FA, and have an ongoing Phase 2 open label extension, or OLE, trial in patients with FA.</w:t>
      </w:r>
    </w:p>
    <w:p>
      <w:pPr>
        <w:spacing w:after="0" w:line="162"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The ongoing OLE study is evaluating the safety and tolerability, pharmacokinetics, or PK, and FXN levels in peripheral tissues as well as other exploratory pharmacodynamic markers (lipid profiles and gene expression data) following long-term subcutaneous administration of nomlabofusp. In December 2024, we reported positive initial data from the ongoing OLE study evaluating daily subcutaneous injections of 25 mg of nomlabofusp self-administered or administered by a caregiver. Following this, we announced that we were increasing the dose in the OLE to 50 mg of nomlabofusp daily for then currently enrolled and all future OLE study participants. In March 2025, we announced that our Safety Monitoring Team has deemed anaphylaxis as an adverse drug reaction likely associated with nomlabofusp and therefore, we expect to see additional reactions. To reduce the risk of allergic reactions, including anaphylaxis, we amended the OLE protocol to administer premedication for the first month of dosing. The OLE study is ongoing with seven sites activated and participants continuing to enroll. Active study participants are currently receiving the 50 mg dose of nomlabofusp. We plan to provide an update on OLE data on at least 30 to 40 study participants, some of whom have been receiving nomlabofusp for more than a year, in September 2025.</w:t>
      </w:r>
    </w:p>
    <w:p>
      <w:pPr>
        <w:spacing w:after="0" w:line="194" w:lineRule="exact"/>
        <w:rPr>
          <w:sz w:val="20"/>
          <w:szCs w:val="20"/>
          <w:color w:val="auto"/>
        </w:rPr>
      </w:pPr>
    </w:p>
    <w:p>
      <w:pPr>
        <w:ind w:left="300" w:right="100"/>
        <w:spacing w:after="0" w:line="258" w:lineRule="auto"/>
        <w:rPr>
          <w:sz w:val="20"/>
          <w:szCs w:val="20"/>
          <w:color w:val="auto"/>
        </w:rPr>
      </w:pPr>
      <w:r>
        <w:rPr>
          <w:rFonts w:ascii="Times New Roman" w:cs="Times New Roman" w:eastAsia="Times New Roman" w:hAnsi="Times New Roman"/>
          <w:sz w:val="18"/>
          <w:szCs w:val="18"/>
          <w:color w:val="auto"/>
        </w:rPr>
        <w:t>In January 2025, we initiated dosing of adolescents (12-17 years old) in a PK run-in study for pediatric patients with FA. Study participants in the PK run-in study were randomized 2:1 to receive either nomlabofusp at a weight-base dose expected to match the PK of adults receiving the 50 mg dose, or placebo, daily for seven days. Dosing of this adolescent PK run-in study was completed in March 2025. The data from this cohort is expected to be presented in the nomlabofusp program update in September 2025. We are currently screening and enrolling adolescents in the OLE study.</w:t>
      </w: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40"/>
          </w:cols>
          <w:pgMar w:left="320" w:top="455" w:right="6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64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54" w:lineRule="auto"/>
        <w:rPr>
          <w:sz w:val="20"/>
          <w:szCs w:val="20"/>
          <w:color w:val="auto"/>
        </w:rPr>
      </w:pPr>
      <w:r>
        <w:rPr>
          <w:rFonts w:ascii="Times New Roman" w:cs="Times New Roman" w:eastAsia="Times New Roman" w:hAnsi="Times New Roman"/>
          <w:sz w:val="18"/>
          <w:szCs w:val="18"/>
          <w:color w:val="auto"/>
        </w:rPr>
        <w:t>In June 2025, the FDA provided safety database recommendations for a Biologics License Application, or BLA, seeking accelerated approval, which included evaluating safety in at least 30 participants with continuous study drug exposure for 6-months and a subset of at least 10 of those participants with continuous study drug exposure for 1-year, with the large majority of data coming from participants receiving the 50 mg dose. In a prior communication received in March, FDA stated that it is open to the use of skin FXN concentrations as a reasonably likely surrogate endpoint and acknowledged the submitted data appear to support a relationship between increased skin FXN and relevant tissues such as the heart, dorsal root ganglion, and skeletal muscle. Acceptability of increases in skin FXN for accelerated approval will be decided during future BLA review. We plan to submit our BLA seeking accelerated approval in the second quarter of 2026 to allow for inclusion of the recommended safety data for adults and children.</w:t>
      </w:r>
    </w:p>
    <w:p>
      <w:pPr>
        <w:spacing w:after="0" w:line="192"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The FDA’s Center for Drug Evaluation and Research selected nomlabofusp as one of a few programs for participation in the Support for Clinical Trials Advancing Rare Disease Therapeutics, or START, pilot program. The objective of the program is to accelerate the development of drugs for rare diseases that lead to significant disability or death by facilitating frequent advice and regular communication with the FDA staff to expedite the development of biologics and drugs.</w:t>
      </w:r>
    </w:p>
    <w:p>
      <w:pPr>
        <w:spacing w:after="0" w:line="180" w:lineRule="exact"/>
        <w:rPr>
          <w:sz w:val="20"/>
          <w:szCs w:val="20"/>
          <w:color w:val="auto"/>
        </w:rPr>
      </w:pPr>
    </w:p>
    <w:p>
      <w:pPr>
        <w:ind w:left="300" w:right="40"/>
        <w:spacing w:after="0" w:line="258" w:lineRule="auto"/>
        <w:rPr>
          <w:sz w:val="20"/>
          <w:szCs w:val="20"/>
          <w:color w:val="auto"/>
        </w:rPr>
      </w:pPr>
      <w:r>
        <w:rPr>
          <w:rFonts w:ascii="Times New Roman" w:cs="Times New Roman" w:eastAsia="Times New Roman" w:hAnsi="Times New Roman"/>
          <w:sz w:val="18"/>
          <w:szCs w:val="18"/>
          <w:color w:val="auto"/>
        </w:rPr>
        <w:t>We received access to the Medicines and Healthcare Regulatory Agency Innovative Licensing and Access Pathway, or ILAP, for the treatment of adults and children with FA. ILAP is facilitating patient access to novel treatments by accelerating time to market through opportunities for enhanced engagements with UK regulatory authorities and other stakeholders. Along with the receipt of the ILAP designation, nomlabofusp has already been granted orphan drug designations in the U.S. and the European Union, or the EU, and access to the PRIority MEdicines scheme in the EU.</w:t>
      </w:r>
    </w:p>
    <w:p>
      <w:pPr>
        <w:spacing w:after="0" w:line="183" w:lineRule="exact"/>
        <w:rPr>
          <w:sz w:val="20"/>
          <w:szCs w:val="20"/>
          <w:color w:val="auto"/>
        </w:rPr>
      </w:pPr>
    </w:p>
    <w:p>
      <w:pPr>
        <w:ind w:left="300" w:right="40"/>
        <w:spacing w:after="0" w:line="266" w:lineRule="auto"/>
        <w:rPr>
          <w:sz w:val="20"/>
          <w:szCs w:val="20"/>
          <w:color w:val="auto"/>
        </w:rPr>
      </w:pPr>
      <w:r>
        <w:rPr>
          <w:rFonts w:ascii="Times New Roman" w:cs="Times New Roman" w:eastAsia="Times New Roman" w:hAnsi="Times New Roman"/>
          <w:sz w:val="18"/>
          <w:szCs w:val="18"/>
          <w:color w:val="auto"/>
        </w:rPr>
        <w:t>We believe that our CPP platform, which enables a therapeutic molecule to cross a cell membrane in order to reach intracellular targets, has the potential to enable the treatment of other rare and orphan diseases. We intend to use our proprietary platform to target additional orphan indications characterized by deficiencies in or alterations of intracellular content or activity.</w:t>
      </w:r>
    </w:p>
    <w:p>
      <w:pPr>
        <w:spacing w:after="0" w:line="176" w:lineRule="exact"/>
        <w:rPr>
          <w:sz w:val="20"/>
          <w:szCs w:val="20"/>
          <w:color w:val="auto"/>
        </w:rPr>
      </w:pPr>
    </w:p>
    <w:p>
      <w:pPr>
        <w:jc w:val="both"/>
        <w:ind w:left="300" w:right="360"/>
        <w:spacing w:after="0" w:line="266"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developing nomlabofusp, building our intellectual property portfolio, developing third-party manufacturing capabilities, business planning, raising capital, developing sales and marketing capacities, and providing general and administrative support for such operations.</w:t>
      </w:r>
    </w:p>
    <w:p>
      <w:pPr>
        <w:spacing w:after="0" w:line="38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Certain Unaudited Preliminary Financial Information</w:t>
      </w:r>
    </w:p>
    <w:p>
      <w:pPr>
        <w:spacing w:after="0" w:line="121"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We estimate that our cash, cash equivalents and marketable securities were approximately $138.5 million as of June 30, 2025. This amount is unaudited and preliminary and is subject to completion of financial closing procedures, including the completion of management’s reviews. As a result, this amount reflects our preliminary estimate with respect to such information, based on information currently available for management, and may vary from our actual financial position as of June 30, 2025. Further, this preliminary estimate is not a comprehensive statement or estimate of our financial data or financial condition as of June 30, 2025. The unaudited preliminary financial data included in this prospectus supplement have been prepared by, and are the responsibility of, our management team. PricewaterhouseCoopers LLP, our independent registered public accounting firm, has not audited, reviewed, examined, compiled, nor applied agreed-upon procedures with respect to the unaudited preliminary financial data. Accordingly, PricewaterhouseCoopers LLP does not express an opinion or any other form of assurance with respect thereto. It is possible that we may identify items that require us to make adjustments to the financial information set forth above. This preliminary estimate should not be viewed as a substitute for financial statements prepared in accordance with generally accepted accounting</w:t>
      </w:r>
    </w:p>
    <w:p>
      <w:pPr>
        <w:spacing w:after="0" w:line="31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1159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31159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0"/>
        <w:spacing w:after="0" w:line="254" w:lineRule="auto"/>
        <w:rPr>
          <w:sz w:val="20"/>
          <w:szCs w:val="20"/>
          <w:color w:val="auto"/>
        </w:rPr>
      </w:pPr>
      <w:r>
        <w:rPr>
          <w:rFonts w:ascii="Times New Roman" w:cs="Times New Roman" w:eastAsia="Times New Roman" w:hAnsi="Times New Roman"/>
          <w:sz w:val="18"/>
          <w:szCs w:val="18"/>
          <w:color w:val="auto"/>
        </w:rPr>
        <w:t>principles in the United States and it is not necessarily indicative of the balance to be achieved in any future period. Additional information and disclosure would be required for a more complete understanding of our financial position and results of operations as of June 30, 2025. Accordingly, you should not place undue reliance on this preliminary estimate. This preliminary estimate should be read together with the sections titled “Risk Factors” and “Cautionary Note Regarding Forward-looking Statements,” and under similar headings included in this prospectus supplement, the accompanying prospectus and in the documents incorporated by reference into this prospectus supplement and in the accompanying prospectus as well as our financial statements, related notes and other financial information incorporated by reference in this prospectus supplement and in the accompanying prospectus. We expect to complete our financial statements for the quarter ended June 30, 2025 subsequent to the completion of this offering, and consequently such financial statements will not be available to you prior to investing in this offering.</w:t>
      </w:r>
    </w:p>
    <w:p>
      <w:pPr>
        <w:spacing w:after="0" w:line="40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229" w:lineRule="exact"/>
        <w:rPr>
          <w:sz w:val="20"/>
          <w:szCs w:val="20"/>
          <w:color w:val="auto"/>
        </w:rPr>
      </w:pPr>
    </w:p>
    <w:p>
      <w:pPr>
        <w:ind w:left="300" w:right="160"/>
        <w:spacing w:after="0" w:line="261" w:lineRule="auto"/>
        <w:rPr>
          <w:sz w:val="20"/>
          <w:szCs w:val="20"/>
          <w:color w:val="auto"/>
        </w:rPr>
      </w:pPr>
      <w:r>
        <w:rPr>
          <w:rFonts w:ascii="Times New Roman" w:cs="Times New Roman" w:eastAsia="Times New Roman" w:hAnsi="Times New Roman"/>
          <w:sz w:val="18"/>
          <w:szCs w:val="18"/>
          <w:color w:val="auto"/>
        </w:rPr>
        <w:t xml:space="preserve">We were founded in 2005 as a Delaware corporation under the name Zafgen, Inc. Our principal executive offices are located at Three Bala Plaza East, Suite 506, Bala Cynwyd, PA 19004, and our telephone number is (844) 511-9056. Our website address is </w:t>
      </w:r>
      <w:r>
        <w:rPr>
          <w:rFonts w:ascii="Times New Roman" w:cs="Times New Roman" w:eastAsia="Times New Roman" w:hAnsi="Times New Roman"/>
          <w:sz w:val="18"/>
          <w:szCs w:val="18"/>
          <w:i w:val="1"/>
          <w:iCs w:val="1"/>
          <w:color w:val="auto"/>
        </w:rPr>
        <w:t>www.larimartx.com</w:t>
      </w:r>
      <w:r>
        <w:rPr>
          <w:rFonts w:ascii="Times New Roman" w:cs="Times New Roman" w:eastAsia="Times New Roman" w:hAnsi="Times New Roman"/>
          <w:sz w:val="18"/>
          <w:szCs w:val="18"/>
          <w:color w:val="auto"/>
        </w:rPr>
        <w:t>. The information on, or that can be accessed through, our website is not part of this prospectus supplement or the accompanying prospectus and is not incorporated by reference herein. We have included our website address as an inactive textual reference only.</w:t>
      </w:r>
    </w:p>
    <w:p>
      <w:pPr>
        <w:spacing w:after="0" w:line="180"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8"/>
          <w:szCs w:val="18"/>
          <w:color w:val="auto"/>
        </w:rPr>
        <w:t>In May 2020, we completed our business combination with Chondrial Therapeutics, Inc., or Chondrial, and changed our name from “Zafgen, Inc.” to “Larimar Therapeutics, Inc.” Chondrial was determined to be the accounting acquirer for financial reporting purposes, our historical financials are those of Chondrial and the business conducted by Chondrial became our business.</w:t>
      </w:r>
    </w:p>
    <w:p>
      <w:pPr>
        <w:spacing w:after="0" w:line="29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860"/>
          </w:cols>
          <w:pgMar w:left="320" w:top="455" w:right="7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130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57130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52"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Common stock offered by us</w:t>
      </w:r>
      <w:r>
        <w:rPr>
          <w:sz w:val="20"/>
          <w:szCs w:val="20"/>
          <w:color w:val="auto"/>
        </w:rPr>
        <w:tab/>
      </w:r>
      <w:r>
        <w:rPr>
          <w:rFonts w:ascii="Times New Roman" w:cs="Times New Roman" w:eastAsia="Times New Roman" w:hAnsi="Times New Roman"/>
          <w:sz w:val="18"/>
          <w:szCs w:val="18"/>
          <w:color w:val="auto"/>
        </w:rPr>
        <w:t>            of shares of our common stock.</w:t>
      </w:r>
    </w:p>
    <w:p>
      <w:pPr>
        <w:spacing w:after="0" w:line="266"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Pre-Funded Warrants</w:t>
      </w:r>
      <w:r>
        <w:rPr>
          <w:sz w:val="20"/>
          <w:szCs w:val="20"/>
          <w:color w:val="auto"/>
        </w:rPr>
        <w:tab/>
      </w:r>
      <w:r>
        <w:rPr>
          <w:rFonts w:ascii="Times New Roman" w:cs="Times New Roman" w:eastAsia="Times New Roman" w:hAnsi="Times New Roman"/>
          <w:sz w:val="18"/>
          <w:szCs w:val="18"/>
          <w:color w:val="auto"/>
        </w:rPr>
        <w:t>We are also offering Pre-Funded Warrants to purchase             shares of our common</w:t>
      </w:r>
    </w:p>
    <w:p>
      <w:pPr>
        <w:spacing w:after="0" w:line="31" w:lineRule="exact"/>
        <w:rPr>
          <w:sz w:val="20"/>
          <w:szCs w:val="20"/>
          <w:color w:val="auto"/>
        </w:rPr>
      </w:pPr>
    </w:p>
    <w:p>
      <w:pPr>
        <w:ind w:left="4340" w:right="420"/>
        <w:spacing w:after="0" w:line="251" w:lineRule="auto"/>
        <w:rPr>
          <w:sz w:val="20"/>
          <w:szCs w:val="20"/>
          <w:color w:val="auto"/>
        </w:rPr>
      </w:pPr>
      <w:r>
        <w:rPr>
          <w:rFonts w:ascii="Times New Roman" w:cs="Times New Roman" w:eastAsia="Times New Roman" w:hAnsi="Times New Roman"/>
          <w:sz w:val="18"/>
          <w:szCs w:val="18"/>
          <w:color w:val="auto"/>
        </w:rPr>
        <w:t>stock. The purchase price of each Pre-Funded Warrant is equal to the price at which the share of our common stock is being sold to the public in this offering, minus $0.001, and the exercise price of each Pre-Funded Warrant is $0.001 per share. The Pre-Funded Warrants are exercisable immediately and may be exercised at any time until all of the Pre-Funded Warrants are exercised in full. This offering also relates to the shares of our common stock issuable upon exercise of the Pre-Funded Warrants sold in this offering. See “Description of the Securities We Are Offering” for a discussion on the terms of the Pre-Funded Warrants.</w:t>
      </w:r>
    </w:p>
    <w:p>
      <w:pPr>
        <w:sectPr>
          <w:pgSz w:w="11900" w:h="16838" w:orient="portrait"/>
          <w:cols w:equalWidth="0" w:num="1">
            <w:col w:w="11140"/>
          </w:cols>
          <w:pgMar w:left="320" w:top="455" w:right="439" w:bottom="1440" w:gutter="0" w:footer="0" w:header="0"/>
        </w:sectPr>
      </w:pPr>
    </w:p>
    <w:p>
      <w:pPr>
        <w:spacing w:after="0" w:line="217" w:lineRule="exact"/>
        <w:rPr>
          <w:sz w:val="20"/>
          <w:szCs w:val="20"/>
          <w:color w:val="auto"/>
        </w:rPr>
      </w:pPr>
    </w:p>
    <w:p>
      <w:pPr>
        <w:ind w:left="380" w:hanging="78"/>
        <w:spacing w:after="0" w:line="286" w:lineRule="auto"/>
        <w:rPr>
          <w:sz w:val="20"/>
          <w:szCs w:val="20"/>
          <w:color w:val="auto"/>
        </w:rPr>
      </w:pPr>
      <w:r>
        <w:rPr>
          <w:rFonts w:ascii="Times New Roman" w:cs="Times New Roman" w:eastAsia="Times New Roman" w:hAnsi="Times New Roman"/>
          <w:sz w:val="18"/>
          <w:szCs w:val="18"/>
          <w:b w:val="1"/>
          <w:bCs w:val="1"/>
          <w:color w:val="auto"/>
        </w:rPr>
        <w:t>Underwriters’ option to purchase additional shares of our common stock from us</w:t>
      </w:r>
    </w:p>
    <w:p>
      <w:pPr>
        <w:spacing w:after="0" w:line="398" w:lineRule="exact"/>
        <w:rPr>
          <w:sz w:val="20"/>
          <w:szCs w:val="20"/>
          <w:color w:val="auto"/>
        </w:rPr>
      </w:pPr>
    </w:p>
    <w:p>
      <w:pPr>
        <w:ind w:left="380" w:right="400" w:hanging="78"/>
        <w:spacing w:after="0" w:line="286" w:lineRule="auto"/>
        <w:rPr>
          <w:sz w:val="20"/>
          <w:szCs w:val="20"/>
          <w:color w:val="auto"/>
        </w:rPr>
      </w:pPr>
      <w:r>
        <w:rPr>
          <w:rFonts w:ascii="Times New Roman" w:cs="Times New Roman" w:eastAsia="Times New Roman" w:hAnsi="Times New Roman"/>
          <w:sz w:val="18"/>
          <w:szCs w:val="18"/>
          <w:b w:val="1"/>
          <w:bCs w:val="1"/>
          <w:color w:val="auto"/>
        </w:rPr>
        <w:t>Common stock to be outstanding immediately following this offering</w:t>
      </w:r>
    </w:p>
    <w:p>
      <w:pPr>
        <w:spacing w:after="0" w:line="3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5" w:right="220"/>
        <w:spacing w:after="0" w:line="266" w:lineRule="auto"/>
        <w:rPr>
          <w:sz w:val="20"/>
          <w:szCs w:val="20"/>
          <w:color w:val="auto"/>
        </w:rPr>
      </w:pPr>
      <w:r>
        <w:rPr>
          <w:rFonts w:ascii="Times New Roman" w:cs="Times New Roman" w:eastAsia="Times New Roman" w:hAnsi="Times New Roman"/>
          <w:sz w:val="18"/>
          <w:szCs w:val="18"/>
          <w:color w:val="auto"/>
        </w:rPr>
        <w:t>We have granted the underwriters an option for a period of up to 30 days from the date of this prospectus supplement to purchase up to an additional         shares of our common stock at the public offering price, less the underwriting discount and commissions.</w:t>
      </w:r>
    </w:p>
    <w:p>
      <w:pPr>
        <w:spacing w:after="0" w:line="203" w:lineRule="exact"/>
        <w:rPr>
          <w:sz w:val="20"/>
          <w:szCs w:val="20"/>
          <w:color w:val="auto"/>
        </w:rPr>
      </w:pPr>
    </w:p>
    <w:p>
      <w:pPr>
        <w:ind w:left="5" w:right="280" w:hanging="5"/>
        <w:spacing w:after="0" w:line="266" w:lineRule="auto"/>
        <w:tabs>
          <w:tab w:leader="none" w:pos="18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our common stock (or         shares, if the underwriters exercise their option to purchase additional shares in full), assuming no exercise of any Pre-Funded Warrants issued in this offering.</w:t>
      </w:r>
    </w:p>
    <w:p>
      <w:pPr>
        <w:spacing w:after="0" w:line="203" w:lineRule="exact"/>
        <w:rPr>
          <w:sz w:val="20"/>
          <w:szCs w:val="20"/>
          <w:color w:val="auto"/>
        </w:rPr>
      </w:pPr>
    </w:p>
    <w:p>
      <w:pPr>
        <w:ind w:left="5" w:right="360"/>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from this offering, together with our existing cash, cash equivalents and marketable securities, to support the development of nomlabofusp and other pipeline candidates, and for working capital and general corporate purposes, including research and development expenses and pre-commercialization expenses. See “Use of Proceeds” for a more detailed discussion of our expected use of proceeds.</w:t>
      </w:r>
    </w:p>
    <w:p>
      <w:pPr>
        <w:spacing w:after="0" w:line="200" w:lineRule="exact"/>
        <w:rPr>
          <w:sz w:val="20"/>
          <w:szCs w:val="20"/>
          <w:color w:val="auto"/>
        </w:rPr>
      </w:pPr>
    </w:p>
    <w:p>
      <w:pPr>
        <w:sectPr>
          <w:pgSz w:w="11900" w:h="16838" w:orient="portrait"/>
          <w:cols w:equalWidth="0" w:num="2">
            <w:col w:w="4220" w:space="115"/>
            <w:col w:w="6805"/>
          </w:cols>
          <w:pgMar w:left="320" w:top="455" w:right="439" w:bottom="1440" w:gutter="0" w:footer="0" w:header="0"/>
          <w:type w:val="continuous"/>
        </w:sectPr>
      </w:pPr>
    </w:p>
    <w:p>
      <w:pPr>
        <w:spacing w:after="0" w:line="6"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Indications of Interest</w:t>
            </w: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Deerfield Management, our largest stockholder, and/or certain of its affiliates have</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indicated an interest in purchasing shares of our common stock in this offering. However,</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because indications of interest are not binding agreements or commitments to purchase,</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such Deerfield Funds may decide not to purchase any shares of our common stock in this</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offering or they could purchase fewer shares of our common stock than indicated. In</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addition, the underwriters could determine to sell fewer or not to sell any shares of our</w:t>
            </w:r>
          </w:p>
        </w:tc>
      </w:tr>
      <w:tr>
        <w:trPr>
          <w:trHeight w:val="234"/>
        </w:trPr>
        <w:tc>
          <w:tcPr>
            <w:tcW w:w="3040" w:type="dxa"/>
            <w:vAlign w:val="bottom"/>
          </w:tcPr>
          <w:p>
            <w:pPr>
              <w:spacing w:after="0"/>
              <w:rPr>
                <w:sz w:val="20"/>
                <w:szCs w:val="20"/>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common stock to such Deerfield Funds.</w:t>
            </w:r>
          </w:p>
        </w:tc>
      </w:tr>
      <w:tr>
        <w:trPr>
          <w:trHeight w:val="441"/>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Investing in our securities involves a high degree of risk. See “Risk Factors” beginning on</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page S-7 of this prospectus supplement and page 8 of the accompanying prospectus and</w:t>
            </w:r>
          </w:p>
        </w:tc>
      </w:tr>
      <w:tr>
        <w:trPr>
          <w:trHeight w:val="234"/>
        </w:trPr>
        <w:tc>
          <w:tcPr>
            <w:tcW w:w="3040" w:type="dxa"/>
            <w:vAlign w:val="bottom"/>
          </w:tcPr>
          <w:p>
            <w:pPr>
              <w:spacing w:after="0"/>
              <w:rPr>
                <w:sz w:val="20"/>
                <w:szCs w:val="20"/>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other information</w:t>
            </w:r>
          </w:p>
        </w:tc>
      </w:tr>
      <w:tr>
        <w:trPr>
          <w:trHeight w:val="172"/>
        </w:trPr>
        <w:tc>
          <w:tcPr>
            <w:tcW w:w="3040" w:type="dxa"/>
            <w:vAlign w:val="bottom"/>
            <w:tcBorders>
              <w:bottom w:val="single" w:sz="8" w:color="auto"/>
            </w:tcBorders>
          </w:tcPr>
          <w:p>
            <w:pPr>
              <w:spacing w:after="0"/>
              <w:rPr>
                <w:sz w:val="14"/>
                <w:szCs w:val="14"/>
                <w:color w:val="auto"/>
              </w:rPr>
            </w:pPr>
          </w:p>
        </w:tc>
        <w:tc>
          <w:tcPr>
            <w:tcW w:w="7980" w:type="dxa"/>
            <w:vAlign w:val="bottom"/>
            <w:tcBorders>
              <w:bottom w:val="single" w:sz="8" w:color="auto"/>
            </w:tcBorders>
          </w:tcPr>
          <w:p>
            <w:pPr>
              <w:spacing w:after="0"/>
              <w:rPr>
                <w:sz w:val="14"/>
                <w:szCs w:val="14"/>
                <w:color w:val="auto"/>
              </w:rPr>
            </w:pPr>
          </w:p>
        </w:tc>
      </w:tr>
      <w:tr>
        <w:trPr>
          <w:trHeight w:val="361"/>
        </w:trPr>
        <w:tc>
          <w:tcPr>
            <w:tcW w:w="3040" w:type="dxa"/>
            <w:vAlign w:val="bottom"/>
          </w:tcPr>
          <w:p>
            <w:pPr>
              <w:spacing w:after="0"/>
              <w:rPr>
                <w:sz w:val="24"/>
                <w:szCs w:val="24"/>
                <w:color w:val="auto"/>
              </w:rPr>
            </w:pPr>
          </w:p>
        </w:tc>
        <w:tc>
          <w:tcPr>
            <w:tcW w:w="79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S-5</w:t>
            </w:r>
          </w:p>
        </w:tc>
      </w:tr>
    </w:tbl>
    <w:p>
      <w:pPr>
        <w:sectPr>
          <w:pgSz w:w="11900" w:h="16838" w:orient="portrait"/>
          <w:cols w:equalWidth="0" w:num="1">
            <w:col w:w="11140"/>
          </w:cols>
          <w:pgMar w:left="320" w:top="455" w:right="4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9758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49758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340" w:right="100"/>
        <w:spacing w:after="0" w:line="261" w:lineRule="auto"/>
        <w:rPr>
          <w:sz w:val="20"/>
          <w:szCs w:val="20"/>
          <w:color w:val="auto"/>
        </w:rPr>
      </w:pPr>
      <w:r>
        <w:rPr>
          <w:rFonts w:ascii="Times New Roman" w:cs="Times New Roman" w:eastAsia="Times New Roman" w:hAnsi="Times New Roman"/>
          <w:sz w:val="18"/>
          <w:szCs w:val="18"/>
          <w:color w:val="auto"/>
        </w:rPr>
        <w:t>included in this prospectus supplement, the accompanying prospectus and the documents incorporated by reference in this prospectus supplement and the accompanying prospectus for a discussion of factors you should carefully consider before deciding to invest in our securities.</w:t>
      </w:r>
    </w:p>
    <w:p>
      <w:pPr>
        <w:sectPr>
          <w:pgSz w:w="11900" w:h="16838" w:orient="portrait"/>
          <w:cols w:equalWidth="0" w:num="1">
            <w:col w:w="10940"/>
          </w:cols>
          <w:pgMar w:left="320" w:top="455" w:right="639" w:bottom="1440" w:gutter="0" w:footer="0" w:header="0"/>
        </w:sectPr>
      </w:pP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Nasdaq Global Market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Our common stock is listed on The Nasdaq Global Market under the symbol “LRMR.” There is no established public trading market for the Pre-Funded Warrants, and we do not expect a market to develop. We do not intend to apply for listing of the Pre-Funded Warrants on any securities exchange or other nationally recognized trading system. Without an active trading market, the liquidity of the Pre-Funded Warrants will be limited.</w:t>
      </w:r>
    </w:p>
    <w:p>
      <w:pPr>
        <w:spacing w:after="0" w:line="168"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ind w:left="300" w:right="680"/>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that will be outstanding after this offering is based on 64,027,892 shares of our common stock outstanding as of March 31, 2025, and excludes the following:</w:t>
      </w:r>
    </w:p>
    <w:p>
      <w:pPr>
        <w:spacing w:after="0" w:line="67" w:lineRule="exact"/>
        <w:rPr>
          <w:sz w:val="20"/>
          <w:szCs w:val="20"/>
          <w:color w:val="auto"/>
        </w:rPr>
      </w:pPr>
    </w:p>
    <w:p>
      <w:pPr>
        <w:ind w:left="1240" w:right="26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8,541,489 shares of our common stock issuable upon the exercise of stock options outstanding as of March 31, 2025 at a weighted-average exercise price of $6.71 per share;</w:t>
      </w:r>
    </w:p>
    <w:p>
      <w:pPr>
        <w:spacing w:after="0" w:line="67"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256,700 shares of our common stock issuable upon the exercise of stock options that were granted after March 31, 2025 at a weighted-average exercise price of $2.26 per share;</w:t>
      </w:r>
    </w:p>
    <w:p>
      <w:pPr>
        <w:spacing w:after="0" w:line="67" w:lineRule="exact"/>
        <w:rPr>
          <w:rFonts w:ascii="Times New Roman" w:cs="Times New Roman" w:eastAsia="Times New Roman" w:hAnsi="Times New Roman"/>
          <w:sz w:val="18"/>
          <w:szCs w:val="18"/>
          <w:color w:val="auto"/>
        </w:rPr>
      </w:pPr>
    </w:p>
    <w:p>
      <w:pPr>
        <w:ind w:left="1240" w:right="18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1,023,061 shares of our common stock issuable upon the vesting and settlement of restricted stock units outstanding as of March 31, 2025;</w:t>
      </w:r>
    </w:p>
    <w:p>
      <w:pPr>
        <w:spacing w:after="0" w:line="67" w:lineRule="exact"/>
        <w:rPr>
          <w:sz w:val="20"/>
          <w:szCs w:val="20"/>
          <w:color w:val="auto"/>
        </w:rPr>
      </w:pPr>
    </w:p>
    <w:p>
      <w:pPr>
        <w:ind w:left="820"/>
        <w:spacing w:after="0"/>
        <w:tabs>
          <w:tab w:leader="none" w:pos="12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shares of our common stock issuable upon the exercise of the Pre-Funded Warrants issued as part of this offering;</w:t>
      </w:r>
    </w:p>
    <w:p>
      <w:pPr>
        <w:spacing w:after="0" w:line="131" w:lineRule="exact"/>
        <w:rPr>
          <w:sz w:val="20"/>
          <w:szCs w:val="20"/>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537,542 shares of our common stock available for future issuance as of March 31, 2025 under our 2020 Equity Incentive Plan; and</w:t>
      </w:r>
    </w:p>
    <w:p>
      <w:pPr>
        <w:spacing w:after="0" w:line="130" w:lineRule="exact"/>
        <w:rPr>
          <w:rFonts w:ascii="Times New Roman" w:cs="Times New Roman" w:eastAsia="Times New Roman" w:hAnsi="Times New Roman"/>
          <w:sz w:val="18"/>
          <w:szCs w:val="18"/>
          <w:color w:val="auto"/>
        </w:rPr>
      </w:pPr>
    </w:p>
    <w:p>
      <w:pPr>
        <w:ind w:left="1240" w:right="20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2,552,603 shares of our common stock added to shares available for future issuance on January 1, 2025 as permitted under our 2020 Equity Incentive Plan.</w:t>
      </w:r>
    </w:p>
    <w:p>
      <w:pPr>
        <w:spacing w:after="0" w:line="162" w:lineRule="exact"/>
        <w:rPr>
          <w:sz w:val="20"/>
          <w:szCs w:val="20"/>
          <w:color w:val="auto"/>
        </w:rPr>
      </w:pPr>
    </w:p>
    <w:p>
      <w:pPr>
        <w:jc w:val="both"/>
        <w:ind w:left="300" w:right="480"/>
        <w:spacing w:after="0" w:line="266" w:lineRule="auto"/>
        <w:rPr>
          <w:sz w:val="20"/>
          <w:szCs w:val="20"/>
          <w:color w:val="auto"/>
        </w:rPr>
      </w:pPr>
      <w:r>
        <w:rPr>
          <w:rFonts w:ascii="Times New Roman" w:cs="Times New Roman" w:eastAsia="Times New Roman" w:hAnsi="Times New Roman"/>
          <w:sz w:val="18"/>
          <w:szCs w:val="18"/>
          <w:color w:val="auto"/>
        </w:rPr>
        <w:t>Up to $100.0 million of shares of our common stock may be sold from time to time under the sales agreement, or the Sales Agreement, dated May 9, 2024, for our “at-the-market” program, or the ATM Program, with Guggenheim Securities, LLC, as sales agent. As of the date of this prospectus supplement, no sales have been made under the ATM Program.</w:t>
      </w:r>
    </w:p>
    <w:p>
      <w:pPr>
        <w:spacing w:after="0" w:line="176" w:lineRule="exact"/>
        <w:rPr>
          <w:sz w:val="20"/>
          <w:szCs w:val="20"/>
          <w:color w:val="auto"/>
        </w:rPr>
      </w:pPr>
    </w:p>
    <w:p>
      <w:pPr>
        <w:jc w:val="both"/>
        <w:ind w:left="300" w:right="380"/>
        <w:spacing w:after="0" w:line="266"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supplement assumes no exercise of the outstanding options described above, no exercise by the underwriters of their option to purchase additional shares and no exercise of the Pre-Funded Warrants we are offering in lieu of shares of our common stock to certain investors in this offering.</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940"/>
          </w:cols>
          <w:pgMar w:left="320" w:top="455" w:right="6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Our business, financial condition and results of operations could be materially and adversely affected by any of these risks. If any of these risks occur, the value of our common stock or Pre-Funded Warrants may decline and you may lose all or part of your investment. Before investing in our securities, you should consider carefully the risk factors set forth in this prospectus supplement, the accompanying prospectus and in any free writing prospectus that we have authorized for use in connection with this offering, along with the risk factors described in our most recent Annual Report on Form 10-K, our subsequent Quarterly Reports on Form 10-Q, and any subsequent Annual Reports on Form 10-K, Quarterly Reports on Form 10-Q or Current Reports on Form 8-K we file after the date of this prospectus supplement, as well as other information contained or incorporated by reference into this prospectus supplement and the accompanying prospectus, as updated by our subsequent filings under the Securities Exchange Act of 1934, as amended, or the Exchange Act.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losses and expect to incur substantial future losses. If the offering is not completed or if we do not raise sufficient funds by other means, management may conclude that there is substantial doubt about our ability to continue as a going concern.</w:t>
      </w:r>
    </w:p>
    <w:p>
      <w:pPr>
        <w:spacing w:after="0" w:line="5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As of June 30, 2025, we estimate that we had cash, cash equivalents and marketable securities of $138.5 million. We have incurred significant net losses since inception and expect to incur substantial losses in future periods. Our ability to continue as a going concern is dependent on our ability to generate sufficient cash flows from operations and/or obtain additional capital through financings, equity, debt financings, partnerships, collaborations, other sources, or a combination thereof. Based upon our current operating plan, our current cash, cash equivalents and marketable securities will be sufficient to fund our operations into the second quarter of 2026.</w:t>
      </w:r>
    </w:p>
    <w:p>
      <w:pPr>
        <w:spacing w:after="0" w:line="183"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If this offering is not completed or if we do not subsequently raise sufficient funds through other means, then management may conclude that there is substantial doubt about our ability to continue as a going concern for the twelve months following the filing of our Quarterly Report on Form 10-Q for the period ended June 30, 2025. There is no assurance that we will be successful in obtaining sufficient funding on acceptable terms, if at all. If we are unable to obtain sufficient funding when needed and/or on acceptable terms, we may be required to significantly curtail, delay or discontinue our research and development programs, the manufacturing of clinical and commercial supplies, product portfolio expansion or pre commercialization efforts, which could adversely affect our business prospects, or we may be unable to continue operations.</w:t>
      </w:r>
    </w:p>
    <w:p>
      <w:pPr>
        <w:spacing w:after="0" w:line="187"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substantial doubt about our ability to continue as a going concern may adversely affect our stock price and our ability to raise capital. If we are unable to obtain additional capital, we may not be able to continue our operations on the scope or scale as currently conducted, and that could have a material adverse effect on our business, results of operations and financial condition.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Management will have broad discretion over the use of proceeds from this offering, and may not use the proceeds effectively.</w:t>
      </w:r>
    </w:p>
    <w:p>
      <w:pPr>
        <w:spacing w:after="0" w:line="121"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Our management will have broad discretion with respect to the use of proceeds of this offering, including for any of the purposes described in the section of this prospectus supplement entitled “Use of Proceeds.” You will have limited information concerning our management’s specific intentions regarding the use of the proceeds of this offering and be relying on the judgment of our management regarding the application of the proceeds of this offering. Because of the number and variability of factors that will determine our use of our existing cash, cash equivalents, marketable securities and the net proceeds from this offering, their ultimate use may vary substantially from their currently intended use. The results and effectiveness of the use of proceeds are uncertain, and we could spend the proceeds in ways that you do not agree with or that do not improve our results of</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operations or enhance the value of our common stock. Pending their use, we may invest the net proceeds from this offering in short-term, investment-grade, interest-bearing securities. These investments may not yield a favorable return to our stockholders. Our failure to apply these funds effectively could harm our business, delay the development of our pipeline product candidates and cause the price of our common stock to decline. See “Use of Proceeds” for a more detailed discussion of our expected use of proceeds.</w:t>
      </w:r>
    </w:p>
    <w:p>
      <w:pPr>
        <w:spacing w:after="0" w:line="284"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will experience immediate and substantial dilution in the net tangible book value per share of the common stock or the value of our Pre-Funded Warrants purchased in this offering.</w:t>
      </w:r>
    </w:p>
    <w:p>
      <w:pPr>
        <w:spacing w:after="0" w:line="5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Since the price per share of our common stock or the value of our Pre-Funded Warrants being offered is substantially higher than the net tangible book value per share of our common stock, you will suffer immediate and substantial dilution in the net tangible book value of the common stock or Pre-Funded Warrants you purchase in this offering. The exercise of outstanding stock options, vesting and settlement of restricted stock units or exercise of the Pre-Funded Warrants sold in this offering may result in further dilution of your investment. See “Dilution” for a more detailed discussion of the dilution you will incur if you purchase shares of our common stock in this offering.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Pre-Funded Warrants being offered in this offering.</w:t>
      </w:r>
    </w:p>
    <w:p>
      <w:pPr>
        <w:spacing w:after="0" w:line="121"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being offered in this offering, and we do not expect a market to develop. In addition, we do not intend to apply to list the Pre-Funded Warrants on any securities exchange or nationally recognized trading system, including the Nasdaq Global Market. The liquidity of the trading market in the Pre-Funded Warrants and the sale price, if any, for the Pre-Funded Warrants, may be adversely affected by, among other things: (i) changes in the overall market for the Pre-Funded Warrants; (ii) changes in our financial performance or prospects; (iii) changes or perceived changes in our creditworthiness; (iv) the prospects for companies in the industry generally; (v) the number of holders of the Pre-Funded Warrants; and (vi) the interest of securities dealers in making a market for the Pre-Funded Warrants.</w:t>
      </w:r>
    </w:p>
    <w:p>
      <w:pPr>
        <w:spacing w:after="0" w:line="291" w:lineRule="exact"/>
        <w:rPr>
          <w:sz w:val="20"/>
          <w:szCs w:val="20"/>
          <w:color w:val="auto"/>
        </w:rPr>
      </w:pPr>
    </w:p>
    <w:p>
      <w:pPr>
        <w:ind w:left="120"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Pre-Funded Warrants purchased in this offering will have no rights as common stockholders until such holders exercise their Pre-Funded Warrants and acquire shares of our common stock.</w:t>
      </w:r>
    </w:p>
    <w:p>
      <w:pPr>
        <w:spacing w:after="0" w:line="5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Until holders of the Pre-Funded Warrants exercise their Pre-Funded Warrants and acquire shares of our common stock, such holders will have no rights with respect to the shares of our common stock underlying such Pre-Funded Warrants. Upon exercise of the Pre-Funded Warrants, holders will be entitled to exercise the rights of common stockholders only as to matters for which the record date occurs after the exercise date.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will not receive significant additional funds upon the exercise of the Pre-Funded Warrants being offered.</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In certain limited circumstances, each Pre-Funded Warrant may be exercised by way of a cashless exercise, meaning that the holder may not pay a cash purchase price upon exercise, but instead would receive upon such exercise the net number of shares of our common stock determined according to the formula set forth in the Pre-Funded Warrant. Accordingly, we may not receive any additional funds upon the cashless exercise of the Pre-Funded Warrant or if the Pre-Funded Warrant altogether are not exercised at all. In addition, the Pre-Funded Warrant have an exercise price of $0.001 per share of our common stock, and as a result we will not receive significant additional funds upon their exercise even if not a cashless exercise.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Significant holders or beneficial holders of our common stock may not be permitted to exercise Pre-Funded Warrants that they hold.</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Holders of the Pre-Funded Warrants will not be entitled to exercise any portion of any Pre-Funded Warrants which, upon giving effect to such exercise, would cause the aggregate number of shares of our common stock beneficially owned by the holder (together with its affiliates) to exceed a specified percentage of the number of shares of our common stock outstanding immediately after giving effect to the exercise, as such percentage ownership is determined in accordance with the terms of the Pre-Funded Warrants. As a result, you may not be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00"/>
          </w:cols>
          <w:pgMar w:left="320" w:top="455"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able to exercise your Pre-Funded Warrants for shares of our common stock at a time when it would be financially beneficial for you to do so. In such circumstance you could seek to sell your Pre-Funded Warrants to realize value, but you may be unable to do so in the absence of an established trading market for the Pre-Funded Warrants.</w:t>
      </w:r>
    </w:p>
    <w:p>
      <w:pPr>
        <w:spacing w:after="0" w:line="280"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Issuances of shares of our common stock or securities convertible into or exercisable for shares of our common stock following this offering, as well as the exercise of existing options, will dilute your ownership interests and may adversely affect the future market price of our common stock.</w:t>
      </w:r>
    </w:p>
    <w:p>
      <w:pPr>
        <w:spacing w:after="0" w:line="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a development-stage company, we will need additional capital to fund the development and commercialization of our product candidates. We may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seek additional capital through a combination of private and public equity offerings, debt financings, strategic partnerships and alliances and licensing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arrangements at prices and in a manner we determine from time to time, which may cause your ownership interest to be diluted. For example, on May 9,</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2024, we entered into the Sales Agreement with Guggenheim Securities, LLC pursuant to which we may sell from time to time, at our option, up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$100.0 million of shares of our common stock through Guggenheim Securities, LLC, as our agent. As of March 31, 2025, we have not sold any shares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our common stock under the ATM Program. In addition, as of March 31, 2025, there were options to purchase 8,541,489 shares of our common stock</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outstanding at a weighted average exercise price of $6.71. If these securities are exercised, you may incur further dilution. Moreover, to the extent that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issue additional shares of our common stock, options to purchase, or securities convertible into or exchangeable for, shares of our common stock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future and those options or other securities are exercised, converted or exchanged, stockholders may experience further dilution. The price per share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 which we sell additional shares of our common stock or other securities convertible into or exchangeable for our common stock in future transactions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may be higher or lower than the price per share in this offering.</w:t>
      </w:r>
    </w:p>
    <w:p>
      <w:pPr>
        <w:spacing w:after="0" w:line="311"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number of shares may be sold in the market following this offering, including any shares issuable upon exercise of any Pre-Funded Warrants, which may depress the market price for our common stock.</w:t>
      </w:r>
    </w:p>
    <w:p>
      <w:pPr>
        <w:spacing w:after="0" w:line="51"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including any shares issuable upon exercise of any Pre-Funded Warrants, in the public market following this offering, or the perception by the market that those sales could occur, could cause the market price of our common stock to decline, including pursuant to the ATM Program. We are unable to predict the effect that such sales may have on the prevailing market price of our common stock. Immediately after this offering, we will have outstanding         shares of our common stock (or        shares if the underwriters exercise their option to purchase additional shares of our common stock in full) assuming no exercise of the Pre-Funded Warrants, based on the number of shares of our common stock outstanding as of March 31, 2025. This includes the shares of our common stock that we are selling in this offering, which may be resold in the public market immediately without restriction, unless purchased by our directors, officers or affiliates. Of the remaining shares, approximately        are restricted from sale as a result of 90-day lock-up agreements (which may be waived, with or without notice, by the representatives of the underwriters) but will be able to be sold beginning 90 days after this offering, unless held by one of our affiliates, in which case the resale of those securities will be subject to volume limitations under Rule 144 of the Securities Act of 1933, as amended, or the Securities Act. In addition, we have also registered the shares of our common stock that we may issue under our equity incentive plans. As a result, these shares can be freely sold in the public market upon issuance, subject to restrictions under securities laws.</w:t>
      </w:r>
    </w:p>
    <w:p>
      <w:pPr>
        <w:spacing w:after="0" w:line="294"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either do not publish research about us or publish inaccurate or unfavorable research about us, our business or our market, or if they change their recommendations regarding our common stock adversely, the trading price or trading volume of our common stock could decline.</w:t>
      </w:r>
    </w:p>
    <w:p>
      <w:pPr>
        <w:spacing w:after="0" w:line="67"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in part by the research and reports that securities or industry analysts may publish about us, our business, our market, or our competitors. If one or more of these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analysts initiate research with an unfavorable rating or downgrade our common stock, provide a more favorable recommendation about our competitors or publish inaccurate or unfavorable research about our business, our common stock price would likely decline. If any analyst who may cover us were to cease coverage of us or fail to regularly publish reports on us, we could lose visibility in the financial markets, which in turn could cause the trading price or trading volume of our common stock to decline.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stock may be volatile.</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could be subject to significant fluctuations. Market prices for securities of early-stage pharmaceutical, biotechnology, and other life sciences companies have historically been particularly volatile. Some of the factors that may cause the market price of our common stock to fluctuate include:</w:t>
      </w:r>
    </w:p>
    <w:p>
      <w:pPr>
        <w:spacing w:after="0" w:line="81"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approvals for product candidates, and delays or failures to obtain such approvals;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and delays in, current, and any future, non-clinical or clinical trials of nomlabofusp or any of our future product candidates, including any potential delays related to public health crises;</w:t>
      </w:r>
    </w:p>
    <w:p>
      <w:pPr>
        <w:spacing w:after="0" w:line="67"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nomlabofusp or any of our future product candidates, if approved for marketing and commercialization, to achieve commercial success;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product candidates or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or termination of, key agreements, including key licensing or collaboration agreements;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in manufacturing our approved products, if any, or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of material developments in, or conclusion of, disputes or litigation to enforce or defend any of our intellectual property rights or defend against the intellectual property rights of others;</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commercial partners or competitors of new commercial products, clinical progress (or the lack thereof), significant contracts, commercial relationships, or capital commitments;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our markets, including with respect to other products and potential products in such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competing with our potential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 or proposed sale, or the sale by our significant stockholders, of our shares or other securities in the future;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industry-specific economic conditions potentially affecting our research and development expenditures;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including volatility in the credit and financial markets as well as inflationary pressures and changes in trade policies;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acts of war or periods of widespread civil unrest;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including earthquakes, and other calamities;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 care payment systems;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 and</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 and in Part I, Item 1A of our Annual Report on Form 10-K for the fiscal year ended December 31, 2024.</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Moreover, the capital markets in general have experienced substantial volatility that has often been unrelated to the operating performance of individual companies or the biotechnology sector. These broad market fluctuations may also adversely affect the trading price of our common stock.</w:t>
      </w:r>
    </w:p>
    <w:p>
      <w:pPr>
        <w:spacing w:after="0" w:line="162"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stockholders have often instituted class action securities litigation against those companies. Such litigation, if instituted, could result in substantial costs and diversion of management’s attention and resources, which could significantly impact our profitability and reputation.</w:t>
      </w:r>
    </w:p>
    <w:p>
      <w:pPr>
        <w:spacing w:after="0" w:line="280"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investors’ ability to achieve a return on their investment will depend on appreciation in the price of our common stock.</w:t>
      </w:r>
    </w:p>
    <w:p>
      <w:pPr>
        <w:spacing w:after="0" w:line="5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do not currently intend to pay any cash dividends on our common stock for the foreseeable future. Therefore, investors who purchase shares in this offering are not likely to receive any dividends on common stock for the foreseeable future. Since we do not intend to pay dividends, investors’ ability to receive a return on their investment will depend on any future appreciation in the market value of our common stock. There is no guarantee that our common stock will appreciate or even maintain the price at which investors have purchased it.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40"/>
          </w:cols>
          <w:pgMar w:left="320" w:top="455"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This prospectus supplement, the accompanying prospectus and the documents incorporated by reference herein and therein may contain forward-looking statements within the meaning of Section 27A of the Securities Act and Section 21E of the Exchange Act about us and our subsidiary.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although not all forward-looking statement contain these identifying words.</w:t>
      </w:r>
    </w:p>
    <w:p>
      <w:pPr>
        <w:spacing w:after="0" w:line="173"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The forward-looking statements in this prospectus supplement, the accompanying prospectus and the documents incorporated herein by reference include, among other things, statements about:</w:t>
      </w:r>
    </w:p>
    <w:p>
      <w:pPr>
        <w:spacing w:after="0" w:line="67" w:lineRule="exact"/>
        <w:rPr>
          <w:sz w:val="20"/>
          <w:szCs w:val="20"/>
          <w:color w:val="auto"/>
        </w:rPr>
      </w:pPr>
    </w:p>
    <w:p>
      <w:pPr>
        <w:ind w:left="1080" w:right="160" w:hanging="424"/>
        <w:spacing w:after="0" w:line="261"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obtaining successful non-clinical or clinical results that reliably and meaningfully demonstrate safety, tolerability and efficacy profiles that are satisfactory to the FDA, European Medicines Agency and other comparable regulatory authorities for marketing approval for nomlabofusp or any other product candidates that we may develop in the future and unexpected costs that may result therefrom;</w:t>
      </w:r>
    </w:p>
    <w:p>
      <w:pPr>
        <w:spacing w:after="0" w:line="85" w:lineRule="exact"/>
        <w:rPr>
          <w:rFonts w:ascii="Times New Roman" w:cs="Times New Roman" w:eastAsia="Times New Roman" w:hAnsi="Times New Roman"/>
          <w:sz w:val="18"/>
          <w:szCs w:val="18"/>
          <w:color w:val="auto"/>
        </w:rPr>
      </w:pPr>
    </w:p>
    <w:p>
      <w:pPr>
        <w:ind w:left="1080" w:right="360" w:hanging="424"/>
        <w:spacing w:after="0" w:line="261"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patient recruitment for our clinical trials (including as a result of the impact of FDA approval of competitive products for the treatment of Friedreich’s ataxia, and/or the impact of other clinical trials of competitive products), delays as a result of clinical and non-clinical results and/or FDA’s request for additional information or studies (whether clinical or non-clinical), changes in clinical protocols, adverse events, regulatory restrictions, including additional clinical holds, and milestones for nomlabofusp;</w:t>
      </w:r>
    </w:p>
    <w:p>
      <w:pPr>
        <w:spacing w:after="0" w:line="85"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our ongoing OLE trial and our pediatric PK run-in trial, including the timing of site initiations and the rate of patient enrollment;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benefit from participating in the FDA’s START pilot program for the development of nomlabofusp;</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clinical development and regulatory approval for nomlabofusp, including potential delays in the commencement, enrollment and completion of clinical trials, the timing of a potential BLA submission for accelerated approval, including our ability to supply to the FDA all required data for the FDA to review and accept an accelerated application, or any other product candidates that we may develop in the future;</w:t>
      </w:r>
    </w:p>
    <w:p>
      <w:pPr>
        <w:spacing w:after="0" w:line="85"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and expenses associated with obtaining and maintaining regulatory approval for nomlabofusp or any other product candidates we may develop in the future, and the indication and labeling under any such approval;</w:t>
      </w:r>
    </w:p>
    <w:p>
      <w:pPr>
        <w:spacing w:after="0" w:line="67"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long we can continue to fund our operations with our existing cash, cash equivalents and marketable securities and our estimates regarding future results of operations, financial position, research and development costs, capital requirements and our access and needs for additional financing;</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use of proceeds from future financings, if any;</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third-party manufacturers we engage, to optimize, scale and validate nomlabofusp or any other product candidate’s manufacturing process and to manufacture sufficient quantities of clinical supplies, and, if approved, commercial supplies of nomlabofusp or any other product candidates that we may develop in the future and our ability to maintain our relationships and contracts with our key vendors and to identify and contract with alternate or secondary key vendors;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8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any value from nomlabofusp and/or any other product candidates we may develop in the future in light of inherent risks and difficulties involved in successfully bringing product candidates to market and the risk that the product candidates, if approved, will not achieve broad market acceptance;</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regulatory requirements applicable to our business and other regulatory developments in the United States and other countries;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potential markets for nomlabofusp, if approved, or any other product candidates that we may develop in the future, the rate and degree of market acceptance of nomlabofusp or any other product candidate, if approved, that we may develop in the future and our ability to serve those markets;</w:t>
      </w:r>
    </w:p>
    <w:p>
      <w:pPr>
        <w:spacing w:after="0" w:line="81" w:lineRule="exact"/>
        <w:rPr>
          <w:rFonts w:ascii="Times New Roman" w:cs="Times New Roman" w:eastAsia="Times New Roman" w:hAnsi="Times New Roman"/>
          <w:sz w:val="18"/>
          <w:szCs w:val="18"/>
          <w:color w:val="auto"/>
        </w:rPr>
      </w:pPr>
    </w:p>
    <w:p>
      <w:pPr>
        <w:ind w:left="1080" w:right="280" w:hanging="424"/>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both approved and competing therapies and products for the treatment of FA, our ability to obtain and maintain designations or eligibility for expedited regulatory programs, and to commercialize current and future product candidates, if approved, (including the impact of potential barriers to entry if a competitor is able to establish a strong market position before we are able to commercialize our products);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protection and defend our intellectual property rights against third parties;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compliance with the rules and regulations of the FDA (and all other regulatory authorities) of third parties upon which we depend, including third-party contract research organizations, consultants, and third-party suppliers, manufacturers, distributors, and logistics providers;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scientific, technical, commercial, and management personnel and to retain our executive officers;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proper functionality and security of our internal computer and information systems and prevent or avoid cyber-attacks, malicious intrusion, breakdown, destruction, loss of data privacy or other significant disruption;</w:t>
      </w:r>
    </w:p>
    <w:p>
      <w:pPr>
        <w:spacing w:after="0" w:line="67" w:lineRule="exact"/>
        <w:rPr>
          <w:rFonts w:ascii="Times New Roman" w:cs="Times New Roman" w:eastAsia="Times New Roman" w:hAnsi="Times New Roman"/>
          <w:sz w:val="18"/>
          <w:szCs w:val="18"/>
          <w:color w:val="auto"/>
        </w:rPr>
      </w:pPr>
    </w:p>
    <w:p>
      <w:pPr>
        <w:ind w:left="1080" w:right="60" w:hanging="424"/>
        <w:spacing w:after="0" w:line="25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geopolitical tensions, including regional conflicts around the world, adverse macroeconomic events, including those due to inflationary pressures, rising interest rates, banking instability, monetary policy changes, changes in trade policies, including tariffs (including tariffs or trade protection measures that have been or may in the future be imposed by the U.S. or other countries), economic slowdowns or recessions, health epidemics, unforeseen emergencies and other outbreaks of communicable diseases that could disrupt our operations, the operations of third parties on which we rely or the operations of regulatory agencies we interact with in the development of nomlabofusp and any other product candidates that we may develop;</w:t>
      </w:r>
    </w:p>
    <w:p>
      <w:pPr>
        <w:spacing w:after="0" w:line="92"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regulatory developments in the U.S., including regulatory developments due to changes in the U.S. presidential administration, healthcare reform in the United States, including the Inflation Reduction Act of 2022, and measures being taken worldwide designed to reduce healthcare costs and limit the overall level of government expenditures;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use of proceeds from this offering.</w:t>
      </w:r>
    </w:p>
    <w:p>
      <w:pPr>
        <w:spacing w:after="0" w:line="225"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You should read this prospectus supplement, the accompanying prospectus and the documents incorporated by reference herein and therein completely and with the understanding that our actual future results may be materially different from what we currently expect. Our business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discussed under the heading “Risk Factors” contained in this prospectus supplement, the accompany prospectus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and any related free writing prospectus, and under similar headings in the other documents that are incorporated by reference into this prospectus supplement and the accompanying prospectus.</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You should assume that the information appearing in this prospectus supplement, the accompanying prospectus or related free writing prospectus and any document incorporated herein by reference is accurate as of its date only. Because the risk factors referred to above could cause actual results or outcomes to differ materially from those expressed in any forward-looking statements made by us or on our behalf, you should not place undue reliance on any forward-looking statements. Further, any forward-looking statement speaks only as of the date on which it is made.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Unless legally required, we do not undertake any obligation to release publicly any revisions to such forward-looking statements to reflect events or circumstances after the date of this prospectus supplement or to reflect the occurrence of unanticipated events.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estimate that the net proceeds from our issuance and sale of shares of our common stock and Pre-Funded Warrants will be approximately $      million (or approximately $      million if the underwriters exercise their option to purchase additional shares of our common stock in full) after deducting underwriting discounts and commissions and estimated offering expenses payable by us, and excluding the proceeds, if any, from the exercise of the Pre-Funded Warrants issued in this offering. We cannot predict when or if the Pre-Funded Warrants will be exercised. It is possible that either some or all of the Pre-Funded Warrants may expire and may never be exercised. In addition, the Pre-Funded Warrant have an exercise price of $0.001 per share of our common stock, and as a result we will not receive significant additional funds upon their exercise.</w:t>
      </w:r>
    </w:p>
    <w:p>
      <w:pPr>
        <w:spacing w:after="0" w:line="18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of the proposed offering, together with our existing cash, cash equivalents and marketable securities, to support the development of nomlabofusp and other pipeline candidates, and for working capital and general corporate purposes, including research and development expenses and pre-commercialization expenses.</w:t>
      </w:r>
    </w:p>
    <w:p>
      <w:pPr>
        <w:spacing w:after="0" w:line="176"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This expected use of the net proceeds from this offering represents our intentions based on our current plans and business conditions, which could change in the future as our plans and business conditions evolve. Our management will have broad discretion over the use of the net proceeds from this offering and our investors will be relying on the judgment of our management regarding the application of the proceeds of this offering. Because of the number and variability of factors that will determine our use of our existing cash, cash equivalents, marketable securities and the net proceeds from this offering, their ultimate use may vary substantially from their currently intended use.</w:t>
      </w:r>
    </w:p>
    <w:p>
      <w:pPr>
        <w:spacing w:after="0" w:line="183"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Pending our use of the net proceeds as described above, we intend to invest the net proceeds from this offering in a variety of capital preservation investments, including short-term, investment-grade, interest-bearing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color w:val="auto"/>
        </w:rPr>
        <w:t>If you invest in our securities in this offering, your ownership interest will be diluted immediately to the extent of the difference between the public offering price per share of our common stock and the as adjusted net tangible book value per share of our common stock immediately after the closing of this offering. As of March 31, 2025, our net tangible book value was $141.6 million, or $2.21 per share. Net tangible book value per share represents our total tangible assets (excluding operating lease right-of-use assets) less our total liabilities, divided by the number of shares outstanding. After giving</w:t>
      </w:r>
    </w:p>
    <w:p>
      <w:pPr>
        <w:spacing w:after="0" w:line="3" w:lineRule="exact"/>
        <w:rPr>
          <w:sz w:val="20"/>
          <w:szCs w:val="20"/>
          <w:color w:val="auto"/>
        </w:rPr>
      </w:pPr>
    </w:p>
    <w:p>
      <w:pPr>
        <w:ind w:left="120" w:right="260"/>
        <w:spacing w:after="0" w:line="250" w:lineRule="auto"/>
        <w:rPr>
          <w:sz w:val="20"/>
          <w:szCs w:val="20"/>
          <w:color w:val="auto"/>
        </w:rPr>
      </w:pPr>
      <w:r>
        <w:rPr>
          <w:rFonts w:ascii="Times New Roman" w:cs="Times New Roman" w:eastAsia="Times New Roman" w:hAnsi="Times New Roman"/>
          <w:sz w:val="18"/>
          <w:szCs w:val="18"/>
          <w:color w:val="auto"/>
        </w:rPr>
        <w:t>effect to the sale of       shares of our common stock in this offering at the public offering price of $      per share and Pre-Funded Warrants to purchase up to       shares of our common stock (and excluding common stock issued and any proceeds received upon exercise of the Pre-Funded</w:t>
      </w:r>
    </w:p>
    <w:p>
      <w:pPr>
        <w:spacing w:after="0" w:line="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Warrants and, while we finalize the accounting treatment of the Pre-Funded Warrants, we have assumed equity classification), and after deducting underwriting discounts and estimated offering expenses payable by us, our as adjusted net tangible book value as of March 31, 2025 would have been $      million, or $      per share. This amount would represent an immediate increase in net tangible book value of $      per share to existing stockholders and an immediate dilution in net tangible book value of $      per share to new investors participating in this offering. We determine dilution by subtracting the assumed as adjusted net tangible book value per share after this offering from the assumed price per share paid by an investor in this offering.</w:t>
      </w:r>
    </w:p>
    <w:p>
      <w:pPr>
        <w:spacing w:after="0" w:line="200" w:lineRule="exact"/>
        <w:rPr>
          <w:sz w:val="20"/>
          <w:szCs w:val="20"/>
          <w:color w:val="auto"/>
        </w:rPr>
      </w:pP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illustrates this dilution on a per share basis:</w:t>
            </w: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80" w:type="dxa"/>
            <w:vAlign w:val="bottom"/>
            <w:vMerge w:val="restart"/>
          </w:tcPr>
          <w:p>
            <w:pPr>
              <w:spacing w:after="0"/>
              <w:rPr>
                <w:sz w:val="21"/>
                <w:szCs w:val="21"/>
                <w:color w:val="auto"/>
              </w:rPr>
            </w:pPr>
          </w:p>
        </w:tc>
        <w:tc>
          <w:tcPr>
            <w:tcW w:w="7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 or Pre-Funded Warrant</w:t>
            </w:r>
          </w:p>
        </w:tc>
        <w:tc>
          <w:tcPr>
            <w:tcW w:w="184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tangible book value per share as of March 31, 2025</w:t>
            </w: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$2.21</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74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Increase in net tangible book value per share attributable to new investors purchasing shares in</w:t>
            </w:r>
          </w:p>
        </w:tc>
        <w:tc>
          <w:tcPr>
            <w:tcW w:w="1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74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this offering</w:t>
            </w:r>
          </w:p>
        </w:tc>
        <w:tc>
          <w:tcPr>
            <w:tcW w:w="1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after this offering</w:t>
            </w:r>
          </w:p>
        </w:tc>
        <w:tc>
          <w:tcPr>
            <w:tcW w:w="110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in this offering</w:t>
            </w:r>
          </w:p>
        </w:tc>
        <w:tc>
          <w:tcPr>
            <w:tcW w:w="17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To the extent that outstanding options are exercised, investors purchasing shares of our common stock or Pre-Funded Warrants in this offering could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equity-based securities, the issuance of these securities could result in further dilution to our stockholders.</w:t>
      </w:r>
    </w:p>
    <w:p>
      <w:pPr>
        <w:spacing w:after="0" w:line="180" w:lineRule="exact"/>
        <w:rPr>
          <w:sz w:val="20"/>
          <w:szCs w:val="20"/>
          <w:color w:val="auto"/>
        </w:rPr>
      </w:pPr>
    </w:p>
    <w:p>
      <w:pPr>
        <w:jc w:val="both"/>
        <w:ind w:left="120" w:right="260"/>
        <w:spacing w:after="0" w:line="261" w:lineRule="auto"/>
        <w:rPr>
          <w:sz w:val="20"/>
          <w:szCs w:val="20"/>
          <w:color w:val="auto"/>
        </w:rPr>
      </w:pPr>
      <w:r>
        <w:rPr>
          <w:rFonts w:ascii="Times New Roman" w:cs="Times New Roman" w:eastAsia="Times New Roman" w:hAnsi="Times New Roman"/>
          <w:sz w:val="18"/>
          <w:szCs w:val="18"/>
          <w:color w:val="auto"/>
        </w:rPr>
        <w:t>Assuming the Pre-Funded Warrants were immediately exercised, our pro forma as adjusted net tangible book value as of March 31, 2025 would have been $      or approximately $      per share of our common stock (assuming       shares of our common stock outstanding as of March 31,</w:t>
      </w:r>
    </w:p>
    <w:tbl>
      <w:tblPr>
        <w:tblLayout w:type="fixed"/>
        <w:tblInd w:w="120" w:type="dxa"/>
        <w:tblCellMar>
          <w:top w:w="0" w:type="dxa"/>
          <w:left w:w="0" w:type="dxa"/>
          <w:bottom w:w="0" w:type="dxa"/>
          <w:right w:w="0" w:type="dxa"/>
        </w:tblCellMar>
      </w:tblPr>
      <w:tr>
        <w:trPr>
          <w:trHeight w:val="198"/>
        </w:trPr>
        <w:tc>
          <w:tcPr>
            <w:tcW w:w="10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9"/>
              </w:rPr>
              <w:t>2025 after giving effect to the issuance of          shares of our common stock in this offering and the exercise of the Pre-Funded Warrants for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32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 </w:t>
            </w:r>
          </w:p>
        </w:tc>
      </w:tr>
      <w:tr>
        <w:trPr>
          <w:trHeight w:val="216"/>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of our common stock issued in this offering), which represents an immediate dilution per share to new investors of $         per share of our</w:t>
            </w:r>
          </w:p>
        </w:tc>
        <w:tc>
          <w:tcPr>
            <w:tcW w:w="320" w:type="dxa"/>
            <w:vAlign w:val="bottom"/>
          </w:tcPr>
          <w:p>
            <w:pPr>
              <w:spacing w:after="0"/>
              <w:rPr>
                <w:sz w:val="18"/>
                <w:szCs w:val="18"/>
                <w:color w:val="auto"/>
              </w:rPr>
            </w:pPr>
          </w:p>
        </w:tc>
      </w:tr>
      <w:tr>
        <w:trPr>
          <w:trHeight w:val="234"/>
        </w:trPr>
        <w:tc>
          <w:tcPr>
            <w:tcW w:w="104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and an increase in net tangible book value per share to existing stockholders of $         per share of our common stock.</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32"/>
        </w:trPr>
        <w:tc>
          <w:tcPr>
            <w:tcW w:w="104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If the underwriters exercise their option to purchase an additional          shares of our common stock in full at the public offering price of $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6"/>
              </w:rPr>
              <w:t>per</w:t>
            </w:r>
          </w:p>
        </w:tc>
      </w:tr>
    </w:tbl>
    <w:p>
      <w:pPr>
        <w:ind w:left="120" w:right="40"/>
        <w:spacing w:after="0" w:line="255" w:lineRule="auto"/>
        <w:rPr>
          <w:sz w:val="20"/>
          <w:szCs w:val="20"/>
          <w:color w:val="auto"/>
        </w:rPr>
      </w:pPr>
      <w:r>
        <w:rPr>
          <w:rFonts w:ascii="Times New Roman" w:cs="Times New Roman" w:eastAsia="Times New Roman" w:hAnsi="Times New Roman"/>
          <w:sz w:val="18"/>
          <w:szCs w:val="18"/>
          <w:color w:val="auto"/>
        </w:rPr>
        <w:t>share and assuming the Pre-Funded Warrants were immediately and fully exercised, our as adjusted net tangible book value as of March 31, 2025 would have been $      million, or $      per share. This amount would represent an immediate increase in net tangible book value of $      per share to existing stockholders and an immediate dilution in net tangible book value of $      per share to new investors purchasing common stock in this offering.</w:t>
      </w:r>
    </w:p>
    <w:p>
      <w:pPr>
        <w:spacing w:after="0" w:line="33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foregoing table and calculations (other than the historical net tangible book value calculation) are based on 64,027,892 shares of our common stock outstanding as of March 31, 2025, and excludes the following:</w:t>
      </w:r>
    </w:p>
    <w:p>
      <w:pPr>
        <w:spacing w:after="0" w:line="67" w:lineRule="exact"/>
        <w:rPr>
          <w:sz w:val="20"/>
          <w:szCs w:val="20"/>
          <w:color w:val="auto"/>
        </w:rPr>
      </w:pPr>
    </w:p>
    <w:p>
      <w:pPr>
        <w:ind w:left="1080" w:right="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8,541,489 shares of our common stock issuable upon the exercise of stock options outstanding as of March 31, 2025 at a weighted-average exercise price of $6.71 per share;</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256,700 shares of our common stock issuable upon the exercise of stock options that were granted after March 31, 2025 at a weighted-average exercise price of $2.26 per share;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1,023,061 shares of our common stock issuable upon the vesting and settlement of restricted stock units outstanding as of March 31, 2025;</w:t>
      </w:r>
    </w:p>
    <w:p>
      <w:pPr>
        <w:spacing w:after="0" w:line="131"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shares of our common stock issuable upon the exercise of the Pre-Funded Warrants issued as part of this offering;</w:t>
      </w:r>
    </w:p>
    <w:p>
      <w:pPr>
        <w:spacing w:after="0" w:line="131"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537,542 shares of our common stock available for future issuance as of March 31, 2025 under our 2020 Equity Incentive Plan;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2,552,603 shares of our common stock added to shares available for future issuance on January 1, 2025 as permitted under our 2020 Equity Incentive Plan.</w:t>
      </w:r>
    </w:p>
    <w:p>
      <w:pPr>
        <w:spacing w:after="0" w:line="162"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supplement assumes no exercise of the outstanding options described above, no exercise by the underwriters of their option to purchase additional shares and no exercise of the Pre-Funded Warrants we are offering in lieu of shares of our common stock to certain investors in this offering.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THE SECURITIES WE ARE OFFERING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material terms and provisions of our common stock are described under the heading “Description of Capital Stock” beginning on page 10 of the accompanying prospectus.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121"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The following is a brief summary of certain terms and conditions of the Pre-Funded Warrants being offered by this prospectus supplement. The following description is subject in all respects to the provisions contained in the Pre-Funded Warrants.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Form</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Pre-Funded Warrants will be issued as individual warrant agreements to the investors. The form of Pre-Funded Warrants will be provided to the investors in this offering and which will be filed with the SEC as an exhibit to a Current Report on Form 8-K in connection with this offering and incorporated by reference into the registration statement of which this prospectus supplement and the accompanying prospectus form a part. Prospective investors should carefully review the terms and provisions of the form of Pre-Funded Warrant for a complete description of the terms and conditions of the Pre-Funded Warrants.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Term</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Pre-Funded Warrants do not expire.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Exercisability</w:t>
      </w:r>
    </w:p>
    <w:p>
      <w:pPr>
        <w:spacing w:after="0" w:line="119"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The Pre-Funded Warrants are exercisable at any time on or after their original issuance. The Pre-Funded Warrants are exercisable, at the option of each holder, in whole or in part by delivering to us a duly executed exercise notice and by payment in full in immediately available funds for the number of shares of common stock purchased upon such exercise. As an alternative to payment in immediately available funds, the holder may, in its sole discretion, elect to exercise the Pre-Funded Warrants through a cashless exercise, in which case the holder would receive upon such exercise the net number of shares of common stock determined according to the formula set forth in the Pre-Funded Warrants. No fractional shares of common stock will be issued in connection with the exercise of a Pre-Funded Warrants. In lieu of fractional shares, we will pay the holder an amount in cash equal to the fractional amount multiplied by the fair market value of the common stock on the exercise date.</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Exercisability Limitations</w:t>
      </w:r>
    </w:p>
    <w:p>
      <w:pPr>
        <w:spacing w:after="0" w:line="11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We may not effect the exercise of any Pre-Funded Warrant, and a holder will not be entitled to exercise any portion of any Pre-Funded Warrant that, upon giving effect to such exercise, would cause the aggregate number of shares of our common stock beneficially owned by the holder (together with its affiliates) to exceed 4.99% (or 9.99%, at the holder’s election) of the number of shares of our common stock that would be outstanding immediately after giving effect to the exercise. However, any holder of a Pre-Funded Warrant may increase or decrease such percentage to any other percentage not in excess of 19.99% upon at least 61 days’ prior notice from the holder to us.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Exercise Price</w:t>
      </w:r>
    </w:p>
    <w:p>
      <w:pPr>
        <w:spacing w:after="0" w:line="11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exercise price per whole share of our common stock purchasable upon the exercise of the Pre-Funded Warrants is $0.001 per share of common stock. The exercise price of the Pre-Funded Warrants is subject to appropriate adjustment in the event of certain stock dividends and distributions, stock splits, stock combinations,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080"/>
          </w:cols>
          <w:pgMar w:left="320" w:top="455"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reclassifications or similar events affecting our common stock and also upon any distributions of assets, including cash, stock or other property to our stockholders.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Transferability</w:t>
      </w:r>
    </w:p>
    <w:p>
      <w:pPr>
        <w:spacing w:after="0" w:line="119"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Subject to applicable laws, the Pre-Funded Warrants may be offered for sale, sold, transferred or assigned without our consent. The ownership of the Pre-Funded Warrants and any transfers of the Pre-Funded Warrants will be registered in a warrant register maintained by the warrant agent. We will initially act as warrant agent.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Exchange Listing</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is no established trading market for the Pre-Funded Warrants, and we do not expect a market to develop. We do not plan on applying to list</w:t>
      </w:r>
    </w:p>
    <w:p>
      <w:pPr>
        <w:spacing w:after="0" w:line="27" w:lineRule="exact"/>
        <w:rPr>
          <w:sz w:val="20"/>
          <w:szCs w:val="20"/>
          <w:color w:val="auto"/>
        </w:rPr>
      </w:pPr>
    </w:p>
    <w:p>
      <w:pPr>
        <w:ind w:left="120" w:right="80"/>
        <w:spacing w:after="0" w:line="260" w:lineRule="auto"/>
        <w:rPr>
          <w:sz w:val="20"/>
          <w:szCs w:val="20"/>
          <w:color w:val="auto"/>
        </w:rPr>
      </w:pPr>
      <w:r>
        <w:rPr>
          <w:rFonts w:ascii="Times New Roman" w:cs="Times New Roman" w:eastAsia="Times New Roman" w:hAnsi="Times New Roman"/>
          <w:sz w:val="18"/>
          <w:szCs w:val="18"/>
          <w:color w:val="auto"/>
        </w:rPr>
        <w:t>the Pre-Funded Warrants on The Nasdaq Global Market or on any securities exchange or other nationally recognized trading system. Without an active trading market, the liquidity of the Pre-Funded Warrants will be limited.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Rights as a Stockholder</w:t>
      </w:r>
    </w:p>
    <w:p>
      <w:pPr>
        <w:spacing w:after="0" w:line="119"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Pre-Funded Warrant or by virtue of such holder’s ownership of shares of our common stock, the holder of a Pre-Funded Warrant does not have the rights or privileges of a holder of our common stock, including any voting rights, until the holder exercises the Pre-Funded Warrant.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Fundamental Transaction</w:t>
      </w:r>
    </w:p>
    <w:p>
      <w:pPr>
        <w:spacing w:after="0" w:line="11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the event of a fundamental transaction, as described in the Pre-Funded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 without regard to any limitations on exercise contained in the Pre-Funded Warrants.</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060"/>
          </w:cols>
          <w:pgMar w:left="320" w:top="455" w:right="5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intend to retain all available funds and any future earnings, if any, to fund the development and expansion of our business and we do not anticipate paying any cash dividends in the foreseeable future. Any future determination to pay dividends on our common stock will be made at the discretion of our Board of Directors, or our Board, and will depend on various factors, including applicable laws, our results of operations, financial condition, future prospects, anticipated cash needs, plans for expansion and any other factors deemed relevant by our Board.</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040"/>
          </w:cols>
          <w:pgMar w:left="320" w:top="455" w:right="5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U.S. HOLDERS AND NON-U.S. HOLDERS</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following discussion is a summary of certain material U.S. federal income tax consequences to U.S. Holders and Non-U.S. Holders (as defined below) of the purchase, ownership and disposition of our common stock and Pre-Funded Warrants issued pursuant to this offering, which we refer to collectively as our securities, but does not purport to be a complete analysis of all potential tax effects. The effects of other U.S. federal tax laws, such as estate and gift tax laws, and any applicable state, local or non-U.S. tax laws are not discussed. This discussion is based on the Internal Revenue Code of 1986, as amended, or the Code, the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U.S. Holder or Non-U.S. Holder of our securities.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securities.</w:t>
      </w:r>
    </w:p>
    <w:p>
      <w:pPr>
        <w:spacing w:after="0" w:line="19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This discussion is limited to U.S. Holders and Non-U.S. Holders that hold our securities as a “capital asset” within the meaning of Section 1221 of the Code (generally, property held for investment). This discussion does not address all U.S. federal income tax consequences relevant to a U.S. Holder’s or Non-U.S. Holder’s particular circumstances, including the impact of the Medicare contribution tax on net investment income, the special tax accounting rules under Section 451(b) of the Code and the alternative minimum tax. In addition, it does not address consequences relevant to U.S. Holders or Non-U.S. Holders subject to special rules, including, without limitation:</w:t>
      </w:r>
    </w:p>
    <w:p>
      <w:pPr>
        <w:spacing w:after="0" w:line="89"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securities as part of a hedge, straddle or other risk reduction strategy or as part of a conversion transaction or other integrated investment;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treated as partnerships for U.S. federal income tax purposes (and investors therein);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securities under the constructive sale provisions of the Code;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securities pursuant to the exercise of any employee stock option or otherwise as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have owned, actually or constructively, more than 5% of our securities.</w:t>
      </w:r>
    </w:p>
    <w:p>
      <w:pPr>
        <w:spacing w:after="0" w:line="225"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our securities, the tax treatment of a partner in the partnership will depend on the status of the partner, the activities of the partnership and certain determinations made at the partner level. Accordingly, partnerships holding our securities and the partners in such partnerships should consult their tax advisors regarding the U.S. federal income tax consequences to them.</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U.S. Holder is a beneficial owner of our securities, that, for U.S. federal income tax purposes, is:</w:t>
      </w:r>
    </w:p>
    <w:p>
      <w:pPr>
        <w:spacing w:after="0" w:line="131"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that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 entity treated as a corporation,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jc w:val="both"/>
        <w:ind w:left="1080" w:right="20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(A) the primary supervision of a court within the United States and (B) the authority of one or more “United States persons” (within the meaning of Section 7701(a)(30) of the Code) to control all substantial decisions of the trust or (2) has a valid election in effect under applicable Treasury regulations to be treated as a United States person;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that is subject to U.S. federal income tax on its income regardless of its source.</w:t>
      </w:r>
    </w:p>
    <w:p>
      <w:pPr>
        <w:spacing w:after="0" w:line="225"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A non-U.S. holder is a beneficial owner of our securities that is not an entity or arrangement treated as a partnership for U.S. federal income tax purposes and not, for U.S. federal income tax purposes:</w:t>
      </w:r>
    </w:p>
    <w:p>
      <w:pPr>
        <w:spacing w:after="0" w:line="67"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entity treated as a corporation for U.S. federal income tax purposes) created or organized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(1) the administration of which is subject to the primary supervision of a U.S. court and that has one or more U.S. persons with the authority to control all substantial decisions of the trust or (2) that has a valid election in effect under applicable Treasury Regulations to be treated as a U.S. person.</w:t>
      </w:r>
    </w:p>
    <w:p>
      <w:pPr>
        <w:spacing w:after="0" w:line="172" w:lineRule="exact"/>
        <w:rPr>
          <w:sz w:val="20"/>
          <w:szCs w:val="20"/>
          <w:color w:val="auto"/>
        </w:rPr>
      </w:pPr>
    </w:p>
    <w:p>
      <w:pPr>
        <w:ind w:left="120" w:right="220"/>
        <w:spacing w:after="0" w:line="259" w:lineRule="auto"/>
        <w:rPr>
          <w:sz w:val="20"/>
          <w:szCs w:val="20"/>
          <w:color w:val="auto"/>
        </w:rPr>
      </w:pPr>
      <w:r>
        <w:rPr>
          <w:rFonts w:ascii="Times New Roman" w:cs="Times New Roman" w:eastAsia="Times New Roman" w:hAnsi="Times New Roman"/>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SECURITIES ARISING UNDER THE U.S. FEDERAL ESTATE OR GIFT TAX LAWS OR UNDER THE LAWS OF ANY STATE, LOCAL OR NON-U.S. TAXING JURISDICTION OR UNDER ANY APPLICABLE INCOME TAX TREATY.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Treatment of Pre-Funded Warrants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Although it is not entirely free from doubt, the Pre-Funded Warrants are generally expected to be treated as shares of our common stock for U.S. federal income tax purposes. Accordingly, no gain or loss should be recognized upon exercise of a Pre-Funded Warrant, and the holding period of a Pre-Funded Warrant should carry over to the shares of common stock received upon exercise. Similarly, the tax basis of the Pre-Funded Warrant should carry over to the shares of common stock received upon exercise, increased by the exercise price. Each U.S. Holder and Non-U.S. Holder is urged to consult its tax advisor regarding the U.S. federal income tax treatment of the Pre-Funded Warrants.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Possible Constructive Distributions</w:t>
      </w:r>
    </w:p>
    <w:p>
      <w:pPr>
        <w:spacing w:after="0" w:line="121"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The terms of each Pre-Funded Warrant provide for an adjustment to the consideration issuable upon exercise in certain events, as discussed in the section titled “Description of the Securities We Are Offering—Pre-Funded Warrants.” An adjustment which has the effect of preventing dilution is generally not a taxable event. Nevertheless, a U.S. Holder or Non-U.S. Holder of Pre-Funded Warrants may be treated as receiving a constructive distribution from us if, for example, the adjustment increases the holder’s proportionate interest in our assets or earnings and profits (e.g., through an increase in the number of shares of common stock that would be obtained upon exercise) as a result of a distribution of cash to the holders of shares of our common stock which is taxable to such holders as a distribution. Such constructive distribution would be subject to tax in the same manner as if such U.S. Holder or Non-U.S. Holder received a cash distribution from us equal to the fair</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market value of such increased interest, in each case, as described below. Each U.S. Holder and Non-U.S. Holder is urged to consult its tax advisor regarding the U.S. federal income tax considerations of constructive distributions, if any, on the Pre-Funded Warrants.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considerations applicable to U.S. 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the Shares and constructive distributions on pre-funded warrants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As described in the section titled “Dividend Policy,” we do not currently intend to pay any cash dividends on our capital stock in the foreseeable future. However, if we make distributions of cash or property on our common stock, such distributions will constitute dividends for U.S. federal income tax purposes to the extent paid from our current or accumulated earnings and profits, as determined under U.S. federal income tax principles. Dividends received by a corporate U.S. Holder may be eligible for a dividends received deduction, subject to applicable limitations. Dividends received by certain non-corporate U.S. Holders, including individuals, are generally taxed at the lower applicable capital gains rate provided certain holding period and other requirements are satisfied. Distributions in excess of our current and accumulated earnings and profits will constitute a return of capital and first be applied against and reduce a U.S. Holder’s adjusted tax basis in its common stock or Pre-Funded Warrants, as applicable, but not below zero. Any excess will be treated as capital gain and will be treated as described below under “Sale or Other Taxable Disposition.”</w:t>
      </w:r>
    </w:p>
    <w:p>
      <w:pPr>
        <w:spacing w:after="0" w:line="192"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Under Section 305 of the Code, an adjustment to the number of common stock that will be issued on the exercise of Pre-Funded Warrants, or an adjustment to the exercise price of Pre-Funded Warrants (or in certain circumstances, a failure to make adjustments), may be treated as a constructive distribution to a U.S. Holder of Pre-Funded Warrants if, and to the extent that, such adjustment has the effect of increasing such U.S. Holder’s proportionate interest in our earnings and profits as determined under U.S. federal income tax principles or our assets, depending on the circumstances of such adjustment (for example, if such adjustment is to compensate for a distribution of cash or other property to our stockholders). U.S. Holders should consult their tax advisors regarding the proper treatment of any adjustments to the number of common shares that will be issued on the exercise of Pre-Funded Warrants or the exercise price of pre-funded warrants. For certain informational reporting purposes, we are required to determine the date and amount of any such constructive distribution and publicly report such information or report such information to the IRS and holders of Pre-Funded Warrants not exempt from information reporting. Proposed Treasury regulations, on which we may rely prior to the issuance of final Treasury regulations, specify how the date and amount of constructive distributions, and withholding obligations with respect thereto, are determined.</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the securities</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Upon the sale, exchange or other taxable disposition of the common shares or Pre-Funded Warrants, a U.S. Holder will generally recognize capital gain or loss equal to the difference between the amount of cash and the fair market value of any other property received upon the sale, exchange or other taxable disposition and such U.S. Holder’s adjusted tax basis in the common shares or Pre-Funded Warrants. This capital gain or loss will be long-term capital gain or loss if the U.S. Holder’s holding period in such common shares or Pre-Funded Warrants is more than one year at the time of the sale, exchange or other taxable disposition. Long-term capital gains recognized by certain non-corporate U.S. Holders, including individuals, generally will be subject to reduced rates of U.S. federal income tax. The deductibility of capital losses is subject to certain limitations.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In general, backup withholding and information reporting requirements may apply to distributions on the common shares, to constructive distributions on Pre-Funded Warrants, and to the receipt of proceeds on the sale, exchange or other taxable disposition of the securities. Backup withholding (currently at a rate of 24 percent) may apply if a U.S. Holder fails to furnish its taxpayer identification number, a U.S. Holder fails to certify under penalties of perjury that such taxpayer identification number is correct and that such U.S. Holder is not subject to</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backup withholding (generally on a properly completed and duly executed IRS Form W-9), the applicable withholding agent is notified by the IRS that the U.S. Holder previously failed to properly report payments of interest or dividends, or such U.S. Holder otherwise fails to comply with the applicable requirements of the backup withholding rules.</w:t>
      </w:r>
    </w:p>
    <w:p>
      <w:pPr>
        <w:spacing w:after="0" w:line="176"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Certain U.S. Holders generally are not subject to backup withholding and information reporting requirements, provided that their exemptions from backup withholding and information reporting are properly established. Backup withholding is not an additional tax. Any amounts withheld from a payment to a U.S. Holder under the backup withholding rules generally will be allowed as a credit against such U.S. Holder’s U.S. federal income tax liability and may entitle such U.S. Holder to a refund, provided the required information is furnished to the IRS in a timely manner. U.S. Holders should consult their tax advisors regarding the application of backup withholding, the availability of an exemption from backup withholding, and the procedure for obtaining such an exemption, if available.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considerations applicable to non-U.S. 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As described in the section titled “Dividend Policy,” we do not currently intend to pay any cash dividends on our capital stock in the foreseeable future. However, if we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187"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Subject to the discussions below on effectively connected income, backup withholding and FATCA (as defined below), dividends paid to a Non-U.S. Holder of our common stock (or constructive dividends paid on our Pre-Funded Warrants)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8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or fixed base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83"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Any such effectively connected dividends generally will be subject to U.S. federal income tax on a net income basis at the regular U.S. federal income tax rates as if the Non-U.S. Holder were a resident of the United States. A Non-U.S. Holder that is a corporation also generally will be subject to a branch profits tax at a rate of 30% (or such lower rate specified by an applicable income tax treaty) on its effectively connected earnings and profits attributable to such dividends, as adjusted for certain items. Non-U.S. Holders should consult their tax advisors regarding any applicable tax treaties that may provide for different rules.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Subject to the discussions below regarding backup withholding and FATCA, a Non-U.S. Holder generally will not be subject to U.S. federal income tax on any gain realized upon the sale or other taxable disposition of our common stock unless:</w:t>
      </w:r>
    </w:p>
    <w:p>
      <w:pPr>
        <w:spacing w:after="0" w:line="67" w:lineRule="exact"/>
        <w:rPr>
          <w:sz w:val="20"/>
          <w:szCs w:val="20"/>
          <w:color w:val="auto"/>
        </w:rPr>
      </w:pPr>
    </w:p>
    <w:p>
      <w:pPr>
        <w:ind w:left="1080" w:right="6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within the United States (and, if required by an applicable income tax treaty, the Non-U.S. Holder maintains a permanent establishment or fixed base in the United States to which such gain is attributable);</w:t>
      </w:r>
    </w:p>
    <w:p>
      <w:pPr>
        <w:spacing w:after="0" w:line="81"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disposition and certain other requirements are met; or</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U.S. real property interest, or USRPI, by reason of our status as a U.S. real property holding corporation, or USRPHC, for U.S. federal income tax purposes at any time within the shorter of the five-year period preceding the disposition or the Non-U.S. Holder’s holding period for our common stock.</w:t>
      </w:r>
    </w:p>
    <w:p>
      <w:pPr>
        <w:spacing w:after="0" w:line="176" w:lineRule="exact"/>
        <w:rPr>
          <w:sz w:val="20"/>
          <w:szCs w:val="20"/>
          <w:color w:val="auto"/>
        </w:rPr>
      </w:pPr>
    </w:p>
    <w:p>
      <w:pPr>
        <w:jc w:val="both"/>
        <w:ind w:left="120" w:right="520"/>
        <w:spacing w:after="0" w:line="261"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on a net income basis at the regular U.S. federal income tax rates in the same manner as if the Non-U.S. Holder were a resident of the United States. A Non-U.S. Holder that is a corporation also generally will be subject to a branch profits tax at a rate of 30% (or such lower rate specified by an applicable income tax treaty) on its effectively connected earnings and profits attributable to such gain, as adjusted for certain items.</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 Non-U.S. Holder described in the second bullet point above will be subject to U.S. federal income tax at a rate of 30% (or such lower rate specified by an applicable income tax treaty) on gain realized upon the sale or other taxable disposition of our common stock,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80"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With respect to the third bullet point above, we believe we currently are not, and do not anticipate becoming, a USRPHC. However, because the determination of whether we are a USRPHC depends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 If we are a USRPHC and either our common stock is not regularly traded on an established securities market or a Non-U.S. Holder holds more than 5% of our common stock, actually or constructively, during the applicable testing period, such Non-U.S. Holder will generally be taxed on any gain in the same manner as gain that is effectively connected with the conduct of a U.S. trade or business, except that the branch profits tax generally will not apply.</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Non-U.S. Holders should consult their tax advisors regarding any applicable income tax treaties that may provide for different rules.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Payments of dividends on our common stock will not be subject to backup withholding, provided the applicable withholding agent does not have actual knowledge or reason to know the holder is a United States person and the holder either certifies its non-U.S. status by furnishing a valid IRS Form W-8BEN, W-8BEN-E or W-8ECI or otherwise establishes an exemption. However, information returns are required to be filed with the IRS 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connection with any distributions on our common stock paid to the Non-U.S. Holder, regardless of whether such distributions constitute dividends or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that does not have certain enumerated relationships with the United States generally will not be subject to backup withholding or information reporting.</w:t>
      </w:r>
    </w:p>
    <w:p>
      <w:pPr>
        <w:spacing w:after="0" w:line="18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Copies of information returns that are filed with the IRS also may be made available under the provisions of an applicable treaty or agreement to the tax authorities of the country in which the Non-U.S. Holder resides or is established. Non-U.S. Holders should consult their tax advisors regarding the possibility of and procedure for obtaining a refund or a credit against their U.S. federal income tax liability, if any.</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Additional Withholding Tax on Payments Made to Foreign Accounts</w:t>
      </w:r>
    </w:p>
    <w:p>
      <w:pPr>
        <w:spacing w:after="0" w:line="12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90"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Under proposed Treasury Regulations, FATCA withholding on payments of gross proceeds has been eliminated. Taxpayers generally may rely on these proposed Treasury Regulations until final Treasury Regulations are issued.</w:t>
      </w:r>
    </w:p>
    <w:p>
      <w:pPr>
        <w:spacing w:after="0" w:line="162"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potential application of withholding under FATCA to their investment in our common stock.</w:t>
      </w:r>
    </w:p>
    <w:p>
      <w:pPr>
        <w:spacing w:after="0" w:line="158" w:lineRule="exact"/>
        <w:rPr>
          <w:sz w:val="20"/>
          <w:szCs w:val="20"/>
          <w:color w:val="auto"/>
        </w:rPr>
      </w:pPr>
    </w:p>
    <w:p>
      <w:pPr>
        <w:ind w:left="120" w:right="80"/>
        <w:spacing w:after="0" w:line="259" w:lineRule="auto"/>
        <w:rPr>
          <w:sz w:val="20"/>
          <w:szCs w:val="20"/>
          <w:color w:val="auto"/>
        </w:rPr>
      </w:pPr>
      <w:r>
        <w:rPr>
          <w:rFonts w:ascii="Times New Roman" w:cs="Times New Roman" w:eastAsia="Times New Roman" w:hAnsi="Times New Roman"/>
          <w:sz w:val="18"/>
          <w:szCs w:val="18"/>
          <w:b w:val="1"/>
          <w:bCs w:val="1"/>
          <w:color w:val="auto"/>
        </w:rPr>
        <w:t>THIS DISCUSSION IS FOR INFORMATIONAL PURPOSES ONLY AND IS NOT TAX ADVICE. PROSPECTIVE INVESTORS SHOULD CONSULT THEIR TAX ADVISORS REGARDING THE U.S. FEDERAL, STATE, AND LOCAL AND NON-U.S. INCOME AND NON-INCOME TAX CONSEQUENCES OF THE PURCHASE, OWNERSHIP, AND DISPOSITION OF OUR COMMON STOCK IN THEIR PARTICULAR CIRCUMSTANCES, INCLUDING INFORMATION REPORTING REQUIREMENTS, THE IMPACT OF ANY APPLICABLE TAX TREATIES, AND THE IMPACT OF ANY POTENTIAL CHANGE IN APPLICABLE LAW.</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060"/>
          </w:cols>
          <w:pgMar w:left="320" w:top="455" w:right="5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Leerink Partners LLC and Guggenheim Securities, LLC are acting as representatives of each of the underwriters named below and as joint bookrunning managers for this offering. Subject to the terms and conditions set forth in the underwriting agreement among us and the underwriters, we have agreed to sell to the underwriters, and each of the underwriters has agreed, severally and not jointly, to purchase from us, the number of securities set forth opposite its name below.</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960" w:type="dxa"/>
            <w:vAlign w:val="bottom"/>
            <w:vMerge w:val="restart"/>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60" w:type="dxa"/>
            <w:vAlign w:val="bottom"/>
          </w:tcPr>
          <w:p>
            <w:pPr>
              <w:spacing w:after="0"/>
              <w:rPr>
                <w:sz w:val="13"/>
                <w:szCs w:val="13"/>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6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9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0" w:type="dxa"/>
            <w:vAlign w:val="bottom"/>
          </w:tcPr>
          <w:p>
            <w:pPr>
              <w:spacing w:after="0"/>
              <w:rPr>
                <w:sz w:val="1"/>
                <w:szCs w:val="1"/>
                <w:color w:val="auto"/>
              </w:rPr>
            </w:pPr>
          </w:p>
        </w:tc>
      </w:tr>
      <w:tr>
        <w:trPr>
          <w:trHeight w:val="173"/>
        </w:trPr>
        <w:tc>
          <w:tcPr>
            <w:tcW w:w="6000" w:type="dxa"/>
            <w:vAlign w:val="bottom"/>
            <w:vMerge w:val="continue"/>
          </w:tcPr>
          <w:p>
            <w:pPr>
              <w:spacing w:after="0"/>
              <w:rPr>
                <w:sz w:val="15"/>
                <w:szCs w:val="15"/>
                <w:color w:val="auto"/>
              </w:rPr>
            </w:pPr>
          </w:p>
        </w:tc>
        <w:tc>
          <w:tcPr>
            <w:tcW w:w="96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tcPr>
          <w:p>
            <w:pPr>
              <w:spacing w:after="0"/>
              <w:rPr>
                <w:sz w:val="15"/>
                <w:szCs w:val="15"/>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0" w:type="dxa"/>
            <w:vAlign w:val="bottom"/>
          </w:tcPr>
          <w:p>
            <w:pPr>
              <w:spacing w:after="0"/>
              <w:rPr>
                <w:sz w:val="1"/>
                <w:szCs w:val="1"/>
                <w:color w:val="auto"/>
              </w:rPr>
            </w:pPr>
          </w:p>
        </w:tc>
      </w:tr>
      <w:tr>
        <w:trPr>
          <w:trHeight w:val="209"/>
        </w:trPr>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Leerink Partners LLC</w:t>
            </w:r>
          </w:p>
        </w:tc>
        <w:tc>
          <w:tcPr>
            <w:tcW w:w="96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 xml:space="preserve">          </w:t>
            </w:r>
          </w:p>
        </w:tc>
        <w:tc>
          <w:tcPr>
            <w:tcW w:w="3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xml:space="preserve">          </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Guggenheim Securities, LLC</w:t>
            </w:r>
          </w:p>
        </w:tc>
        <w:tc>
          <w:tcPr>
            <w:tcW w:w="96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shares and Pre-Funded Warrants sold under the underwriting agreement if any of the shares and Pre-Funded Warrants are purchased. If an underwriter defaults, the underwriting agreement provides that the purchase commitments of the non-defaulting underwriters may be increased or the underwriting agreement may be terminated. The underwriters have not been engaged to act as warrant agent for the Pre-Funded Warrants or to act as underwriter or agent or otherwise participate in the issuance of the shares of our common stock upon the exercise of the Pre-Funded Warrants.</w:t>
      </w:r>
    </w:p>
    <w:p>
      <w:pPr>
        <w:spacing w:after="0" w:line="183"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62"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shares and Pre-Funded Warrants, subject to prior sale, when, as and if issued to and accepted by them, subject to approval of legal matters by their counsel, including the validity of the shares and Pre-Funded Warrants, and subject to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Discounts and Commissions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representatives have advised us that the underwriters propose initially to offer the shares and Pre-Funded Warrants to the public at the initial public offering price set forth on the cover page of this prospectus supplement and to dealers at that price less a concession not in excess of $        per share or Pre-Funded Warrant. After the initial offering of the shares and Pre-Funded Warrants, the public offering price, concession or any other term of this offering may be changed by the representatives.</w:t>
      </w:r>
    </w:p>
    <w:p>
      <w:pPr>
        <w:spacing w:after="0" w:line="180" w:lineRule="exact"/>
        <w:rPr>
          <w:sz w:val="20"/>
          <w:szCs w:val="20"/>
          <w:color w:val="auto"/>
        </w:rPr>
      </w:pPr>
    </w:p>
    <w:p>
      <w:pPr>
        <w:jc w:val="both"/>
        <w:ind w:left="120" w:right="760"/>
        <w:spacing w:after="0" w:line="312" w:lineRule="auto"/>
        <w:rPr>
          <w:sz w:val="20"/>
          <w:szCs w:val="20"/>
          <w:color w:val="auto"/>
        </w:rPr>
      </w:pPr>
      <w:r>
        <w:rPr>
          <w:rFonts w:ascii="Times New Roman" w:cs="Times New Roman" w:eastAsia="Times New Roman" w:hAnsi="Times New Roman"/>
          <w:sz w:val="17"/>
          <w:szCs w:val="17"/>
          <w:color w:val="auto"/>
        </w:rPr>
        <w:t>The following table shows the initial public offering price, underwriting discounts and commissions and proceeds, before expenses, to us. The information assumes either no exercise or full exercise by the underwriters of their option to purchase additional shares of our common stock.</w:t>
      </w:r>
    </w:p>
    <w:p>
      <w:pPr>
        <w:spacing w:after="0" w:line="14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Per</w:t>
            </w:r>
          </w:p>
        </w:tc>
        <w:tc>
          <w:tcPr>
            <w:tcW w:w="460" w:type="dxa"/>
            <w:vAlign w:val="bottom"/>
          </w:tcPr>
          <w:p>
            <w:pPr>
              <w:spacing w:after="0"/>
              <w:rPr>
                <w:sz w:val="13"/>
                <w:szCs w:val="13"/>
                <w:color w:val="auto"/>
              </w:rPr>
            </w:pPr>
          </w:p>
        </w:tc>
        <w:tc>
          <w:tcPr>
            <w:tcW w:w="11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Without</w:t>
            </w:r>
          </w:p>
        </w:tc>
        <w:tc>
          <w:tcPr>
            <w:tcW w:w="7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With Full</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460" w:type="dxa"/>
            <w:vAlign w:val="bottom"/>
          </w:tcPr>
          <w:p>
            <w:pPr>
              <w:spacing w:after="0"/>
              <w:rPr>
                <w:sz w:val="12"/>
                <w:szCs w:val="12"/>
                <w:color w:val="auto"/>
              </w:rPr>
            </w:pPr>
          </w:p>
        </w:tc>
        <w:tc>
          <w:tcPr>
            <w:tcW w:w="11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7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460" w:type="dxa"/>
            <w:vAlign w:val="bottom"/>
          </w:tcPr>
          <w:p>
            <w:pPr>
              <w:spacing w:after="0"/>
              <w:rPr>
                <w:sz w:val="15"/>
                <w:szCs w:val="15"/>
                <w:color w:val="auto"/>
              </w:rPr>
            </w:pPr>
          </w:p>
        </w:tc>
        <w:tc>
          <w:tcPr>
            <w:tcW w:w="11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14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center"/>
              <w:ind w:right="42"/>
              <w:spacing w:after="0"/>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214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spacing w:after="0"/>
              <w:rPr>
                <w:sz w:val="18"/>
                <w:szCs w:val="18"/>
                <w:color w:val="auto"/>
              </w:rPr>
            </w:pPr>
          </w:p>
        </w:tc>
        <w:tc>
          <w:tcPr>
            <w:tcW w:w="11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214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We estimate expenses payable by us in connection with this offering, other than the underwriting discounts and commissions referred to above, will be approximately $      . We also have agreed to reimburse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underwriters for up to $50,000 for their FINRA counsel fee. In accordance with FINRA Rule 5110, this reimbursed fee is deemed underwriting compensation for this offering. The underwriters have agreed to reimburse us for certain expenses.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We have granted an option to the underwriters, exercisable for 30 days after the date of this prospectus supplement, to purchase up to       additional shares at the initial public offering price, less underwriting discounts and commissions. If the underwriters exercise this option, each underwriter will be obligated, subject to the conditions contained in the underwriting agreement, to purchase a number of additional shares proportionate to that underwriter’s initial amount reflected in the above table.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have agreed not to sell or transfer any of our common stock or securities convertible into or exchangeable or exercisable for our common stock, for 60 days after the date of this prospectus supplement without first obtaining the written consent of Leerink Partners LLC and Guggenheim Securities, LLC on behalf of the underwriters.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Specifically, we have agreed, with certain limited exceptions, not to directly or indirectly:</w:t>
      </w:r>
    </w:p>
    <w:p>
      <w:pPr>
        <w:spacing w:after="0" w:line="131"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offer to sell, contract to sell or lend any of our common stock;</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any short sale, or establish or increase any put equivalent position or liquidate or decrease any call equivalent position of any of our common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 any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way transfer or dispose of any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hedge or similar arrangement that transfers, in whole or in part, the economic risk of ownership of any of our common stock, regardless of whether any such transaction is to be settled in securities, in case or otherwise;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 the offering of any common stock;</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or file any registration statement under the Securities Act in respect of any common stock (other than as contemplated by this prospectus supplement);</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 reverse stock split, recapitalization, share consolidation, reclassification or similar transaction affecting the outstanding shares of common stock;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announce any intention to do any of the foregoing.</w:t>
      </w:r>
    </w:p>
    <w:p>
      <w:pPr>
        <w:spacing w:after="0" w:line="22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These lock-up provisions are subject to certain exceptions, including: that we may (i) effect the transactions contemplated by the underwriting agreement, (ii) issue shares of common stock upon the exercise of an option or warrant, the vesting of restricted stock units, performance stock units or deferred stock units or the conversion or exchange of a security outstanding on the date hereof as referred to in the base prospectus and this prospectus supplement, (iii) pursuant to our stock-based compensation plans as referred to in the registration statement of which this prospectus supplement forms a part, or pursuant to any qualifying inducement award under Nasdaq Listing Rule 5635(c)(4), (iv) issue shares of common stock or other securities issued in connection with a transaction with an unaffiliated third party that includes a bona fide commercial relationship (including joint ventures, marketing or distribution arrangements, collaboration agreements or intellectual property license agreements) or any acquisition of assets of not less than a majority or controlling portion of the equity of another entity, provided that the aggregate number of shares of common stock that we may sell or issue or agree to sell or issue shall not exceed 5% of the total number of shares of common stock issued and outstanding immediately following the issuance and sale of the common stock offered pursuant to the underwriting agreement, (v) file</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00"/>
          </w:cols>
          <w:pgMar w:left="320" w:top="455"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registration statements on Form S-8 or a successor form thereto relating to the shares of common stock granted pursuant to or reserved for issuance under our stock-based compensation plans referred to in clause (iii), (vi) assist any of our stockholders in the establishment of a trading plan by such stockholder pursuant to Rule 10b5-1 under the Exchange Act for the transfer of shares of common stock, provided that (1) such plan does not provide for the transfer of shares of common stock during the lock-up period, (2) to the extent a public announcement of filing under the Exchange Act, if any, is required by or behalf of the securityholders or us regarding the establishment of such plan, such announcement or filing shall include a statement to the effect that no transfers by the securityholders may be made under such plan during the lock-up period and (3) such plan is otherwise permitted to be implemented during the lock-up period pursuant to the terms of a lock-up agreement between such stockholder and the Underwriters in connection with the offering contemplated by the underwriting agreement, and (vii) issue shares of common stock pursuant to the Sales Agreement, dated May 9, 2024, between the Company and Guggenheim Securities, LLC, as sales agent.</w:t>
      </w:r>
    </w:p>
    <w:p>
      <w:pPr>
        <w:spacing w:after="0" w:line="188"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lock-up provisions apply to our common stock and to securities convertible into or exchangeable or exercisable for or convertible into our common stock, or to acquire other securities or rights ultimately exchangeable or exercisable for, or convertible into, common stock.</w:t>
      </w:r>
    </w:p>
    <w:p>
      <w:pPr>
        <w:spacing w:after="0" w:line="162"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Our executive officers and directors and certain of our other existing security holders have agreed not to sell or transfer any of our common stock or securities convertible into or exchangeable or exercisable for our common stock, for 90 days after the date of this prospectus supplement without first obtaining the written consent of Leerink Partners LLC and Guggenheim Securities, LLC on behalf of the underwriters.</w:t>
      </w:r>
    </w:p>
    <w:p>
      <w:pPr>
        <w:spacing w:after="0" w:line="176"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Specifically, our executive officers and directors and certain of our other existing security holders, with certain limited exceptions, not to directly or indirectly:</w:t>
      </w:r>
    </w:p>
    <w:p>
      <w:pPr>
        <w:spacing w:after="0" w:line="67" w:lineRule="exact"/>
        <w:rPr>
          <w:sz w:val="20"/>
          <w:szCs w:val="20"/>
          <w:color w:val="auto"/>
        </w:rPr>
      </w:pPr>
    </w:p>
    <w:p>
      <w:pPr>
        <w:ind w:left="1080" w:right="10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sell, agree to offer or sell, solicit offers to purchase, grant any call option or purchase any put option with respect to, pledge, borrow or otherwise dispose of, any of our common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or increase any put equivalent position or liquidate or decrease any call equivalent position with respect to any common stock;</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enter into any swap, hedge, derivative or other transaction or arrangement that transfers to another, in whole or in part, any economic consequence of ownership of common stock, whether or not such transaction is to be settled by delivery of common stock, other securities, cash or other consideration;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announce any intention to do any of the foregoing.</w:t>
      </w:r>
    </w:p>
    <w:p>
      <w:pPr>
        <w:spacing w:after="0" w:line="225" w:lineRule="exact"/>
        <w:rPr>
          <w:sz w:val="20"/>
          <w:szCs w:val="20"/>
          <w:color w:val="auto"/>
        </w:rPr>
      </w:pPr>
    </w:p>
    <w:p>
      <w:pPr>
        <w:ind w:left="120" w:right="160"/>
        <w:spacing w:after="0" w:line="252" w:lineRule="auto"/>
        <w:rPr>
          <w:sz w:val="20"/>
          <w:szCs w:val="20"/>
          <w:color w:val="auto"/>
        </w:rPr>
      </w:pPr>
      <w:r>
        <w:rPr>
          <w:rFonts w:ascii="Times New Roman" w:cs="Times New Roman" w:eastAsia="Times New Roman" w:hAnsi="Times New Roman"/>
          <w:sz w:val="18"/>
          <w:szCs w:val="18"/>
          <w:color w:val="auto"/>
        </w:rPr>
        <w:t>These lock-up provisions are subject to certain exceptions, including: (i) the transfer of securities as bona fide gifts, by will or other testamentary document, or intestate succession, to family members, to a trust for the benefit of the securityholder or its family members, by operation of law, including to pursuant to a domestic order, divorce settlement, divorce decree, separation agreement or pursuant to an order of a court of competent jurisdiction enforcing such agreement, to a charitable trust or if the securityholder is a trust, to the beneficiary of such trust; (ii) transfers to us (A) as forfeitures to satisfy tax withholding obligations of the securityholder existing as of the date of this prospectus supplement in connection with the vesting or exercise of equity awards, (B) pursuant to a net exercise or cashless exercise (to satisfy exercise price or related withholding obligations) by the securityholder of outstanding equity awards existing as of the date of this prospectus supplement, provided that any shares of common stock acquired upon the net exercise or cashless exercise of equity awards described in this clause (ii)(B) shall be subject to the restrictions in the lock-up agreement, or (C) upon the death, disability or termination of an executive officer; (iii) distributions to limited partners, members or stockholders,</w:t>
      </w:r>
    </w:p>
    <w:p>
      <w:pPr>
        <w:spacing w:after="0" w:line="6" w:lineRule="exact"/>
        <w:rPr>
          <w:sz w:val="20"/>
          <w:szCs w:val="20"/>
          <w:color w:val="auto"/>
        </w:rPr>
      </w:pPr>
    </w:p>
    <w:p>
      <w:pPr>
        <w:ind w:left="120" w:right="40" w:hanging="4"/>
        <w:spacing w:after="0" w:line="253" w:lineRule="auto"/>
        <w:tabs>
          <w:tab w:leader="none" w:pos="42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securities acquired in the offering or in the open market after the closing of the offering; (v) the transfer pursuant to a bona fide third-party tender offer for all outstanding shares of our common stock, merger, consolidation or other similar transaction made to all holders of our securities involving a change of control (including, without limitation, the entering into of any lock-up, voting or similar agreement pursuant to which the securityholder may agree to transfer, sell, tender or otherwise dispose of securities in connection with</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such transaction, or vote any securities in favor of any transaction), provided that in the event that such tender offer, merger, consolidation or other such transaction is not completed, such securities held by the securityholder shall remain subject to the provisions of the lock-up agreement; (vi) the transfer to a corporation, limited liability company or partnership wholly owned by the securityholder and/or its family members or to the securityholder’s direct or indirect affiliates or to any investment fund or manager thereof or other entity controlled or under common control with the securityholder (including, for the avoidance of doubt, where the securityholder is a partnership, to its general partner or a successor partnership or fund or any other funds managed by such partnership); and (vii) in the case of one of our existing securityholders, pledges of securities as collateral pursuant to a bona fide margin loan (including any subsequent transfer upon foreclosure under any such pledge); provided that, in the case of transfers or distributions pursuant to clauses (i), (ii), (iii), (iv) or (vi), no public disclosure or filing is required or voluntarily made (other than in certain cases where reports under Section 13 or 16 of the Exchange Act may be permitted if the report clearly indicates in footnotes or otherwise discloses the nature of the transfer, as applicable); and provided further that, in the case of clauses (i), (iii), (vi) and (vii) (solely in the case of subsequent transfer upon foreclosure under any such pledge) that, each resulting transferee of securities agrees to be bound by the same lock-up restrictions.</w:t>
      </w:r>
    </w:p>
    <w:p>
      <w:pPr>
        <w:spacing w:after="0" w:line="192"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lock-up provisions apply to our common stock and to securities convertible into or exchangeable or exercisable for our common stock or any such equity security. They also apply to our common stock owned now or acquired later by the person executing the lock-up agreement or for which the person executing the lock-up agreement later acquires the power of disposition.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Nasdaq Global Market Listing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“LRMR.”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121"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Until the distribution of the securities is completed, SEC rules may limit underwriters and selling group members from bidding for and purchasing our common stock. However, the representatives may engage in transactions that stabilize the price of our common stock, such as bids or purchases to peg, fix or maintain that price.</w:t>
      </w:r>
    </w:p>
    <w:p>
      <w:pPr>
        <w:spacing w:after="0" w:line="176"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17"/>
          <w:szCs w:val="17"/>
          <w:color w:val="auto"/>
        </w:rPr>
        <w:t>In connection with this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this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 granted to them under the underwriting agreement described above. “Naked” short sales are sales in excess of such option to purchase additional shares.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this offering. Stabilizing transactions consist of various bids for or purchases of shares of our common stock made by the underwriters in the open market prior to the closing of this offering.</w:t>
      </w:r>
    </w:p>
    <w:p>
      <w:pPr>
        <w:spacing w:after="0" w:line="182"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6"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common stock or preventing or retarding a decline 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As a result, the price of our common stock may be higher than the price that might otherwise exist in the open market. The underwriters may conduct these transactions on the Nasdaq Global Market, in the over-the-counter market or otherwise.</w:t>
      </w:r>
    </w:p>
    <w:p>
      <w:pPr>
        <w:spacing w:after="0" w:line="162" w:lineRule="exact"/>
        <w:rPr>
          <w:sz w:val="20"/>
          <w:szCs w:val="20"/>
          <w:color w:val="auto"/>
        </w:rPr>
      </w:pPr>
    </w:p>
    <w:p>
      <w:pPr>
        <w:ind w:left="120" w:right="440"/>
        <w:spacing w:after="0" w:line="266"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connection with this offering, certain of the underwriters or securities dealers may distribute prospectuses by electronic means, such as e-mail.</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 For example, Guggenheim Securities, LLC is the sales agent under the Sales Agreement, pursuant to which we may offer and sell up to an aggregate of $100.0 million of shares of our common stock from time to time in “at-the-market” offerings.</w:t>
      </w:r>
    </w:p>
    <w:p>
      <w:pPr>
        <w:spacing w:after="0" w:line="187"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121"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In relation to each Member State of the European Economic Area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securities may be offered to the public in that Relevant State at any time:</w:t>
      </w:r>
    </w:p>
    <w:p>
      <w:pPr>
        <w:spacing w:after="0" w:line="70" w:lineRule="exact"/>
        <w:rPr>
          <w:sz w:val="20"/>
          <w:szCs w:val="20"/>
          <w:color w:val="auto"/>
        </w:rPr>
      </w:pPr>
    </w:p>
    <w:p>
      <w:pPr>
        <w:ind w:left="540" w:hanging="424"/>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130" w:lineRule="exact"/>
        <w:rPr>
          <w:rFonts w:ascii="Times New Roman" w:cs="Times New Roman" w:eastAsia="Times New Roman" w:hAnsi="Times New Roman"/>
          <w:sz w:val="18"/>
          <w:szCs w:val="18"/>
          <w:color w:val="auto"/>
        </w:rPr>
      </w:pPr>
    </w:p>
    <w:p>
      <w:pPr>
        <w:ind w:left="540" w:right="420" w:hanging="424"/>
        <w:spacing w:after="0" w:line="282"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3" w:lineRule="exact"/>
        <w:rPr>
          <w:sz w:val="20"/>
          <w:szCs w:val="20"/>
          <w:color w:val="auto"/>
        </w:rPr>
      </w:pPr>
    </w:p>
    <w:p>
      <w:pPr>
        <w:ind w:left="120" w:right="3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securities shall require us or any of the representatives to publish a prospectus pursuant to Article 3 of the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 or supplement a prospectus pursuant to Article 23 of the Prospectus Regulation.</w:t>
      </w:r>
    </w:p>
    <w:p>
      <w:pPr>
        <w:spacing w:after="0" w:line="9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040"/>
          </w:cols>
          <w:pgMar w:left="320" w:top="455" w:right="5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 as amended.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No securities have been offered or will be offered pursuant to the offering to the public in the United Kingdom prior to the publication of a prospectus in relation to the securities which has been approved by the Financial Conduct Authority, except that the securities may be offered to the public in the United Kingdom at any time:</w:t>
      </w:r>
    </w:p>
    <w:p>
      <w:pPr>
        <w:spacing w:after="0" w:line="81" w:lineRule="exact"/>
        <w:rPr>
          <w:sz w:val="20"/>
          <w:szCs w:val="20"/>
          <w:color w:val="auto"/>
        </w:rPr>
      </w:pPr>
    </w:p>
    <w:p>
      <w:pPr>
        <w:ind w:left="540" w:hanging="424"/>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130" w:lineRule="exact"/>
        <w:rPr>
          <w:rFonts w:ascii="Times New Roman" w:cs="Times New Roman" w:eastAsia="Times New Roman" w:hAnsi="Times New Roman"/>
          <w:sz w:val="18"/>
          <w:szCs w:val="18"/>
          <w:color w:val="auto"/>
        </w:rPr>
      </w:pPr>
    </w:p>
    <w:p>
      <w:pPr>
        <w:ind w:left="540" w:right="160" w:hanging="424"/>
        <w:spacing w:after="0" w:line="282"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(the “FMSA”),</w:t>
      </w:r>
    </w:p>
    <w:p>
      <w:pPr>
        <w:spacing w:after="0" w:line="223" w:lineRule="exact"/>
        <w:rPr>
          <w:sz w:val="20"/>
          <w:szCs w:val="20"/>
          <w:color w:val="auto"/>
        </w:rPr>
      </w:pPr>
    </w:p>
    <w:p>
      <w:pPr>
        <w:ind w:left="120" w:right="3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the securities shall require us or any representative to publish a prospectus pursuant to Section 85 of the FSMA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 a prospectus pursuant to Article 23 of the UK Prospectus Regulation. For the purposes of this provision, the expression an “offer to the public” in relation to the securities in the United Kingdom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by virtue of the European Union (Withdrawal) Act 2018.</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validity of the securities being offered in this prospectus supplement will be passed upon for us by Goodwin Procter LLP. Certain legal matters will be passed upon for the underwriters by Mintz, Levin, Cohn, Ferris, Glovsky and Popeo, P.C.</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financial statements incorporated in this prospectus supplement by reference to the Annual Report on Form 10-K for the year ended December 31, 2024 have been so incorporated in reliance on the report (which contains an explanatory paragraph relating to the Company requiring additional financing to fund future operations as described in Note 1 to the financial statements) of PricewaterhouseCoopers LLP, an independent registered public accounting firm, given on the authority of said firm as experts in auditing and accounting.</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form part of a registration statement on Form S-3 filed with the SEC under the Securities Act. This prospectus supplement and the accompanying prospectus do not contain all the information set forth in the registration statement and the exhibits to the registration statement or the documents incorporated by reference herein and therein. For further information with respect to us and the securities that we are offering under this prospectus supplement and accompanying prospectus, we refer you to the registration statement and the exhibits and schedules filed as a part of the registration statement and the documents incorporated by reference herein and therein.</w:t>
      </w:r>
    </w:p>
    <w:p>
      <w:pPr>
        <w:spacing w:after="0" w:line="183"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We are currently subject to the reporting requirements of the Exchange Act, and in accordance therewith file periodic reports, proxy statements and other information with the SEC. Our SEC filings are available to you on the SEC’s website at http://www.sec.gov and in the “Investors” section of our website at www.larimartx.com. Our website and the information contained on that site, or connected to that site, are not incorporated into and are not a part of this prospectus supplement or the accompanying prospectus.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filed with the SEC. The SEC allows us to “incorporate by reference” into this prospectus supplement and the accompanying prospectus information from other documents that we file with it, which means that we can disclose important information to you by referring you to those documents. The information incorporated by reference is considered to be part of this prospectus supplement. Information in this prospectus supplement supersedes information incorporated by reference that we filed with the SEC prior to the date of this prospectus supplement, while information that we file later with the SEC will automatically update and supersede the information in this prospectus supplement. We incorporate by reference into this prospectus supplement and the registration statement of which this prospectus supplement is a part the information or documents listed below that we have filed with the SEC:</w:t>
      </w:r>
    </w:p>
    <w:p>
      <w:pPr>
        <w:spacing w:after="0" w:line="94"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March 24, 2025;</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50">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2025, filed with the SEC on April 30, 2025;</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for the year ended December 31, 2024 from our Definitive Proxy Statement on </w:t>
      </w:r>
      <w:hyperlink r:id="rId51">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11, 2025;</w:t>
      </w:r>
    </w:p>
    <w:p>
      <w:pPr>
        <w:spacing w:after="0" w:line="94"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200" w:hanging="424"/>
        <w:spacing w:after="0" w:line="282" w:lineRule="auto"/>
        <w:tabs>
          <w:tab w:leader="none" w:pos="1080" w:val="left"/>
        </w:tabs>
        <w:numPr>
          <w:ilvl w:val="0"/>
          <w:numId w:val="19"/>
        </w:numPr>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January 10,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27,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24,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5,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13,</w:t>
        </w:r>
      </w:hyperlink>
      <w:r>
        <w:rPr>
          <w:rFonts w:ascii="Times New Roman" w:cs="Times New Roman" w:eastAsia="Times New Roman" w:hAnsi="Times New Roman"/>
          <w:sz w:val="18"/>
          <w:szCs w:val="18"/>
          <w:color w:val="auto"/>
        </w:rPr>
        <w:t xml:space="preserve"> </w:t>
      </w:r>
      <w:hyperlink r:id="rId53">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4">
        <w:r>
          <w:rPr>
            <w:rFonts w:ascii="Times New Roman" w:cs="Times New Roman" w:eastAsia="Times New Roman" w:hAnsi="Times New Roman"/>
            <w:sz w:val="18"/>
            <w:szCs w:val="18"/>
            <w:u w:val="single" w:color="auto"/>
            <w:color w:val="0000EE"/>
          </w:rPr>
          <w:t xml:space="preserve">June 23, 2025 </w:t>
        </w:r>
      </w:hyperlink>
      <w:hyperlink r:id="rId53">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55">
        <w:r>
          <w:rPr>
            <w:rFonts w:ascii="Times New Roman" w:cs="Times New Roman" w:eastAsia="Times New Roman" w:hAnsi="Times New Roman"/>
            <w:sz w:val="18"/>
            <w:szCs w:val="18"/>
            <w:u w:val="single" w:color="auto"/>
            <w:color w:val="0000EE"/>
          </w:rPr>
          <w:t xml:space="preserve">June 23, 2025 </w:t>
        </w:r>
      </w:hyperlink>
      <w:hyperlink r:id="rId53">
        <w:r>
          <w:rPr>
            <w:rFonts w:ascii="Times New Roman" w:cs="Times New Roman" w:eastAsia="Times New Roman" w:hAnsi="Times New Roman"/>
            <w:sz w:val="18"/>
            <w:szCs w:val="18"/>
            <w:color w:val="000000"/>
          </w:rPr>
          <w:t>(in each case other than any portions thereof deemed furnished and not filed); and</w:t>
        </w:r>
      </w:hyperlink>
    </w:p>
    <w:p>
      <w:pPr>
        <w:spacing w:after="0" w:line="67" w:lineRule="exact"/>
        <w:rPr>
          <w:rFonts w:ascii="Times New Roman" w:cs="Times New Roman" w:eastAsia="Times New Roman" w:hAnsi="Times New Roman"/>
          <w:sz w:val="18"/>
          <w:szCs w:val="18"/>
          <w:color w:val="0000EE"/>
        </w:rPr>
      </w:pPr>
    </w:p>
    <w:p>
      <w:pPr>
        <w:ind w:left="1080" w:right="200" w:hanging="424"/>
        <w:spacing w:after="0" w:line="266" w:lineRule="auto"/>
        <w:tabs>
          <w:tab w:leader="none" w:pos="1080" w:val="left"/>
        </w:tabs>
        <w:numPr>
          <w:ilvl w:val="0"/>
          <w:numId w:val="19"/>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our common stock contained in our registration statement on Form 8-A (File No. 001-36510), filed with the SEC on </w:t>
      </w:r>
      <w:hyperlink r:id="rId56">
        <w:r>
          <w:rPr>
            <w:rFonts w:ascii="Times New Roman" w:cs="Times New Roman" w:eastAsia="Times New Roman" w:hAnsi="Times New Roman"/>
            <w:sz w:val="18"/>
            <w:szCs w:val="18"/>
            <w:u w:val="single" w:color="auto"/>
            <w:color w:val="0000EE"/>
          </w:rPr>
          <w:t>June 18, 2014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under the Exchange Act, including any amendment or report filed for the purpose of updating such description, including</w:t>
      </w:r>
      <w:r>
        <w:rPr>
          <w:rFonts w:ascii="Times New Roman" w:cs="Times New Roman" w:eastAsia="Times New Roman" w:hAnsi="Times New Roman"/>
          <w:sz w:val="18"/>
          <w:szCs w:val="18"/>
          <w:color w:val="0000EE"/>
        </w:rPr>
        <w:t xml:space="preserve"> </w:t>
      </w:r>
      <w:hyperlink r:id="rId57">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our Annual Report on Form 10-K for the year ended December 31, 2024.</w:t>
      </w:r>
    </w:p>
    <w:p>
      <w:pPr>
        <w:spacing w:after="0" w:line="176" w:lineRule="exact"/>
        <w:rPr>
          <w:rFonts w:ascii="Times New Roman" w:cs="Times New Roman" w:eastAsia="Times New Roman" w:hAnsi="Times New Roman"/>
          <w:sz w:val="18"/>
          <w:szCs w:val="18"/>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In addition, all documents that we file with the SEC pursuant to Sections 13(a), 13(c), 14 or 15(d) of the Exchange Act after the date of this prospectus supplement and before the termination of the offering of our securities shall be deemed incorporated by reference into this prospectus supplement and accompanying prospectus and to be a part of this prospectus supplement and the accompanying prospectus from the respective dates of filing such documents. We are not, however, incorporating by reference any documents or portions thereof, whether specifically listed above or filed in the future, that are not deemed “filed” with the SEC, including any information furnished pursuant to items 2.02 or 7.01 of Form 8-K or related exhibits furnished pursuant to Item 9.01 of Form 8-K.</w:t>
      </w:r>
    </w:p>
    <w:p>
      <w:pPr>
        <w:spacing w:after="0" w:line="187" w:lineRule="exact"/>
        <w:rPr>
          <w:rFonts w:ascii="Times New Roman" w:cs="Times New Roman" w:eastAsia="Times New Roman" w:hAnsi="Times New Roman"/>
          <w:sz w:val="18"/>
          <w:szCs w:val="18"/>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Any statement contained in a document incorporated by reference in this prospectus supplement and the accompanying prospectus shall be deemed to be modified or superseded for purposes of this prospectus supplement and the accompanying prospectus to the extent that a statement contained in this prospectus supplement or in any other subsequently filed document that also is or is deemed to be incorporated by reference in this prospectus supplement modifies or supersedes such statement. Any statement so modified or superseded shall not be deemed, except as so modified or superseded, to constitute a part of this prospectus supplement or the accompanying prospectus.</w:t>
      </w:r>
    </w:p>
    <w:p>
      <w:pPr>
        <w:spacing w:after="0" w:line="183" w:lineRule="exact"/>
        <w:rPr>
          <w:rFonts w:ascii="Times New Roman" w:cs="Times New Roman" w:eastAsia="Times New Roman" w:hAnsi="Times New Roman"/>
          <w:sz w:val="18"/>
          <w:szCs w:val="18"/>
          <w:color w:val="auto"/>
        </w:rPr>
      </w:pPr>
    </w:p>
    <w:p>
      <w:pPr>
        <w:ind w:left="120" w:right="580"/>
        <w:spacing w:after="0" w:line="266" w:lineRule="auto"/>
        <w:rPr>
          <w:sz w:val="20"/>
          <w:szCs w:val="20"/>
          <w:color w:val="auto"/>
        </w:rPr>
      </w:pPr>
      <w:r>
        <w:rPr>
          <w:rFonts w:ascii="Times New Roman" w:cs="Times New Roman" w:eastAsia="Times New Roman" w:hAnsi="Times New Roman"/>
          <w:sz w:val="18"/>
          <w:szCs w:val="18"/>
          <w:color w:val="auto"/>
        </w:rPr>
        <w:t>You may obtain copies of any of these filings by contacting us at the address and telephone number indicated below. Documents incorporated by reference are available from us without charge, excluding all exhibits unless an exhibit has been specifically incorporated by reference into this prospectus supplement and the accompanying prospectus, by requesting them in writing or by telephone at:</w:t>
      </w:r>
    </w:p>
    <w:p>
      <w:pPr>
        <w:spacing w:after="0" w:line="176"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Three Bala Plaza East, Suite 506</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Bala Cynwyd, PA 19004</w:t>
      </w:r>
    </w:p>
    <w:p>
      <w:pPr>
        <w:spacing w:after="0" w:line="9" w:lineRule="exact"/>
        <w:rPr>
          <w:rFonts w:ascii="Times New Roman" w:cs="Times New Roman" w:eastAsia="Times New Roman" w:hAnsi="Times New Roman"/>
          <w:sz w:val="18"/>
          <w:szCs w:val="18"/>
          <w:color w:val="auto"/>
        </w:rPr>
      </w:pPr>
    </w:p>
    <w:p>
      <w:pPr>
        <w:ind w:left="5500" w:hanging="435"/>
        <w:spacing w:after="0"/>
        <w:tabs>
          <w:tab w:leader="none" w:pos="5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511-9056</w:t>
      </w:r>
    </w:p>
    <w:p>
      <w:pPr>
        <w:spacing w:after="0" w:line="9" w:lineRule="exact"/>
        <w:rPr>
          <w:rFonts w:ascii="Times New Roman" w:cs="Times New Roman" w:eastAsia="Times New Roman" w:hAnsi="Times New Roman"/>
          <w:sz w:val="18"/>
          <w:szCs w:val="18"/>
          <w:color w:val="auto"/>
        </w:rPr>
      </w:pPr>
    </w:p>
    <w:p>
      <w:pPr>
        <w:ind w:left="4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Chief Financial Officer</w:t>
      </w:r>
    </w:p>
    <w:p>
      <w:pPr>
        <w:spacing w:after="0" w:line="13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$300,000,000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182245</wp:posOffset>
            </wp:positionV>
            <wp:extent cx="2571750" cy="10204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2571750"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may offer and sell up to $300,000,000 in the aggregate of the securities identified above from time to time in one or more offerings. This prospectus provides you with a general description of the securities.</w:t>
      </w:r>
    </w:p>
    <w:p>
      <w:pPr>
        <w:spacing w:after="0" w:line="162" w:lineRule="exact"/>
        <w:rPr>
          <w:sz w:val="20"/>
          <w:szCs w:val="20"/>
          <w:color w:val="auto"/>
        </w:rPr>
      </w:pPr>
    </w:p>
    <w:p>
      <w:pPr>
        <w:ind w:left="120" w:right="220"/>
        <w:spacing w:after="0" w:line="289" w:lineRule="auto"/>
        <w:rPr>
          <w:sz w:val="20"/>
          <w:szCs w:val="20"/>
          <w:color w:val="auto"/>
        </w:rPr>
      </w:pPr>
      <w:r>
        <w:rPr>
          <w:rFonts w:ascii="Times New Roman" w:cs="Times New Roman" w:eastAsia="Times New Roman" w:hAnsi="Times New Roman"/>
          <w:sz w:val="17"/>
          <w:szCs w:val="17"/>
          <w:color w:val="auto"/>
        </w:rPr>
        <w:t>Each time we offer and sell securities, we will provide a supplement to this prospectus that contains specific information about the offering and the amounts, prices and terms of the securities. The prospectus supplement may also add, update or change information contained in this prospectus with respect to that offering. You should carefully read this prospectus and the applicable prospectus supplement before you invest in any of our securities.</w:t>
      </w:r>
    </w:p>
    <w:p>
      <w:pPr>
        <w:spacing w:after="0" w:line="15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216535</wp:posOffset>
            </wp:positionV>
            <wp:extent cx="1474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20" w:right="72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SECURITIES INVOLVES RISKS. SEE THE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8 OF THIS PROSPECTUS AND ANY SIMILAR SECTION CONTAINED IN THE APPLICABLE PROSPECTUS SUPPLEMENT CONCERNING FACTORS YOU SHOULD CONSIDER BEFORE INVESTING IN OUR SECURITIES.</w:t>
      </w:r>
    </w:p>
    <w:p>
      <w:pPr>
        <w:spacing w:after="0" w:line="18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“LRMR.” On May 8, 2024, the last reported sale price of our common stock on the Nasdaq Global Market was $7.92 per share.</w:t>
      </w:r>
    </w:p>
    <w:p>
      <w:pPr>
        <w:spacing w:after="0" w:line="158"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207010</wp:posOffset>
            </wp:positionV>
            <wp:extent cx="1474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date of this prospectus is May 24, 2024.</w:t>
      </w:r>
    </w:p>
    <w:p>
      <w:pPr>
        <w:sectPr>
          <w:pgSz w:w="11900" w:h="16838" w:orient="portrait"/>
          <w:cols w:equalWidth="0" w:num="1">
            <w:col w:w="11100"/>
          </w:cols>
          <w:pgMar w:left="320" w:top="455"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822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7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304"/>
        </w:trPr>
        <w:tc>
          <w:tcPr>
            <w:tcW w:w="82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304"/>
        </w:trPr>
        <w:tc>
          <w:tcPr>
            <w:tcW w:w="51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3040" w:type="dxa"/>
            <w:vAlign w:val="bottom"/>
            <w:gridSpan w:val="2"/>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4"/>
        </w:trPr>
        <w:tc>
          <w:tcPr>
            <w:tcW w:w="57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440" w:type="dxa"/>
            <w:vAlign w:val="bottom"/>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04"/>
        </w:trPr>
        <w:tc>
          <w:tcPr>
            <w:tcW w:w="15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ABOUT LARIMAR</w:t>
            </w:r>
          </w:p>
        </w:tc>
        <w:tc>
          <w:tcPr>
            <w:tcW w:w="6720" w:type="dxa"/>
            <w:vAlign w:val="bottom"/>
            <w:gridSpan w:val="13"/>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04"/>
        </w:trPr>
        <w:tc>
          <w:tcPr>
            <w:tcW w:w="82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34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304"/>
        </w:trPr>
        <w:tc>
          <w:tcPr>
            <w:tcW w:w="15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USE OF PROCEEDS</w:t>
            </w:r>
          </w:p>
        </w:tc>
        <w:tc>
          <w:tcPr>
            <w:tcW w:w="6640" w:type="dxa"/>
            <w:vAlign w:val="bottom"/>
            <w:gridSpan w:val="12"/>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04"/>
        </w:trPr>
        <w:tc>
          <w:tcPr>
            <w:tcW w:w="82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34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304"/>
        </w:trPr>
        <w:tc>
          <w:tcPr>
            <w:tcW w:w="30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200" w:type="dxa"/>
            <w:vAlign w:val="bottom"/>
            <w:gridSpan w:val="5"/>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04"/>
        </w:trPr>
        <w:tc>
          <w:tcPr>
            <w:tcW w:w="24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DESCRIPTION OF WARRANTS</w:t>
            </w:r>
          </w:p>
        </w:tc>
        <w:tc>
          <w:tcPr>
            <w:tcW w:w="5740" w:type="dxa"/>
            <w:vAlign w:val="bottom"/>
            <w:gridSpan w:val="7"/>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04"/>
        </w:trPr>
        <w:tc>
          <w:tcPr>
            <w:tcW w:w="20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DESCRIPTION OF UNITS</w:t>
            </w:r>
          </w:p>
        </w:tc>
        <w:tc>
          <w:tcPr>
            <w:tcW w:w="6200" w:type="dxa"/>
            <w:vAlign w:val="bottom"/>
            <w:gridSpan w:val="10"/>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04"/>
        </w:trPr>
        <w:tc>
          <w:tcPr>
            <w:tcW w:w="82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DESCRIPTION OF OUR SUBSCRIPTION RIGHTS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04"/>
        </w:trPr>
        <w:tc>
          <w:tcPr>
            <w:tcW w:w="180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GLOBAL SECURITIES</w:t>
            </w:r>
          </w:p>
        </w:tc>
        <w:tc>
          <w:tcPr>
            <w:tcW w:w="2080" w:type="dxa"/>
            <w:vAlign w:val="bottom"/>
            <w:tcBorders>
              <w:top w:val="single" w:sz="8" w:color="0000EE"/>
            </w:tcBorders>
            <w:gridSpan w:val="8"/>
          </w:tcPr>
          <w:p>
            <w:pPr>
              <w:spacing w:after="0"/>
              <w:rPr>
                <w:sz w:val="24"/>
                <w:szCs w:val="24"/>
                <w:color w:val="auto"/>
              </w:rPr>
            </w:pPr>
          </w:p>
        </w:tc>
        <w:tc>
          <w:tcPr>
            <w:tcW w:w="4340" w:type="dxa"/>
            <w:vAlign w:val="bottom"/>
            <w:gridSpan w:val="3"/>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04"/>
        </w:trPr>
        <w:tc>
          <w:tcPr>
            <w:tcW w:w="82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04"/>
        </w:trPr>
        <w:tc>
          <w:tcPr>
            <w:tcW w:w="14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5"/>
          </w:tcPr>
          <w:p>
            <w:pPr>
              <w:spacing w:after="0"/>
              <w:rPr>
                <w:sz w:val="24"/>
                <w:szCs w:val="24"/>
                <w:color w:val="auto"/>
              </w:rPr>
            </w:pPr>
          </w:p>
        </w:tc>
        <w:tc>
          <w:tcPr>
            <w:tcW w:w="6180" w:type="dxa"/>
            <w:vAlign w:val="bottom"/>
            <w:gridSpan w:val="9"/>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04"/>
        </w:trPr>
        <w:tc>
          <w:tcPr>
            <w:tcW w:w="82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EXPERTS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85"/>
        </w:trPr>
        <w:tc>
          <w:tcPr>
            <w:tcW w:w="76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w:t>
            </w:r>
          </w:p>
        </w:tc>
        <w:tc>
          <w:tcPr>
            <w:tcW w:w="274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the SEC, using a “shelf” registration process. By using a shelf registration statement, we may, from time to time, offer and sell, either individually or in combination, in one or more offerings, up to a total dollar amount of $300,000,000 of any combination of the securities described in this prospectus.</w:t>
      </w:r>
    </w:p>
    <w:p>
      <w:pPr>
        <w:spacing w:after="0" w:line="176"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This prospectus provides you only with a general description of the securities that we may offer.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or incorporated by reference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w:t>
      </w:r>
    </w:p>
    <w:p>
      <w:pPr>
        <w:spacing w:after="0" w:line="19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or to make any representations other than those contained in, or incorporated by reference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prospectus may not be used to consummate sales of our securities, unless it is accompanied by a prospectus supplement.</w:t>
      </w:r>
    </w:p>
    <w:p>
      <w:pPr>
        <w:spacing w:after="0" w:line="225"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When we refer to “Larimar,” “Larimar Therapeutics,” “we,” “our,” “us” and the “Company” in this prospectus, we mean Larimar Therapeutics, Inc. and its subsidiary unless otherwise specified. When we refer to “you,” we mean the potential holders of the applicable series of securities.</w:t>
      </w:r>
    </w:p>
    <w:p>
      <w:pPr>
        <w:spacing w:after="0" w:line="162" w:lineRule="exact"/>
        <w:rPr>
          <w:sz w:val="20"/>
          <w:szCs w:val="20"/>
          <w:color w:val="auto"/>
        </w:rPr>
      </w:pPr>
    </w:p>
    <w:p>
      <w:pPr>
        <w:ind w:left="120" w:right="80"/>
        <w:spacing w:after="0" w:line="236" w:lineRule="auto"/>
        <w:rPr>
          <w:sz w:val="20"/>
          <w:szCs w:val="20"/>
          <w:color w:val="auto"/>
        </w:rPr>
      </w:pPr>
      <w:r>
        <w:rPr>
          <w:rFonts w:ascii="Times New Roman" w:cs="Times New Roman" w:eastAsia="Times New Roman" w:hAnsi="Times New Roman"/>
          <w:sz w:val="18"/>
          <w:szCs w:val="18"/>
          <w:color w:val="auto"/>
        </w:rPr>
        <w:t xml:space="preserve">This prospectus contains or incorporates by reference documents that contain references to trademarks, service marks and trade names owned by us or other entities. All trademarks, service marks and trade names included or incorporated by reference into this prospectus are the property of their respective owners. Solely for convenience, trademarks, service marks and trade names referred to in this prospectus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such references are not intended to indicate, in any way, that their respective owners will not assert, to the fullest extent under applicable law, their rights thereto. We do not intend our use or display of other companies’ trade names, trademarks or service marks to imply a relationship with, or endorsement or sponsorship of us by, these other companies.</w:t>
      </w:r>
    </w:p>
    <w:p>
      <w:pPr>
        <w:spacing w:after="0" w:line="13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This prospectus is part of the registration statement on Form S-3 filed with the SEC under the Securities Act of 1933, as amended, or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herein by reference for a copy of such contract, agreement or other document.</w:t>
      </w:r>
    </w:p>
    <w:p>
      <w:pPr>
        <w:spacing w:after="0" w:line="180" w:lineRule="exact"/>
        <w:rPr>
          <w:sz w:val="20"/>
          <w:szCs w:val="20"/>
          <w:color w:val="auto"/>
        </w:rPr>
      </w:pPr>
    </w:p>
    <w:p>
      <w:pPr>
        <w:ind w:left="120" w:right="360"/>
        <w:spacing w:after="0" w:line="261" w:lineRule="auto"/>
        <w:rPr>
          <w:sz w:val="20"/>
          <w:szCs w:val="20"/>
          <w:color w:val="auto"/>
        </w:rPr>
      </w:pPr>
      <w:r>
        <w:rPr>
          <w:rFonts w:ascii="Times New Roman" w:cs="Times New Roman" w:eastAsia="Times New Roman" w:hAnsi="Times New Roman"/>
          <w:sz w:val="18"/>
          <w:szCs w:val="18"/>
          <w:color w:val="auto"/>
        </w:rPr>
        <w:t>We are currently subject to the reporting requirements of the Securities Exchange Act of 1934, as amended, or the Exchange Act, and in accordance therewith file periodic reports, proxy statements and other information with the SEC. Our SEC filings are available to you on the SEC’s website at http://www.sec.gov and in the “Investors” section of our website at www.larimartx.com. Our website and the information contained on that site, or connected to that site, are not incorporated into and are not a part of this prospectus.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w:t>
      </w:r>
    </w:p>
    <w:p>
      <w:pPr>
        <w:spacing w:after="0" w:line="93"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6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filed with the SEC on March 14,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 ended March 31, 2024 filed with the SEC on </w:t>
      </w:r>
      <w:hyperlink r:id="rId67">
        <w:r>
          <w:rPr>
            <w:rFonts w:ascii="Times New Roman" w:cs="Times New Roman" w:eastAsia="Times New Roman" w:hAnsi="Times New Roman"/>
            <w:sz w:val="18"/>
            <w:szCs w:val="18"/>
            <w:u w:val="single" w:color="auto"/>
            <w:color w:val="0000EE"/>
          </w:rPr>
          <w:t>May 9,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w:t>
      </w:r>
      <w:hyperlink r:id="rId6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2023 from our Definitive Proxy Statement on </w:t>
      </w:r>
      <w:hyperlink r:id="rId68">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29, 2024;</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69">
        <w:r>
          <w:rPr>
            <w:rFonts w:ascii="Times New Roman" w:cs="Times New Roman" w:eastAsia="Times New Roman" w:hAnsi="Times New Roman"/>
            <w:sz w:val="18"/>
            <w:szCs w:val="18"/>
            <w:u w:val="single" w:color="auto"/>
            <w:color w:val="0000EE"/>
          </w:rPr>
          <w:t>February 12, 2024</w:t>
        </w:r>
      </w:hyperlink>
      <w:r>
        <w:rPr>
          <w:rFonts w:ascii="Times New Roman" w:cs="Times New Roman" w:eastAsia="Times New Roman" w:hAnsi="Times New Roman"/>
          <w:sz w:val="18"/>
          <w:szCs w:val="18"/>
          <w:color w:val="auto"/>
        </w:rPr>
        <w:t xml:space="preserve">, </w:t>
      </w:r>
      <w:hyperlink r:id="rId70">
        <w:r>
          <w:rPr>
            <w:rFonts w:ascii="Times New Roman" w:cs="Times New Roman" w:eastAsia="Times New Roman" w:hAnsi="Times New Roman"/>
            <w:sz w:val="18"/>
            <w:szCs w:val="18"/>
            <w:u w:val="single" w:color="auto"/>
            <w:color w:val="0000EE"/>
          </w:rPr>
          <w:t>February 14, 2024</w:t>
        </w:r>
      </w:hyperlink>
      <w:r>
        <w:rPr>
          <w:rFonts w:ascii="Times New Roman" w:cs="Times New Roman" w:eastAsia="Times New Roman" w:hAnsi="Times New Roman"/>
          <w:sz w:val="18"/>
          <w:szCs w:val="18"/>
          <w:color w:val="auto"/>
        </w:rPr>
        <w:t xml:space="preserve">, </w:t>
      </w:r>
      <w:hyperlink r:id="rId71">
        <w:r>
          <w:rPr>
            <w:rFonts w:ascii="Times New Roman" w:cs="Times New Roman" w:eastAsia="Times New Roman" w:hAnsi="Times New Roman"/>
            <w:sz w:val="18"/>
            <w:szCs w:val="18"/>
            <w:u w:val="single" w:color="auto"/>
            <w:color w:val="0000EE"/>
          </w:rPr>
          <w:t>February 16, 2024</w:t>
        </w:r>
      </w:hyperlink>
      <w:r>
        <w:rPr>
          <w:rFonts w:ascii="Times New Roman" w:cs="Times New Roman" w:eastAsia="Times New Roman" w:hAnsi="Times New Roman"/>
          <w:sz w:val="18"/>
          <w:szCs w:val="18"/>
          <w:color w:val="auto"/>
        </w:rPr>
        <w:t xml:space="preserve">, </w:t>
      </w:r>
      <w:hyperlink r:id="rId72">
        <w:r>
          <w:rPr>
            <w:rFonts w:ascii="Times New Roman" w:cs="Times New Roman" w:eastAsia="Times New Roman" w:hAnsi="Times New Roman"/>
            <w:sz w:val="18"/>
            <w:szCs w:val="18"/>
            <w:u w:val="single" w:color="auto"/>
            <w:color w:val="0000EE"/>
          </w:rPr>
          <w:t>March 11,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73">
        <w:r>
          <w:rPr>
            <w:rFonts w:ascii="Times New Roman" w:cs="Times New Roman" w:eastAsia="Times New Roman" w:hAnsi="Times New Roman"/>
            <w:sz w:val="18"/>
            <w:szCs w:val="18"/>
            <w:u w:val="single" w:color="auto"/>
            <w:color w:val="0000EE"/>
          </w:rPr>
          <w:t>May 9, 2024</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(in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each case other than any portions thereof deemed furnished and not filed); and</w:t>
      </w:r>
    </w:p>
    <w:p>
      <w:pPr>
        <w:spacing w:after="0" w:line="67" w:lineRule="exact"/>
        <w:rPr>
          <w:rFonts w:ascii="Times New Roman" w:cs="Times New Roman" w:eastAsia="Times New Roman" w:hAnsi="Times New Roman"/>
          <w:sz w:val="18"/>
          <w:szCs w:val="18"/>
          <w:color w:val="0000EE"/>
        </w:rPr>
      </w:pPr>
    </w:p>
    <w:p>
      <w:pPr>
        <w:ind w:left="1080" w:right="200" w:hanging="424"/>
        <w:spacing w:after="0" w:line="266" w:lineRule="auto"/>
        <w:tabs>
          <w:tab w:leader="none" w:pos="1080" w:val="left"/>
        </w:tabs>
        <w:numPr>
          <w:ilvl w:val="0"/>
          <w:numId w:val="2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56">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001-36510) filed with the SEC on June 18, 2014, under the Exchange Act, including any amendment or report filed for the purpose of updating such description, including </w:t>
      </w:r>
      <w:hyperlink r:id="rId57">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our Annual Report on Form 10-K for the year ended December 31, 2023.</w:t>
      </w:r>
    </w:p>
    <w:p>
      <w:pPr>
        <w:spacing w:after="0" w:line="176" w:lineRule="exact"/>
        <w:rPr>
          <w:rFonts w:ascii="Times New Roman" w:cs="Times New Roman" w:eastAsia="Times New Roman" w:hAnsi="Times New Roman"/>
          <w:sz w:val="18"/>
          <w:szCs w:val="18"/>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any filings or portions of such reports that are not deemed “filed” under the Exchange Act in accordance with the Exchange Act and applicable SEC rules, including current reports furnished under Item 2.02 or Item 7.01 of Form 8-K and exhibits furnished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the effectiveness of the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w:t>
      </w:r>
    </w:p>
    <w:p>
      <w:pPr>
        <w:spacing w:after="0" w:line="121"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will furnish without charge to you, upon written or oral request, a copy of any or all of the documents incorporated by reference in this prospectus, including exhibits to these documents by writing or telephoning us at the following address or phone number below. You may also access this information on our website at www.larimartx.com by viewing the “Financials &amp; Filings” subsection of the “Investors” menu. No additional information is deemed to be part of or incorporated by reference into this prospectus.</w:t>
      </w:r>
    </w:p>
    <w:p>
      <w:pPr>
        <w:spacing w:after="0" w:line="1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Three Bala Plaza East, Suite 506</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Bala Cynwyd, PA 19004</w:t>
      </w:r>
    </w:p>
    <w:p>
      <w:pPr>
        <w:spacing w:after="0" w:line="9" w:lineRule="exact"/>
        <w:rPr>
          <w:sz w:val="20"/>
          <w:szCs w:val="20"/>
          <w:color w:val="auto"/>
        </w:rPr>
      </w:pPr>
    </w:p>
    <w:p>
      <w:pPr>
        <w:ind w:left="5500" w:hanging="435"/>
        <w:spacing w:after="0"/>
        <w:tabs>
          <w:tab w:leader="none" w:pos="5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511-9056</w:t>
      </w:r>
    </w:p>
    <w:p>
      <w:pPr>
        <w:spacing w:after="0" w:line="9" w:lineRule="exact"/>
        <w:rPr>
          <w:rFonts w:ascii="Times New Roman" w:cs="Times New Roman" w:eastAsia="Times New Roman" w:hAnsi="Times New Roman"/>
          <w:sz w:val="18"/>
          <w:szCs w:val="18"/>
          <w:color w:val="auto"/>
        </w:rPr>
      </w:pPr>
    </w:p>
    <w:p>
      <w:pPr>
        <w:ind w:left="4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Chief Financial Officer</w:t>
      </w:r>
    </w:p>
    <w:p>
      <w:pPr>
        <w:spacing w:after="0" w:line="13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60"/>
          </w:cols>
          <w:pgMar w:left="320" w:top="455" w:right="5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This prospectus, any applicable prospectus supplement and the documents incorporated by reference may contain forward-looking statements within the meaning of Section 27A of the Securities Act and Section 21E of the Exchange Act about us and our subsidiary.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although not all forward-looking statements contain these identifying words. Forward-looking statements include, but are not limited to, statements concerning:</w:t>
      </w:r>
    </w:p>
    <w:p>
      <w:pPr>
        <w:spacing w:after="0" w:line="94" w:lineRule="exact"/>
        <w:rPr>
          <w:sz w:val="20"/>
          <w:szCs w:val="20"/>
          <w:color w:val="auto"/>
        </w:rPr>
      </w:pPr>
    </w:p>
    <w:p>
      <w:pPr>
        <w:ind w:left="1080" w:hanging="424"/>
        <w:spacing w:after="0" w:line="258"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obtaining successful non-clinical or clinical results that reliably and meaningfully demonstrate safety, tolerability and efficacy profiles that are satisfactory to the U.S. Food and Drug Administration, or FDA, European Medicines Agency, and other comparable regulatory authorities for marketing approval for nomlabofusp (nomlabofusp is the International Nonproprietary Name and the United States Adopted Name for CTI-1601) or any other product candidate that we may develop in the future and unexpected costs that may result therefrom;</w:t>
      </w:r>
    </w:p>
    <w:p>
      <w:pPr>
        <w:spacing w:after="0" w:line="88"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successfully execute our ongoing open label extension study, including the timing of site initiations and rate of patient enrollment, and our ability to pursue dose escalation;</w:t>
      </w:r>
    </w:p>
    <w:p>
      <w:pPr>
        <w:spacing w:after="0" w:line="6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clinical development and regulatory approval for nomlabofusp, including potential delays in the commencement, enrollment and completion of clinical trials, the timing of a potential Biologics License Application submission for accelerated approval, including our ability to supply to the FDA all required data for FDA to review and accept an accelerated application, or any other product candidate that we may develop in the future;</w:t>
      </w:r>
    </w:p>
    <w:p>
      <w:pPr>
        <w:spacing w:after="0" w:line="85" w:lineRule="exact"/>
        <w:rPr>
          <w:rFonts w:ascii="Times New Roman" w:cs="Times New Roman" w:eastAsia="Times New Roman" w:hAnsi="Times New Roman"/>
          <w:sz w:val="18"/>
          <w:szCs w:val="18"/>
          <w:color w:val="auto"/>
        </w:rPr>
      </w:pPr>
    </w:p>
    <w:p>
      <w:pPr>
        <w:ind w:left="1080" w:right="340" w:hanging="424"/>
        <w:spacing w:after="0" w:line="261"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patient recruitment for our clinical trials (including as a result of the impact of FDA approval of competitive products for the treatment of Friedreich’s ataxia, and/or the impact of other clinical trials of competitive products), delays as a result of clinical and non-clinical results and/or FDA’s request for additional information or studies, changes in clinical protocols, regulatory restrictions, including additional clinical holds, and milestones for nomlabofusp;</w:t>
      </w:r>
    </w:p>
    <w:p>
      <w:pPr>
        <w:spacing w:after="0" w:line="85"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and expenses associated with obtaining and maintaining regulatory approval for nomlabofusp or any other product candidate we may develop in the future, and the indication and labeling under any such approval;</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long we can continue to fund our operations with our existing cash, cash equivalents and marketable securities and our estimates regarding future results of operations, financial position, research and development costs, capital requirements and our access and needs for additional financing;</w:t>
      </w:r>
    </w:p>
    <w:p>
      <w:pPr>
        <w:spacing w:after="0" w:line="81"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third-party manufacturers we engage, to optimize and scale nomlabofusp or any other product candidate’s manufacturing process and to manufacture sufficient quantities of clinical supplies, and, if approved, commercial supplies of nomlabofusp or any other product candidate that we may develop in the future and our ability to maintain our relationships and contracts with our key vendors and to identify and contract with alternate or secondary key vendors;</w:t>
      </w:r>
    </w:p>
    <w:p>
      <w:pPr>
        <w:spacing w:after="0" w:line="85"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any value from nomlabofusp and/or any other product candidate we may develop in the future in light of inherent risks and difficulties involved in successfully bringing product candidates to market and the risk that the product candidates, if approved, will not achieve broad market acceptance;</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regulatory requirements applicable to our business and other regulatory developments in the United States and other countries;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0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potential markets for nomlabofusp, if approved, or any other product candidate that we may develop in the future, the rate and degree of market acceptance of nomlabofusp or any other product candidate, if approved, that we may develop in the future and our ability to serve those markets;</w:t>
      </w:r>
    </w:p>
    <w:p>
      <w:pPr>
        <w:spacing w:after="0" w:line="81" w:lineRule="exact"/>
        <w:rPr>
          <w:rFonts w:ascii="Times New Roman" w:cs="Times New Roman" w:eastAsia="Times New Roman" w:hAnsi="Times New Roman"/>
          <w:sz w:val="18"/>
          <w:szCs w:val="18"/>
          <w:color w:val="auto"/>
        </w:rPr>
      </w:pPr>
    </w:p>
    <w:p>
      <w:pPr>
        <w:ind w:left="1080" w:right="280" w:hanging="424"/>
        <w:spacing w:after="0" w:line="261"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competing therapies and products for the treatment of Friedreich’s ataxia, our ability to obtain and maintain designations or eligibility for expedited regulatory programs, and to commercialize current and future product candidates, if approved, (including the impact of potential barriers to entry if a competitor is able to establish a strong market position before we are able to commercialize our products);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protection and defend our intellectual property rights against third parties;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compliance with the rules and regulations of the FDA (and all other regulatory authorities) of third parties upon which we depend, including third-party contract research organizations, consultants and third-party suppliers, manufacturers, distributors, and logistics providers;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scientific, technical, commercial, and management personnel and to retain our executive officers;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proper functionality and security of our internal computer and information systems and prevent or avoid cyber-attacks, malicious intrusion, breakdown, destruction, loss of data privacy or other significant disruption;</w:t>
      </w:r>
    </w:p>
    <w:p>
      <w:pPr>
        <w:spacing w:after="0" w:line="67"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geopolitical tensions, including regional conflicts around the world, adverse macroeconomic events, including those due to inflationary pressures, rising interest rates, banking instability, economic slowdowns or recessions, health epidemics, unforeseen emergencies and other outbreaks of communicable diseases could disrupt our operations, the operations of third parties on which we rely or the operations of regulatory agencies we interact with in the development of nomlabofusp and any other product candidates that we may develop;</w:t>
      </w:r>
    </w:p>
    <w:p>
      <w:pPr>
        <w:spacing w:after="0" w:line="88"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healthcare reform in the United States, including the Inflation Reduction Act of 2022, and measures being taken worldwide designed to reduce healthcare costs and limit the overall level of government expenditures;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cash and other resources, including our expected use of the proceeds from any offering under this prospectus.</w:t>
      </w:r>
    </w:p>
    <w:p>
      <w:pPr>
        <w:spacing w:after="0" w:line="225"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You should read this prospectus and the documents incorporated by reference completely and with the understanding that our actual future results may be materially different from what we currently expect. Our business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discussed under the heading “Risk Factors” contained in this prospectus, any applicable prospectus supplement and any related free writing prospectus, and under similar headings in the other documents that are incorporated by reference into this prospectus.</w:t>
      </w:r>
    </w:p>
    <w:p>
      <w:pPr>
        <w:spacing w:after="0" w:line="18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You should assume that the information appearing in this prospectus, any accompanying prospectus supplement or related free writing prospectus and any document incorporated herein by reference is accurate as of its date only. Because the risk factors referred to above could cause actual results or outcomes to differ materially from those expressed in any forward-looking statements made by us or on our behalf, you should not place undue reliance on any forward-looking statements. Further, any forward-looking statement speaks only as of the date on which it is made. New factors emerge from time to time, and it is not possible for us to predict which factors will arise. In addition, we cannot assess the impact of each factor on our business or the extent to which any factor, or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combination of factors, may cause actual results to differ materially from those contained in any forward-looking statements. Unless required by law, we undertake no obligation to release publicly any revisions to such forward-looking statements to reflect events or circumstances after the date of this prospectus or to reflect the occurrence of unanticipated events.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LARIMAR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We are a clinical-stage biotechnology company focused on developing treatments for patients suffering from complex rare diseases using our novel cell penetrating peptide, or CPP, technology platform. Our lead product candidate, nomlabofusp (nomlabofusp is the International Nonproprietary Name and the United States Adopted Name for CTI-1601), is a subcutaneously administered, recombinant fusion protein intended to deliver tissue frataxin, or FXN, an essential protein, to the mitochondria of patients with Friedreich’s ataxia. Friedreich’s ataxia is a rare, progressive, and fatal disease in which patients are unable to produce sufficient FXN due to a genetic abnormality. Currently, there are no treatment options that address the core deficit of Friedreich’s ataxia, low levels of FXN. Nomlabofusp represents the first potential therapy designed to increase FXN levels in patients with Friedreich’s ataxia.</w:t>
      </w:r>
    </w:p>
    <w:p>
      <w:pPr>
        <w:spacing w:after="0" w:line="189" w:lineRule="exact"/>
        <w:rPr>
          <w:sz w:val="20"/>
          <w:szCs w:val="20"/>
          <w:color w:val="auto"/>
        </w:rPr>
      </w:pPr>
    </w:p>
    <w:p>
      <w:pPr>
        <w:ind w:left="120" w:right="20"/>
        <w:spacing w:after="0" w:line="274" w:lineRule="auto"/>
        <w:rPr>
          <w:sz w:val="20"/>
          <w:szCs w:val="20"/>
          <w:color w:val="auto"/>
        </w:rPr>
      </w:pPr>
      <w:r>
        <w:rPr>
          <w:rFonts w:ascii="Times New Roman" w:cs="Times New Roman" w:eastAsia="Times New Roman" w:hAnsi="Times New Roman"/>
          <w:sz w:val="17"/>
          <w:szCs w:val="17"/>
          <w:color w:val="auto"/>
        </w:rPr>
        <w:t>We have completed two Phase 1 clinical trials and a Phase 2 dose exploration trial, and recently initiated an open label extension trial, or OLE, in patients with Friedreich’s ataxia. We have received an orphan drug designation, fast track designation and rare pediatric disease designation from the U.S. Food and Drug Administration, or FDA, for nomlabofusp. In addition, we received orphan drug designation for nomlabofusp from the European Commission and a PRIority MEdicines designation from the European Medicines Agency, or EMA. We intend to pursue accelerated approval from the FDA for nomlabofusp. The receipt of such designations or positive opinions may not result in a faster development process, review or approval compared to products considered for approval under conventional FDA or EMA procedures and does not assure ultimate approval by the FDA or EMA.</w:t>
      </w:r>
    </w:p>
    <w:p>
      <w:pPr>
        <w:spacing w:after="0" w:line="173"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We believe that our CPP platform, which enables a therapeutic molecule to cross a cell membrane in order to reach intracellular targets, has the potential to enable the treatment of other rare and orphan diseases. We intend to use our proprietary platform to target additional orphan indications characterized by deficiencies in or alterations of intracellular content or activity.</w:t>
      </w:r>
    </w:p>
    <w:p>
      <w:pPr>
        <w:spacing w:after="0" w:line="176" w:lineRule="exact"/>
        <w:rPr>
          <w:sz w:val="20"/>
          <w:szCs w:val="20"/>
          <w:color w:val="auto"/>
        </w:rPr>
      </w:pPr>
    </w:p>
    <w:p>
      <w:pPr>
        <w:jc w:val="both"/>
        <w:ind w:left="120" w:right="680"/>
        <w:spacing w:after="0" w:line="266"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developing nomlabofusp, building our intellectual property portfolio, developing third-party manufacturing capabilities, business planning, raising capital, and providing general and administrative support for such operations.</w:t>
      </w:r>
    </w:p>
    <w:p>
      <w:pPr>
        <w:spacing w:after="0" w:line="176"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have assembled an experienced management team, each member of which has over 20 years of pharmaceutical industry experience. Our management team and consultants have significant expertise in discovery, nonclinical and clinical development, regulatory affairs and the development of manufacturing processes utilizing good manufacturing practices for biologics and small molecules. We believe that our management team’s diverse mix of skills provides for the implementation of effective approaches to drug and biologic development.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 xml:space="preserve">We were founded in 2005 as a Delaware corporation under the name Zafgen, Inc. Our principal executive offices are located at Three Bala Plaza East, Suite 506, Bala Cynwyd, PA 19004, and our telephone number is (844) 511-9056. Our website address is </w:t>
      </w:r>
      <w:r>
        <w:rPr>
          <w:rFonts w:ascii="Times New Roman" w:cs="Times New Roman" w:eastAsia="Times New Roman" w:hAnsi="Times New Roman"/>
          <w:sz w:val="18"/>
          <w:szCs w:val="18"/>
          <w:i w:val="1"/>
          <w:iCs w:val="1"/>
          <w:color w:val="auto"/>
        </w:rPr>
        <w:t>www.larimartx.com</w:t>
      </w:r>
      <w:r>
        <w:rPr>
          <w:rFonts w:ascii="Times New Roman" w:cs="Times New Roman" w:eastAsia="Times New Roman" w:hAnsi="Times New Roman"/>
          <w:sz w:val="18"/>
          <w:szCs w:val="18"/>
          <w:color w:val="auto"/>
        </w:rPr>
        <w:t>. The information on, or that can be accessed through, our website is not part of this prospectus and is not incorporated by reference herein. We have included our website address as an inactive textual reference only. References in this prospectus to “we,” “us,” “our,” “our company,” “Larimar” or “Larimar Therapeutics” refer to Larimar Therapeutics, Inc. and its subsidiary.</w:t>
      </w:r>
    </w:p>
    <w:p>
      <w:pPr>
        <w:spacing w:after="0" w:line="183"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In May 2020, we completed our business combination with Chondrial Therapeutics, Inc., or Chondrial, and changed our name from “Zafgen, Inc.” to “Larimar Therapeutics, Inc.” Chondrial was determined to be the accounting acquirer for financial reporting purposes, our historical financials are those of Chondrial and the business conducted by Chondrial became our business.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Investment in any securities offered pursuant to this prospectus and the applicable prospectus supplement involves risks. You should carefully consider the risk factors included in our most recent Annual Report on Form 10-K and subsequent Quarterly Reports on Form 10-Q filed with the SEC, as such risk factors may be amended, supplemented or superseded from time to time by other reports we file with the SEC, including subsequent Annual Reports on Form 10-K and Quarterly Reports on Form 10-Q, and the risk factors described under the caption “Risk Factors” in any applicable prospectus supplement. See “Where You Can Find More Information” and “Incorporation of Certain Information by Reference.” If any of these risks actually occurs, our business, results of operations and financial condition could suffer. In that case, the trading price of our securities could decline, and you could lose all or part of your investment. Additional risks and uncertainties not currently known to us, or that we currently believe are immaterial, may also adversely affect our business, operating results and financial condition and the value of an investment in our securities. In addition, past financial performance may not be a reliable indicator of future performance, and historical trends should not be used to anticipate results or trends in future periods.</w:t>
      </w:r>
    </w:p>
    <w:p>
      <w:pPr>
        <w:spacing w:after="0" w:line="1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80"/>
          </w:cols>
          <w:pgMar w:left="320" w:top="455"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We intend to use the net proceeds from the sale of the securities as set forth in the applicable prospectus supplement.</w:t>
      </w:r>
    </w:p>
    <w:p>
      <w:pPr>
        <w:spacing w:after="0" w:line="1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139"/>
          </w:cols>
          <w:pgMar w:left="320" w:top="455"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description of our capital stock is not complete and may not contain all the information you should consider before investing in our capital stock. This description is summarized from, and qualified in its entirety by reference to, our certificate of incorporation, which has been publicly filed with the SEC. See “Where You Can Find More Information.” For a complete description, you should refer to our Ninth Amended and Restated Certificate of Incorporation, as amended, or the Charter, and our Amended and Restated Bylaws, or the Bylaws, copies of which are incorporated by reference as exhibits to the registration statement of which this prospectus is a part.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Authorized Capital Stock</w:t>
      </w:r>
      <w:r>
        <w:rPr>
          <w:rFonts w:ascii="Times New Roman" w:cs="Times New Roman" w:eastAsia="Times New Roman" w:hAnsi="Times New Roman"/>
          <w:sz w:val="18"/>
          <w:szCs w:val="18"/>
          <w:color w:val="auto"/>
        </w:rPr>
        <w:t>. Our authorized capital stock consists of (i) 115,000,000 shares of common stock, par value $0.001 per share, of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63,802,017 shares have been issued and are outstanding as of May 8, 2024, referred to as the capitalization date, and (ii) 5,000,000 shares of preferred stock, par value $0.001 per share, of which no shares have been issued and there currently are no shares outstanding as of the capitalization date. We do not hold any shares of our capital stock in our treasury.</w:t>
      </w:r>
    </w:p>
    <w:p>
      <w:pPr>
        <w:spacing w:after="0" w:line="17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Voting Rights</w:t>
      </w:r>
      <w:r>
        <w:rPr>
          <w:rFonts w:ascii="Times New Roman" w:cs="Times New Roman" w:eastAsia="Times New Roman" w:hAnsi="Times New Roman"/>
          <w:sz w:val="18"/>
          <w:szCs w:val="18"/>
          <w:color w:val="auto"/>
        </w:rPr>
        <w:t>. Holders of our common stock are entitled to one vote for each share held of record on all matters submitted to a vote of stockholders.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our common stock do not have any cumulative voting rights.</w:t>
      </w:r>
    </w:p>
    <w:p>
      <w:pPr>
        <w:spacing w:after="0" w:line="155"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color w:val="auto"/>
        </w:rPr>
        <w:t>. Holders of our common stock are entitled to receive ratably any dividends declared by our Board of Directors, or the Board, out of funds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legally available for that purpose, subject to any preferential dividend rights of any outstanding preferred stock.</w:t>
      </w:r>
    </w:p>
    <w:p>
      <w:pPr>
        <w:spacing w:after="0" w:line="155" w:lineRule="exact"/>
        <w:rPr>
          <w:sz w:val="20"/>
          <w:szCs w:val="20"/>
          <w:color w:val="auto"/>
        </w:rPr>
      </w:pPr>
    </w:p>
    <w:p>
      <w:pPr>
        <w:jc w:val="both"/>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r>
        <w:rPr>
          <w:rFonts w:ascii="Times New Roman" w:cs="Times New Roman" w:eastAsia="Times New Roman" w:hAnsi="Times New Roman"/>
          <w:sz w:val="18"/>
          <w:szCs w:val="18"/>
          <w:color w:val="auto"/>
        </w:rPr>
        <w:t>. Our common stock has no preemptive rights, conversion rights or other subscription rights or redemption or sinking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fund provisions. In the event of a liquidation, dissolution or winding up of us, holders of our common stock will be entitled to share ratably in all assets remaining after payment of all debts and other liabilities and any liquidation preference of any preferred stock then outstanding.</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r>
        <w:rPr>
          <w:rFonts w:ascii="Times New Roman" w:cs="Times New Roman" w:eastAsia="Times New Roman" w:hAnsi="Times New Roman"/>
          <w:sz w:val="18"/>
          <w:szCs w:val="18"/>
          <w:color w:val="auto"/>
        </w:rPr>
        <w:t>. The transfer agent and registrar for our common stock is Computershare Trust Company, N.A.</w:t>
      </w:r>
    </w:p>
    <w:p>
      <w:pPr>
        <w:spacing w:after="0" w:line="225"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Listing</w:t>
      </w:r>
      <w:r>
        <w:rPr>
          <w:rFonts w:ascii="Times New Roman" w:cs="Times New Roman" w:eastAsia="Times New Roman" w:hAnsi="Times New Roman"/>
          <w:sz w:val="18"/>
          <w:szCs w:val="18"/>
          <w:color w:val="auto"/>
        </w:rPr>
        <w:t>. Our common stock is listed on the Nasdaq Global Market under the symbol “LRMR.” On May 8, 2024, the last reported sale price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on the Nasdaq Global Market was $7.92 per share. As of May 8, 2024, we had approximately 19 stockholders of record.</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Our Board currently has the authority, without further action by our stockholders, to issue up to 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preferred stock by us could adversely affect the voting power of holders of our common stock and the likelihood that such holders will receive dividend payments and payments upon a liquidation of us. In addition, the issuance of preferred stock could have the effect of delaying, deferring or preventing a change in control of us or other corporate action. No shares of preferred stock are outstanding, and we have no present plans to issue any shares of preferred stock.</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Provisions of Our Charter and Bylaws and Delaware Anti-Takeover Law</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Certain provisions of the Delaware General Corporation Law, or DGCL, and of our Charter and Bylaws could have the effect of delaying, deferring or discouraging another party from acquiring control of us. These provisions, which are summarized below, are expected to discourage certain types of coercive takeover practices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us to first negotiate with our Board. These provisions might also have the effect of preventing changes in our management. It is possible that these provisions could make it more difficult to accomplish transactions that stockholders might otherwise deem to be in their best interests. However,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185" w:lineRule="exact"/>
        <w:rPr>
          <w:sz w:val="20"/>
          <w:szCs w:val="20"/>
          <w:color w:val="auto"/>
        </w:rPr>
      </w:pPr>
    </w:p>
    <w:p>
      <w:pPr>
        <w:ind w:left="120"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Board Composition and Filling Vacancies</w:t>
      </w:r>
      <w:r>
        <w:rPr>
          <w:rFonts w:ascii="Times New Roman" w:cs="Times New Roman" w:eastAsia="Times New Roman" w:hAnsi="Times New Roman"/>
          <w:sz w:val="18"/>
          <w:szCs w:val="18"/>
          <w:color w:val="auto"/>
        </w:rPr>
        <w:t>. Our Charter provides for the division of our Board into three classes serving staggered three-year terms,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one class being elected each year. Our Charter also provides that directors may be removed only for cause and then only by the affirmative vote of the holders of 75% or more of the shares then entitled to vote at an election of directors. Furthermore, any vacancy on our Board, however occurring, including a vacancy resulting from an increase in the size of our Board, may only be filled by the affirmative vote of a majority of our directors then in office even if less than a quorum.</w:t>
      </w:r>
    </w:p>
    <w:p>
      <w:pPr>
        <w:spacing w:after="0" w:line="179"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 Written Consent of Stockholders</w:t>
      </w:r>
      <w:r>
        <w:rPr>
          <w:rFonts w:ascii="Times New Roman" w:cs="Times New Roman" w:eastAsia="Times New Roman" w:hAnsi="Times New Roman"/>
          <w:sz w:val="18"/>
          <w:szCs w:val="18"/>
          <w:color w:val="auto"/>
        </w:rPr>
        <w:t>. Our Charter provides that all stockholder actions are required to be taken by a vote of the stockholders at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annual or special meeting, and that stockholders may not take any action by written consent in lieu of a meeting.</w:t>
      </w:r>
    </w:p>
    <w:p>
      <w:pPr>
        <w:spacing w:after="0" w:line="155" w:lineRule="exact"/>
        <w:rPr>
          <w:sz w:val="20"/>
          <w:szCs w:val="20"/>
          <w:color w:val="auto"/>
        </w:rPr>
      </w:pPr>
    </w:p>
    <w:p>
      <w:pPr>
        <w:ind w:left="1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Meetings of Stockholders</w:t>
      </w:r>
      <w:r>
        <w:rPr>
          <w:rFonts w:ascii="Times New Roman" w:cs="Times New Roman" w:eastAsia="Times New Roman" w:hAnsi="Times New Roman"/>
          <w:sz w:val="17"/>
          <w:szCs w:val="17"/>
          <w:color w:val="auto"/>
        </w:rPr>
        <w:t>. Our Charter and Bylaws provide that only a majority of the members of our Board then in office may call special meetings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53" w:lineRule="exact"/>
        <w:rPr>
          <w:sz w:val="20"/>
          <w:szCs w:val="20"/>
          <w:color w:val="auto"/>
        </w:rPr>
      </w:pPr>
    </w:p>
    <w:p>
      <w:pPr>
        <w:ind w:left="120"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Advance Notice Requirements</w:t>
      </w:r>
      <w:r>
        <w:rPr>
          <w:rFonts w:ascii="Times New Roman" w:cs="Times New Roman" w:eastAsia="Times New Roman" w:hAnsi="Times New Roman"/>
          <w:sz w:val="18"/>
          <w:szCs w:val="18"/>
          <w:color w:val="auto"/>
        </w:rPr>
        <w:t>. Our Bylaws establish advance notice procedures with regard to stockholder proposals relating to the nomination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w:t>
      </w:r>
    </w:p>
    <w:p>
      <w:pPr>
        <w:spacing w:after="0" w:line="17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Amendment to Charter and Bylaws</w:t>
      </w:r>
      <w:r>
        <w:rPr>
          <w:rFonts w:ascii="Times New Roman" w:cs="Times New Roman" w:eastAsia="Times New Roman" w:hAnsi="Times New Roman"/>
          <w:sz w:val="18"/>
          <w:szCs w:val="18"/>
          <w:color w:val="auto"/>
        </w:rPr>
        <w:t>. As required by the DGCL, any amendment of our Charter must first be approved by a majority of our Board, and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required by law or our Charter,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Charter must be approved by not less than 75% of the outstanding shares entitled to vote on the amendment, and not less than 75%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75% of the outstanding shares entitled to vote on the amendment, or, if our Board recommends that the stockholders approve the amendment, by the affirmative vote of the majority of the outstanding shares entitled to vote on the amendment, in each case voting together as a single class.</w:t>
      </w:r>
    </w:p>
    <w:p>
      <w:pPr>
        <w:spacing w:after="0" w:line="192"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Under Section 203, a business combination between a corporation and an interested stockholder is prohibited unless it satisfies one of the following conditions:</w:t>
      </w:r>
    </w:p>
    <w:p>
      <w:pPr>
        <w:spacing w:after="0" w:line="67" w:lineRule="exact"/>
        <w:rPr>
          <w:sz w:val="20"/>
          <w:szCs w:val="20"/>
          <w:color w:val="auto"/>
        </w:rPr>
      </w:pPr>
    </w:p>
    <w:p>
      <w:pPr>
        <w:ind w:left="10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stockholder became interested, the board of directors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85" w:lineRule="exact"/>
        <w:rPr>
          <w:rFonts w:ascii="Times New Roman" w:cs="Times New Roman" w:eastAsia="Times New Roman" w:hAnsi="Times New Roman"/>
          <w:sz w:val="18"/>
          <w:szCs w:val="18"/>
          <w:color w:val="auto"/>
        </w:rPr>
      </w:pPr>
    </w:p>
    <w:p>
      <w:pPr>
        <w:jc w:val="both"/>
        <w:ind w:left="1080" w:right="12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the stockholder became interested, the business combination was approved by the board of directors and authorized at an annual or special meeting of the stockholders by the affirmative vote of at least two-thirds of the outstanding voting stock which is not owned by the interested stockholder.</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203 defines a business combination to include:</w:t>
      </w:r>
    </w:p>
    <w:p>
      <w:pPr>
        <w:spacing w:after="0" w:line="131"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lease, pledge or other disposition involving the interested stockholder of 10% or more of the assets of the corporation any conflicts or violations of each party’s agreements as a result of the merger or the merger agreement;</w:t>
      </w:r>
    </w:p>
    <w:p>
      <w:pPr>
        <w:spacing w:after="0" w:line="67"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or transfer by the corporation of any stock of the corporation to the interested stockholder;</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involving the corporation that has the effect of increasing the proportionate share of the interested stockholder; and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58"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Exclusive Jurisdiction of Certain Actions</w:t>
      </w:r>
      <w:r>
        <w:rPr>
          <w:rFonts w:ascii="Times New Roman" w:cs="Times New Roman" w:eastAsia="Times New Roman" w:hAnsi="Times New Roman"/>
          <w:sz w:val="18"/>
          <w:szCs w:val="18"/>
          <w:color w:val="auto"/>
        </w:rPr>
        <w:t>. Our Charter provides that, unless we consent in writing to the selection of an alternative forum, the Court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Chancery of the State of Delaware shall be the sole and exclusive forum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our Charter or our Bylaws, or (iv) any action asserting a claim against us governed by the internal affairs doctrine. This provision does not apply to claims arising under the Exchange Act or the Securities Act. Although we believe this provision benefits us by providing increased consistency in the application of Delaware law in the types of lawsuits to which it applies, the provision may have the effect of discouraging lawsuits against our directors and officers. The enforceability of similar exclusive forum provisions in other companies’ certificates of incorporation has been challenged in legal proceedings, and it is possible that a court could rule that this provision in our Charter is inapplicable or unenforceable.</w:t>
      </w:r>
    </w:p>
    <w:p>
      <w:pPr>
        <w:spacing w:after="0" w:line="1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80"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76"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to be named in the applicable indenture. We have summarized select portions of the indenture below. The summary is not complete. The form of the indenture has been filed as an exhibit to the registration statement of which this prospectus forms a part and you should read the indenture for provisions that may be important to you. Capitalized terms used in the summary and not defined herein have the meanings specified in the indenture.</w:t>
      </w:r>
    </w:p>
    <w:p>
      <w:pPr>
        <w:spacing w:after="0" w:line="180"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As used in this section only, “Larimar,” “Larimar Therapeutics,” “we,” “our” or “us” refer to Larimar Therapeutics, Inc., excluding our subsidiary, unless expressly stated or the context otherwise requires.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76"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81"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85"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6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1"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81"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80"/>
          </w:cols>
          <w:pgMar w:left="320" w:top="455" w:right="4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81" w:lineRule="exact"/>
        <w:rPr>
          <w:sz w:val="20"/>
          <w:szCs w:val="20"/>
          <w:color w:val="auto"/>
        </w:rPr>
      </w:pPr>
    </w:p>
    <w:p>
      <w:pPr>
        <w:jc w:val="both"/>
        <w:ind w:left="120" w:right="60"/>
        <w:spacing w:after="0" w:line="267" w:lineRule="auto"/>
        <w:rPr>
          <w:sz w:val="20"/>
          <w:szCs w:val="20"/>
          <w:color w:val="auto"/>
        </w:rPr>
      </w:pPr>
      <w:r>
        <w:rPr>
          <w:rFonts w:ascii="Times New Roman" w:cs="Times New Roman" w:eastAsia="Times New Roman" w:hAnsi="Times New Roman"/>
          <w:sz w:val="18"/>
          <w:szCs w:val="18"/>
          <w:i w:val="1"/>
          <w:iCs w:val="1"/>
          <w:color w:val="auto"/>
        </w:rPr>
        <w:t>Certificated Debt Securities</w:t>
      </w:r>
      <w:r>
        <w:rPr>
          <w:rFonts w:ascii="Times New Roman" w:cs="Times New Roman" w:eastAsia="Times New Roman" w:hAnsi="Times New Roman"/>
          <w:sz w:val="18"/>
          <w:szCs w:val="18"/>
          <w:color w:val="auto"/>
        </w:rPr>
        <w:t>. You may transfer or exchange certificated debt securities at any office we maintain for this purpose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75"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74" w:lineRule="exact"/>
        <w:rPr>
          <w:sz w:val="20"/>
          <w:szCs w:val="20"/>
          <w:color w:val="auto"/>
        </w:rPr>
      </w:pPr>
    </w:p>
    <w:p>
      <w:pPr>
        <w:ind w:left="120" w:right="40"/>
        <w:spacing w:after="0" w:line="284" w:lineRule="auto"/>
        <w:rPr>
          <w:sz w:val="20"/>
          <w:szCs w:val="20"/>
          <w:color w:val="auto"/>
        </w:rPr>
      </w:pPr>
      <w:r>
        <w:rPr>
          <w:rFonts w:ascii="Times New Roman" w:cs="Times New Roman" w:eastAsia="Times New Roman" w:hAnsi="Times New Roman"/>
          <w:sz w:val="18"/>
          <w:szCs w:val="18"/>
          <w:i w:val="1"/>
          <w:iCs w:val="1"/>
          <w:color w:val="auto"/>
        </w:rPr>
        <w:t>Global Debt Securities and Book-Entry System</w:t>
      </w:r>
      <w:r>
        <w:rPr>
          <w:rFonts w:ascii="Times New Roman" w:cs="Times New Roman" w:eastAsia="Times New Roman" w:hAnsi="Times New Roman"/>
          <w:sz w:val="18"/>
          <w:szCs w:val="18"/>
          <w:color w:val="auto"/>
        </w:rPr>
        <w:t>. Each global debt security representing book-entry debt securities will be deposited with, or on behalf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Depositary, and registered in the name of the Depositary or a nominee of the Depositary. Please see “Global Securities.”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21"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455"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21"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(a “successor person”) unless:</w:t>
      </w:r>
    </w:p>
    <w:p>
      <w:pPr>
        <w:spacing w:after="0" w:line="67" w:lineRule="exact"/>
        <w:rPr>
          <w:sz w:val="20"/>
          <w:szCs w:val="20"/>
          <w:color w:val="auto"/>
        </w:rPr>
      </w:pPr>
    </w:p>
    <w:p>
      <w:pPr>
        <w:ind w:left="1080" w:right="20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Larimar) is a corporation organized and validly existing under the laws of any U.S. domestic jurisdiction and expressly assumes our obligations on the debt securities and under the indenture;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Notwithstanding the above, any of our subsidiaries may consolidate with, merge into or transfer all or part of its properties to us.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31" w:lineRule="exact"/>
        <w:rPr>
          <w:sz w:val="20"/>
          <w:szCs w:val="20"/>
          <w:color w:val="auto"/>
        </w:rPr>
      </w:pPr>
    </w:p>
    <w:p>
      <w:pPr>
        <w:ind w:left="1080" w:right="16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Larimar and the trustee receive written notice from the holders of not less than 25% in principal amount of the outstanding debt securities of that series as provided in the indenture;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Larimar;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w:t>
      </w:r>
    </w:p>
    <w:p>
      <w:pPr>
        <w:spacing w:after="0" w:line="225" w:lineRule="exact"/>
        <w:rPr>
          <w:sz w:val="20"/>
          <w:szCs w:val="20"/>
          <w:color w:val="auto"/>
        </w:rPr>
      </w:pPr>
    </w:p>
    <w:p>
      <w:pPr>
        <w:ind w:left="120" w:right="180"/>
        <w:spacing w:after="0" w:line="289" w:lineRule="auto"/>
        <w:rPr>
          <w:sz w:val="20"/>
          <w:szCs w:val="20"/>
          <w:color w:val="auto"/>
        </w:rPr>
      </w:pPr>
      <w:r>
        <w:rPr>
          <w:rFonts w:ascii="Times New Roman" w:cs="Times New Roman" w:eastAsia="Times New Roman" w:hAnsi="Times New Roman"/>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subsidiary outstanding from time to time.</w:t>
      </w:r>
    </w:p>
    <w:p>
      <w:pPr>
        <w:spacing w:after="0" w:line="158"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87"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3"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7" w:lineRule="exact"/>
        <w:rPr>
          <w:sz w:val="20"/>
          <w:szCs w:val="20"/>
          <w:color w:val="auto"/>
        </w:rPr>
      </w:pPr>
    </w:p>
    <w:p>
      <w:pPr>
        <w:ind w:left="1080" w:right="14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76"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67"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“Consolidation, Merger and Sale of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 of 1939, as amended.</w:t>
      </w:r>
    </w:p>
    <w:p>
      <w:pPr>
        <w:spacing w:after="0" w:line="16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1"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w:t>
      </w:r>
    </w:p>
    <w:p>
      <w:pPr>
        <w:spacing w:after="0" w:line="225"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11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The indenture provides that, unless otherwise provided by the terms of the applicable series of debt securities, we may be discharged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8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85" w:lineRule="exact"/>
        <w:rPr>
          <w:sz w:val="20"/>
          <w:szCs w:val="20"/>
          <w:color w:val="auto"/>
        </w:rPr>
      </w:pPr>
    </w:p>
    <w:p>
      <w:pPr>
        <w:ind w:left="120" w:right="180"/>
        <w:spacing w:after="0" w:line="284" w:lineRule="auto"/>
        <w:rPr>
          <w:sz w:val="20"/>
          <w:szCs w:val="20"/>
          <w:color w:val="auto"/>
        </w:rPr>
      </w:pPr>
      <w:r>
        <w:rPr>
          <w:rFonts w:ascii="Times New Roman" w:cs="Times New Roman" w:eastAsia="Times New Roman" w:hAnsi="Times New Roman"/>
          <w:sz w:val="18"/>
          <w:szCs w:val="18"/>
          <w:i w:val="1"/>
          <w:iCs w:val="1"/>
          <w:color w:val="auto"/>
        </w:rPr>
        <w:t>Defeasance of Certain Covenants</w:t>
      </w:r>
      <w:r>
        <w:rPr>
          <w:rFonts w:ascii="Times New Roman" w:cs="Times New Roman" w:eastAsia="Times New Roman" w:hAnsi="Times New Roman"/>
          <w:sz w:val="18"/>
          <w:szCs w:val="18"/>
          <w:color w:val="auto"/>
        </w:rPr>
        <w:t>. The indenture provides that, unless otherwise provided by the terms of the applicable series of debt securities,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certain conditions:</w:t>
      </w:r>
    </w:p>
    <w:p>
      <w:pPr>
        <w:spacing w:after="0" w:line="66" w:lineRule="exact"/>
        <w:rPr>
          <w:sz w:val="20"/>
          <w:szCs w:val="20"/>
          <w:color w:val="auto"/>
        </w:rPr>
      </w:pPr>
    </w:p>
    <w:p>
      <w:pPr>
        <w:ind w:left="1080" w:right="20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 (“covenant defeasance”).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conditions include:</w:t>
      </w:r>
    </w:p>
    <w:p>
      <w:pPr>
        <w:spacing w:after="0" w:line="131" w:lineRule="exact"/>
        <w:rPr>
          <w:sz w:val="20"/>
          <w:szCs w:val="20"/>
          <w:color w:val="auto"/>
        </w:rPr>
      </w:pPr>
    </w:p>
    <w:p>
      <w:pPr>
        <w:ind w:left="1080" w:right="100" w:hanging="424"/>
        <w:spacing w:after="0" w:line="25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92"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Securityholders</w:t>
      </w:r>
    </w:p>
    <w:p>
      <w:pPr>
        <w:spacing w:after="0" w:line="121"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debt securities, will be governed by the laws of the State of New York.</w:t>
      </w:r>
    </w:p>
    <w:p>
      <w:pPr>
        <w:spacing w:after="0" w:line="162"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particular terms of any issue of warrants will be described in the prospectus supplement relating to the issue. Those terms may include:</w:t>
      </w:r>
    </w:p>
    <w:p>
      <w:pPr>
        <w:spacing w:after="0" w:line="131" w:lineRule="exact"/>
        <w:rPr>
          <w:sz w:val="20"/>
          <w:szCs w:val="20"/>
          <w:color w:val="auto"/>
        </w:rPr>
      </w:pPr>
    </w:p>
    <w:p>
      <w:pPr>
        <w:ind w:left="1080" w:right="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or preferred stock purchasable upon the exercise of warrants to purchase such shares and the price at which such number of shares may be purchased upon such exercise;</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stated value and terms (including, without limitation, liquidation, dividend, conversion and voting rights) of the series of preferred stock purchasable upon exercise of warrants to purchase preferred stock;</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that may be purchased upon exercise of a debt warrant and the exercise price for the warrants, which may be payable in cash, securities or other property;</w:t>
      </w:r>
    </w:p>
    <w:p>
      <w:pPr>
        <w:spacing w:after="0" w:line="67"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warrants and the related debt securities, preferred stock or common stock will be separately transferable;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right will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federal income tax consequences applicable to the warrants; and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exercise and settlement of the warrants.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Holders of equity warrants will not be entitled to:</w:t>
      </w:r>
    </w:p>
    <w:p>
      <w:pPr>
        <w:spacing w:after="0" w:line="131"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consent or receive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 as stockholders with respect to any meeting of stockholders for the election of our directors or any other matter;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rights as our stockholders.</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80"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80"/>
          </w:cols>
          <w:pgMar w:left="320" w:top="455" w:right="4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80"/>
          </w:cols>
          <w:pgMar w:left="320" w:top="455" w:right="4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80"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87"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If we offer any units, certain terms of that series of units will be described in the applicable prospectus supplement, including, without limitation, the following, as applicable:</w:t>
      </w:r>
    </w:p>
    <w:p>
      <w:pPr>
        <w:spacing w:after="0" w:line="67"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description of the separate constituent securities comprising the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units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constituent securities comprising the units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United States federal income tax considerations applicable to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their constituent securities.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OUR SUBSCRIPTION RIGHTS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issue subscription rights to purchase our common stock, preferred stock or debt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subscription rights we offer, if any, will, to the extent applicable, include specific terms relating to the offering, including some or all of the following:</w:t>
      </w:r>
    </w:p>
    <w:p>
      <w:pPr>
        <w:spacing w:after="0" w:line="67"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our common stock, preferred stock or debt securities upon the exercise of the subscription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to be issued to each stockholder;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our common stock, preferred stock or debt securities which may be purchased per each subscription right;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 or an over-allotment privilege to the extent the securities are fully subscribed;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which may be entered into by us in connection with the offering of subscription rights.</w:t>
      </w:r>
    </w:p>
    <w:p>
      <w:pPr>
        <w:spacing w:after="0" w:line="162"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description in the applicable prospectus supplement of any subscription rights we offer will not necessarily be complete and will be qualified in its entirety by reference to the applicable subscription rights certificate, which will be filed with the SEC if we offer subscription rights. We urge you to read the applicable subscription rights certificate and any applicable prospectus supplement in their entirety.</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55" w:right="4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131"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limited-purpose trust company organized under the New York Banking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Banking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New York Uniform Commercial Code;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pursuant to the provisions of Section 17A of the Exchange Act.</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92"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89" w:lineRule="exact"/>
        <w:rPr>
          <w:sz w:val="20"/>
          <w:szCs w:val="20"/>
          <w:color w:val="auto"/>
        </w:rPr>
      </w:pPr>
    </w:p>
    <w:p>
      <w:pPr>
        <w:ind w:left="120" w:right="120"/>
        <w:spacing w:after="0" w:line="277" w:lineRule="auto"/>
        <w:rPr>
          <w:sz w:val="20"/>
          <w:szCs w:val="20"/>
          <w:color w:val="auto"/>
        </w:rPr>
      </w:pPr>
      <w:r>
        <w:rPr>
          <w:rFonts w:ascii="Times New Roman" w:cs="Times New Roman" w:eastAsia="Times New Roman" w:hAnsi="Times New Roman"/>
          <w:sz w:val="17"/>
          <w:szCs w:val="17"/>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1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80"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76"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62" w:lineRule="exact"/>
        <w:rPr>
          <w:sz w:val="20"/>
          <w:szCs w:val="20"/>
          <w:color w:val="auto"/>
        </w:rPr>
      </w:pPr>
    </w:p>
    <w:p>
      <w:pPr>
        <w:ind w:left="120" w:right="40"/>
        <w:spacing w:after="0" w:line="289" w:lineRule="auto"/>
        <w:rPr>
          <w:sz w:val="20"/>
          <w:szCs w:val="20"/>
          <w:color w:val="auto"/>
        </w:rPr>
      </w:pPr>
      <w:r>
        <w:rPr>
          <w:rFonts w:ascii="Times New Roman" w:cs="Times New Roman" w:eastAsia="Times New Roman" w:hAnsi="Times New Roman"/>
          <w:sz w:val="17"/>
          <w:szCs w:val="17"/>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58"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9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76"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62"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As noted above, beneficial owners of a particular series of securities generally will not receive certificates representing their ownership interests in those securities. However, if:</w:t>
      </w:r>
    </w:p>
    <w:p>
      <w:pPr>
        <w:spacing w:after="0" w:line="67" w:lineRule="exact"/>
        <w:rPr>
          <w:sz w:val="20"/>
          <w:szCs w:val="20"/>
          <w:color w:val="auto"/>
        </w:rPr>
      </w:pPr>
    </w:p>
    <w:p>
      <w:pPr>
        <w:ind w:left="1080" w:right="200" w:hanging="424"/>
        <w:spacing w:after="0" w:line="261"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in our sole discretion, not to have such securities represented by one or more global securities;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with respect to such series of securities,</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80"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We have obtained the information in this section and elsewhere in this prospectus concerning DTC and DTC’s book-entry system from sources that are believed to be reliable, but we take no responsibility for the accuracy of this information.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Euroclear and Clearstream</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87"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76"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76"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76"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183"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55"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“at-the-market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81"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“at-the-market offerings” (as defined in Rule 415 under the Securities 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method permitted by applicable law and described in a prospectus supplement.</w:t>
      </w:r>
    </w:p>
    <w:p>
      <w:pPr>
        <w:spacing w:after="0" w:line="225"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76"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62"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62" w:lineRule="exact"/>
        <w:rPr>
          <w:sz w:val="20"/>
          <w:szCs w:val="20"/>
          <w:color w:val="auto"/>
        </w:rPr>
      </w:pPr>
    </w:p>
    <w:p>
      <w:pPr>
        <w:ind w:left="120" w:right="180"/>
        <w:spacing w:after="0" w:line="273" w:lineRule="auto"/>
        <w:rPr>
          <w:sz w:val="20"/>
          <w:szCs w:val="20"/>
          <w:color w:val="auto"/>
        </w:rPr>
      </w:pPr>
      <w:r>
        <w:rPr>
          <w:rFonts w:ascii="Times New Roman" w:cs="Times New Roman" w:eastAsia="Times New Roman" w:hAnsi="Times New Roman"/>
          <w:sz w:val="17"/>
          <w:szCs w:val="17"/>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71" w:lineRule="exact"/>
        <w:rPr>
          <w:sz w:val="20"/>
          <w:szCs w:val="20"/>
          <w:color w:val="auto"/>
        </w:rPr>
      </w:pPr>
    </w:p>
    <w:p>
      <w:pPr>
        <w:ind w:left="120" w:right="220"/>
        <w:spacing w:after="0" w:line="256" w:lineRule="auto"/>
        <w:rPr>
          <w:sz w:val="20"/>
          <w:szCs w:val="20"/>
          <w:color w:val="auto"/>
        </w:rPr>
      </w:pPr>
      <w:r>
        <w:rPr>
          <w:rFonts w:ascii="Times New Roman" w:cs="Times New Roman" w:eastAsia="Times New Roman" w:hAnsi="Times New Roman"/>
          <w:sz w:val="18"/>
          <w:szCs w:val="18"/>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87"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Any common stock or preferred stock will be listed on the Nasdaq Global Market, but any other securities may or may not be listed on a national securities exchange.</w:t>
      </w:r>
    </w:p>
    <w:p>
      <w:pPr>
        <w:spacing w:after="0" w:line="54"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To facilitate the offering of securities, and to the extent permitted by and in accordance with Regulation M under the Exchange Act, certain persons participating in the offering may engage in transactions that stabilize, maintain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8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To the extent permitted by and in accordance with Regulation M under the Exchange Act, any underwriters who are qualified market makers on Nasdaq may engage in passive market making transactions in the securities on Nasdaq during the business day prior to the pricing of an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pacing w:after="0" w:line="18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If indicated in the applicable prospectus supplement, underwriters or other persons acting as agents may be authorized to solicit offers by institutions or other suitable purchasers to purchase the securities at the public offering price set forth in the prospectus supplement, pursuant to delayed delivery 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 prohibited under the laws of any jurisdiction in the United States to which the purchaser is subject. The underwriters and agents will not have any responsibility with respect to the validity or performance of these contracts.</w:t>
      </w:r>
    </w:p>
    <w:p>
      <w:pPr>
        <w:spacing w:after="0" w:line="18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We may engage in “at-the-market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225"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underwriters, dealers and agents may engage in transactions with us, or perform services for us, in the ordinary course of business for which they receive compensation.</w:t>
      </w:r>
    </w:p>
    <w:p>
      <w:pPr>
        <w:spacing w:after="0" w:line="162"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No securities may be sold under this prospectus without delivery, in paper format or in electronic format, or both, of the applicable prospectus supplement describing the method and terms of the offering.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left="120" w:right="540"/>
        <w:spacing w:after="0" w:line="266" w:lineRule="auto"/>
        <w:rPr>
          <w:sz w:val="20"/>
          <w:szCs w:val="20"/>
          <w:color w:val="auto"/>
        </w:rPr>
      </w:pPr>
      <w:r>
        <w:rPr>
          <w:rFonts w:ascii="Times New Roman" w:cs="Times New Roman" w:eastAsia="Times New Roman" w:hAnsi="Times New Roman"/>
          <w:sz w:val="18"/>
          <w:szCs w:val="18"/>
          <w:color w:val="auto"/>
        </w:rPr>
        <w:t>Goodwin Procter LLP will pass upon certain legal matters relating to the issuance and sale of the securities offered hereby on behalf of Larimar Therapeutics, Inc. Additional legal matters may be passed upon for us or any underwriters, dealers or agents by counsel that we will name in the applicable prospectus supplement.</w:t>
      </w:r>
    </w:p>
    <w:p>
      <w:pPr>
        <w:spacing w:after="0" w:line="3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to the Annual Report on Form 10-K for the year ended December 31, 2023 have been so incorporated in reliance on the report of PricewaterhouseCoopers LLP, an independent registered public accounting firm, given on the authority of said firm as experts in auditing and accounting.</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40"/>
          </w:cols>
          <w:pgMar w:left="320" w:top="455" w:right="5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645795</wp:posOffset>
            </wp:positionV>
            <wp:extent cx="2520315" cy="9086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6">
                      <a:extLst>
                        <a:ext uri="{28A0092B-C50C-407E-A947-70E740481C1C}"/>
                      </a:extLst>
                    </a:blip>
                    <a:srcRect/>
                    <a:stretch>
                      <a:fillRect/>
                    </a:stretch>
                  </pic:blipFill>
                  <pic:spPr bwMode="auto">
                    <a:xfrm>
                      <a:off x="0" y="0"/>
                      <a:ext cx="252031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            Shares of Common Stock</w:t>
      </w:r>
    </w:p>
    <w:p>
      <w:pPr>
        <w:spacing w:after="0" w:line="200" w:lineRule="exact"/>
        <w:rPr>
          <w:sz w:val="20"/>
          <w:szCs w:val="20"/>
          <w:color w:val="auto"/>
        </w:rPr>
      </w:pPr>
    </w:p>
    <w:p>
      <w:pPr>
        <w:spacing w:after="0" w:line="2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Pre-Funded Warrants to Purchase up to 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418465</wp:posOffset>
            </wp:positionV>
            <wp:extent cx="1474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i w:val="1"/>
          <w:iCs w:val="1"/>
          <w:color w:val="auto"/>
        </w:rPr>
        <w:t>Joint Bookrunning Managers</w:t>
      </w:r>
    </w:p>
    <w:p>
      <w:pPr>
        <w:spacing w:after="0" w:line="228" w:lineRule="exact"/>
        <w:rPr>
          <w:sz w:val="20"/>
          <w:szCs w:val="20"/>
          <w:color w:val="auto"/>
        </w:rPr>
      </w:pPr>
    </w:p>
    <w:p>
      <w:pPr>
        <w:ind w:left="120"/>
        <w:spacing w:after="0"/>
        <w:tabs>
          <w:tab w:leader="none" w:pos="8280" w:val="left"/>
        </w:tabs>
        <w:rPr>
          <w:sz w:val="20"/>
          <w:szCs w:val="20"/>
          <w:color w:val="auto"/>
        </w:rPr>
      </w:pPr>
      <w:r>
        <w:rPr>
          <w:rFonts w:ascii="Times New Roman" w:cs="Times New Roman" w:eastAsia="Times New Roman" w:hAnsi="Times New Roman"/>
          <w:sz w:val="29"/>
          <w:szCs w:val="29"/>
          <w:b w:val="1"/>
          <w:bCs w:val="1"/>
          <w:color w:val="auto"/>
        </w:rPr>
        <w:t>Leerink Partners</w:t>
      </w:r>
      <w:r>
        <w:rPr>
          <w:sz w:val="20"/>
          <w:szCs w:val="20"/>
          <w:color w:val="auto"/>
        </w:rPr>
        <w:tab/>
      </w:r>
      <w:r>
        <w:rPr>
          <w:rFonts w:ascii="Times New Roman" w:cs="Times New Roman" w:eastAsia="Times New Roman" w:hAnsi="Times New Roman"/>
          <w:sz w:val="28"/>
          <w:szCs w:val="28"/>
          <w:b w:val="1"/>
          <w:bCs w:val="1"/>
          <w:color w:val="auto"/>
        </w:rPr>
        <w:t>Guggenheim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412750</wp:posOffset>
            </wp:positionV>
            <wp:extent cx="1474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362585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1140"/>
      </w:cols>
      <w:pgMar w:left="320" w:top="45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1)"/>
      <w:numFmt w:val="lowerRoman"/>
      <w:start w:val="4"/>
    </w:lvl>
  </w:abstractNum>
  <w:abstractNum w:abstractNumId="15">
    <w:nsid w:val="3A95F874"/>
    <w:multiLevelType w:val="hybridMultilevel"/>
    <w:lvl w:ilvl="0">
      <w:lvlJc w:val="left"/>
      <w:lvlText w:val="%1."/>
      <w:numFmt w:val="upperLetter"/>
      <w:start w:val="1"/>
    </w:lvl>
  </w:abstractNum>
  <w:abstractNum w:abstractNumId="16">
    <w:nsid w:val="8138641"/>
    <w:multiLevelType w:val="hybridMultilevel"/>
    <w:lvl w:ilvl="0">
      <w:lvlJc w:val="left"/>
      <w:lvlText w:val="%1."/>
      <w:numFmt w:val="upperLetter"/>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1)"/>
      <w:numFmt w:val="decimal"/>
      <w:start w:val="844"/>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1)"/>
      <w:numFmt w:val="decimal"/>
      <w:start w:val="844"/>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
      <w:numFmt w:val="bullet"/>
      <w:start w:val="1"/>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2"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jpe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74" Type="http://schemas.openxmlformats.org/officeDocument/2006/relationships/image" Target="media/image51.png"/><Relationship Id="rId75" Type="http://schemas.openxmlformats.org/officeDocument/2006/relationships/image" Target="media/image52.png"/><Relationship Id="rId76" Type="http://schemas.openxmlformats.org/officeDocument/2006/relationships/image" Target="media/image53.png"/><Relationship Id="rId77" Type="http://schemas.openxmlformats.org/officeDocument/2006/relationships/image" Target="media/image54.png"/><Relationship Id="rId78" Type="http://schemas.openxmlformats.org/officeDocument/2006/relationships/image" Target="media/image55.png"/><Relationship Id="rId79" Type="http://schemas.openxmlformats.org/officeDocument/2006/relationships/image" Target="media/image56.png"/><Relationship Id="rId80" Type="http://schemas.openxmlformats.org/officeDocument/2006/relationships/image" Target="media/image57.png"/><Relationship Id="rId81" Type="http://schemas.openxmlformats.org/officeDocument/2006/relationships/image" Target="media/image58.png"/><Relationship Id="rId82" Type="http://schemas.openxmlformats.org/officeDocument/2006/relationships/image" Target="media/image59.png"/><Relationship Id="rId83" Type="http://schemas.openxmlformats.org/officeDocument/2006/relationships/image" Target="media/image60.png"/><Relationship Id="rId84" Type="http://schemas.openxmlformats.org/officeDocument/2006/relationships/image" Target="media/image61.png"/><Relationship Id="rId85" Type="http://schemas.openxmlformats.org/officeDocument/2006/relationships/image" Target="media/image62.png"/><Relationship Id="rId86" Type="http://schemas.openxmlformats.org/officeDocument/2006/relationships/image" Target="media/image63.png"/><Relationship Id="rId87" Type="http://schemas.openxmlformats.org/officeDocument/2006/relationships/image" Target="media/image64.png"/><Relationship Id="rId88" Type="http://schemas.openxmlformats.org/officeDocument/2006/relationships/image" Target="media/image65.png"/><Relationship Id="rId89" Type="http://schemas.openxmlformats.org/officeDocument/2006/relationships/image" Target="media/image66.png"/><Relationship Id="rId90" Type="http://schemas.openxmlformats.org/officeDocument/2006/relationships/image" Target="media/image67.png"/><Relationship Id="rId91" Type="http://schemas.openxmlformats.org/officeDocument/2006/relationships/image" Target="media/image68.png"/><Relationship Id="rId92" Type="http://schemas.openxmlformats.org/officeDocument/2006/relationships/image" Target="media/image69.png"/><Relationship Id="rId93" Type="http://schemas.openxmlformats.org/officeDocument/2006/relationships/image" Target="media/image70.png"/><Relationship Id="rId94" Type="http://schemas.openxmlformats.org/officeDocument/2006/relationships/image" Target="media/image71.png"/><Relationship Id="rId95" Type="http://schemas.openxmlformats.org/officeDocument/2006/relationships/image" Target="media/image72.png"/><Relationship Id="rId96" Type="http://schemas.openxmlformats.org/officeDocument/2006/relationships/image" Target="media/image73.png"/><Relationship Id="rId97" Type="http://schemas.openxmlformats.org/officeDocument/2006/relationships/image" Target="media/image74.png"/><Relationship Id="rId98" Type="http://schemas.openxmlformats.org/officeDocument/2006/relationships/image" Target="media/image75.png"/><Relationship Id="rId99" Type="http://schemas.openxmlformats.org/officeDocument/2006/relationships/image" Target="media/image76.png"/><Relationship Id="rId100" Type="http://schemas.openxmlformats.org/officeDocument/2006/relationships/image" Target="media/image77.png"/><Relationship Id="rId101" Type="http://schemas.openxmlformats.org/officeDocument/2006/relationships/image" Target="media/image78.png"/><Relationship Id="rId102" Type="http://schemas.openxmlformats.org/officeDocument/2006/relationships/image" Target="media/image79.png"/><Relationship Id="rId103" Type="http://schemas.openxmlformats.org/officeDocument/2006/relationships/image" Target="media/image80.png"/><Relationship Id="rId104" Type="http://schemas.openxmlformats.org/officeDocument/2006/relationships/image" Target="media/image81.png"/><Relationship Id="rId105" Type="http://schemas.openxmlformats.org/officeDocument/2006/relationships/image" Target="media/image82.png"/><Relationship Id="rId106" Type="http://schemas.openxmlformats.org/officeDocument/2006/relationships/image" Target="media/image83.jpeg"/><Relationship Id="rId107" Type="http://schemas.openxmlformats.org/officeDocument/2006/relationships/image" Target="media/image84.png"/><Relationship Id="rId108" Type="http://schemas.openxmlformats.org/officeDocument/2006/relationships/image" Target="media/image85.png"/><Relationship Id="rId109" Type="http://schemas.openxmlformats.org/officeDocument/2006/relationships/image" Target="media/image86.png"/><Relationship Id="rId110" Type="http://schemas.openxmlformats.org/officeDocument/2006/relationships/image" Target="media/image87.png"/><Relationship Id="rId111" Type="http://schemas.openxmlformats.org/officeDocument/2006/relationships/image" Target="media/image88.png"/><Relationship Id="rId49" Type="http://schemas.openxmlformats.org/officeDocument/2006/relationships/hyperlink" Target="http://www.sec.gov/ix?doc=/Archives/edgar/data/1374690/000095017025043925/lrmr-20241231.htm" TargetMode="External"/><Relationship Id="rId50" Type="http://schemas.openxmlformats.org/officeDocument/2006/relationships/hyperlink" Target="http://www.sec.gov/ix?doc=/Archives/edgar/data/1374690/000095017025061222/lrmr-20250331.htm" TargetMode="External"/><Relationship Id="rId51" Type="http://schemas.openxmlformats.org/officeDocument/2006/relationships/hyperlink" Target="http://www.sec.gov/ix?doc=/Archives/edgar/data/1374690/000095017025053028/lrmr-20250409.htm" TargetMode="External"/><Relationship Id="rId53" Type="http://schemas.openxmlformats.org/officeDocument/2006/relationships/hyperlink" Target="http://www.sec.gov/ix?doc=/Archives/edgar/data/1374690/000095017025070287/lrmr-20250513.htm" TargetMode="External"/><Relationship Id="rId54" Type="http://schemas.openxmlformats.org/officeDocument/2006/relationships/hyperlink" Target="http://www.sec.gov/ix?doc=/Archives/edgar/data/1374690/000095017025088704/lrmr-20250623.htm" TargetMode="External"/><Relationship Id="rId55" Type="http://schemas.openxmlformats.org/officeDocument/2006/relationships/hyperlink" Target="http://www.sec.gov/ix?doc=/Archives/edgar/data/1374690/000095017025089074/lrmr-20250623.htm" TargetMode="External"/><Relationship Id="rId56" Type="http://schemas.openxmlformats.org/officeDocument/2006/relationships/hyperlink" Target="http://www.sec.gov/Archives/edgar/data/1374690/000119312514240257/d745277d8a12b.htm" TargetMode="External"/><Relationship Id="rId57" Type="http://schemas.openxmlformats.org/officeDocument/2006/relationships/hyperlink" Target="http://www.sec.gov/Archives/edgar/data/1374690/000156459021011003/lrmr-ex42_407.htm" TargetMode="External"/><Relationship Id="rId66" Type="http://schemas.openxmlformats.org/officeDocument/2006/relationships/hyperlink" Target="http://www.sec.gov/Archives/edgar/data/1374690/000095017024031529/lrmr-20231231.htm" TargetMode="External"/><Relationship Id="rId67" Type="http://schemas.openxmlformats.org/officeDocument/2006/relationships/hyperlink" Target="http://www.sec.gov/ix?doc=/Archives/edgar/data/0001374690/000095017024056965/lrmr-20240331.htm" TargetMode="External"/><Relationship Id="rId68" Type="http://schemas.openxmlformats.org/officeDocument/2006/relationships/hyperlink" Target="http://www.sec.gov/Archives/edgar/data/1374690/000119312524122191/d636298ddef14a.htm" TargetMode="External"/><Relationship Id="rId69" Type="http://schemas.openxmlformats.org/officeDocument/2006/relationships/hyperlink" Target="http://www.sec.gov/Archives/edgar/data/1374690/000095017024013563/lrmr-20240212.htm" TargetMode="External"/><Relationship Id="rId70" Type="http://schemas.openxmlformats.org/officeDocument/2006/relationships/hyperlink" Target="http://www.sec.gov/Archives/edgar/data/1374690/000095017024014919/lrmr-20240213.htm" TargetMode="External"/><Relationship Id="rId71" Type="http://schemas.openxmlformats.org/officeDocument/2006/relationships/hyperlink" Target="http://www.sec.gov/Archives/edgar/data/1374690/000119312524038473/d780024d8k.htm" TargetMode="External"/><Relationship Id="rId72" Type="http://schemas.openxmlformats.org/officeDocument/2006/relationships/hyperlink" Target="http://www.sec.gov/Archives/edgar/data/1374690/000095017024029236/lrmr-20240311.htm" TargetMode="External"/><Relationship Id="rId73" Type="http://schemas.openxmlformats.org/officeDocument/2006/relationships/hyperlink" Target="http://www.sec.gov/ix?doc=/Archives/edgar/data/0001374690/000095017024056248/lrmr-202405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2025-07-29T15:40:37Z</dcterms:created>
  <dcterms:modified xsi:type="dcterms:W3CDTF">2025-07-29T15:40:37Z</dcterms:modified>
</cp:coreProperties>
</file>