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Singhal Priya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300"/>
              <w:spacing w:after="0"/>
              <w:rPr>
                <w:sz w:val="20"/>
                <w:szCs w:val="20"/>
                <w:color w:val="auto"/>
              </w:rPr>
            </w:pPr>
            <w:r>
              <w:rPr>
                <w:rFonts w:ascii="Arial" w:cs="Arial" w:eastAsia="Arial" w:hAnsi="Arial"/>
                <w:sz w:val="13"/>
                <w:szCs w:val="13"/>
                <w:color w:val="auto"/>
              </w:rPr>
              <w:t>(First)</w:t>
            </w:r>
          </w:p>
        </w:tc>
        <w:tc>
          <w:tcPr>
            <w:tcW w:w="128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0000FF"/>
                <w:w w:val="98"/>
              </w:rPr>
              <w:t>C/O ZAFGEN, INC., 4TH FLOOR</w:t>
            </w:r>
          </w:p>
        </w:tc>
        <w:tc>
          <w:tcPr>
            <w:tcW w:w="1280" w:type="dxa"/>
            <w:vAlign w:val="bottom"/>
          </w:tcPr>
          <w:p>
            <w:pPr>
              <w:spacing w:after="0"/>
              <w:rPr>
                <w:sz w:val="24"/>
                <w:szCs w:val="24"/>
                <w:color w:val="auto"/>
              </w:rPr>
            </w:pPr>
          </w:p>
        </w:tc>
      </w:tr>
      <w:tr>
        <w:trPr>
          <w:trHeight w:val="265"/>
        </w:trPr>
        <w:tc>
          <w:tcPr>
            <w:tcW w:w="40" w:type="dxa"/>
            <w:vAlign w:val="bottom"/>
          </w:tcPr>
          <w:p>
            <w:pPr>
              <w:spacing w:after="0"/>
              <w:rPr>
                <w:sz w:val="23"/>
                <w:szCs w:val="23"/>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0000FF"/>
              </w:rPr>
              <w:t>175 PORTLAND STREET</w:t>
            </w:r>
          </w:p>
        </w:tc>
        <w:tc>
          <w:tcPr>
            <w:tcW w:w="12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BOSTON</w:t>
            </w:r>
          </w:p>
        </w:tc>
        <w:tc>
          <w:tcPr>
            <w:tcW w:w="1520" w:type="dxa"/>
            <w:vAlign w:val="bottom"/>
          </w:tcPr>
          <w:p>
            <w:pPr>
              <w:ind w:left="300"/>
              <w:spacing w:after="0"/>
              <w:rPr>
                <w:sz w:val="20"/>
                <w:szCs w:val="20"/>
                <w:color w:val="auto"/>
              </w:rPr>
            </w:pPr>
            <w:r>
              <w:rPr>
                <w:rFonts w:ascii="Arial" w:cs="Arial" w:eastAsia="Arial" w:hAnsi="Arial"/>
                <w:sz w:val="17"/>
                <w:szCs w:val="17"/>
                <w:color w:val="0000FF"/>
              </w:rPr>
              <w:t>MA</w:t>
            </w:r>
          </w:p>
        </w:tc>
        <w:tc>
          <w:tcPr>
            <w:tcW w:w="1280" w:type="dxa"/>
            <w:vAlign w:val="bottom"/>
          </w:tcPr>
          <w:p>
            <w:pPr>
              <w:ind w:left="40"/>
              <w:spacing w:after="0"/>
              <w:rPr>
                <w:sz w:val="20"/>
                <w:szCs w:val="20"/>
                <w:color w:val="auto"/>
              </w:rPr>
            </w:pPr>
            <w:r>
              <w:rPr>
                <w:rFonts w:ascii="Arial" w:cs="Arial" w:eastAsia="Arial" w:hAnsi="Arial"/>
                <w:sz w:val="17"/>
                <w:szCs w:val="17"/>
                <w:color w:val="0000FF"/>
              </w:rPr>
              <w:t>02114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300"/>
              <w:spacing w:after="0"/>
              <w:rPr>
                <w:sz w:val="20"/>
                <w:szCs w:val="20"/>
                <w:color w:val="auto"/>
              </w:rPr>
            </w:pPr>
            <w:r>
              <w:rPr>
                <w:rFonts w:ascii="Arial" w:cs="Arial" w:eastAsia="Arial" w:hAnsi="Arial"/>
                <w:sz w:val="13"/>
                <w:szCs w:val="13"/>
                <w:color w:val="auto"/>
              </w:rPr>
              <w:t>(State)</w:t>
            </w:r>
          </w:p>
        </w:tc>
        <w:tc>
          <w:tcPr>
            <w:tcW w:w="128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560" w:type="dxa"/>
            <w:vAlign w:val="bottom"/>
            <w:tcBorders>
              <w:bottom w:val="single" w:sz="8" w:color="2C2C2C"/>
            </w:tcBorders>
          </w:tcPr>
          <w:p>
            <w:pPr>
              <w:spacing w:after="0"/>
              <w:rPr>
                <w:sz w:val="16"/>
                <w:szCs w:val="16"/>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tcPr>
          <w:p>
            <w:pPr>
              <w:ind w:left="16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6"/>
                <w:szCs w:val="6"/>
                <w:color w:val="auto"/>
              </w:rPr>
            </w:pPr>
          </w:p>
        </w:tc>
        <w:tc>
          <w:tcPr>
            <w:tcW w:w="1440" w:type="dxa"/>
            <w:vAlign w:val="bottom"/>
            <w:vMerge w:val="restart"/>
          </w:tcPr>
          <w:p>
            <w:pPr>
              <w:ind w:left="160"/>
              <w:spacing w:after="0" w:line="131"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Head of Research &amp; Development</w:t>
            </w:r>
          </w:p>
        </w:tc>
        <w:tc>
          <w:tcPr>
            <w:tcW w:w="0" w:type="dxa"/>
            <w:vAlign w:val="bottom"/>
          </w:tcPr>
          <w:p>
            <w:pPr>
              <w:spacing w:after="0"/>
              <w:rPr>
                <w:sz w:val="1"/>
                <w:szCs w:val="1"/>
                <w:color w:val="auto"/>
              </w:rPr>
            </w:pPr>
          </w:p>
        </w:tc>
      </w:tr>
      <w:tr>
        <w:trPr>
          <w:trHeight w:val="217"/>
        </w:trPr>
        <w:tc>
          <w:tcPr>
            <w:tcW w:w="1420" w:type="dxa"/>
            <w:vAlign w:val="bottom"/>
            <w:gridSpan w:val="3"/>
          </w:tcPr>
          <w:p>
            <w:pPr>
              <w:ind w:left="60"/>
              <w:spacing w:after="0"/>
              <w:rPr>
                <w:sz w:val="20"/>
                <w:szCs w:val="20"/>
                <w:color w:val="auto"/>
              </w:rPr>
            </w:pPr>
            <w:r>
              <w:rPr>
                <w:rFonts w:ascii="Arial" w:cs="Arial" w:eastAsia="Arial" w:hAnsi="Arial"/>
                <w:sz w:val="17"/>
                <w:szCs w:val="17"/>
                <w:color w:val="0000FF"/>
              </w:rPr>
              <w:t>04/02/2019</w:t>
            </w:r>
          </w:p>
        </w:tc>
        <w:tc>
          <w:tcPr>
            <w:tcW w:w="2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04/02/2019</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375,000</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03/03/2029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375,000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375,000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 of this option vests on March 4, 2020, and the remainder vests in equal monthly installments thereafter over 36 months. The option has been granted pursuant to an inducement award agreement outside of the company's 2014 Stock Option and Incentive Plan as a material inducement to the reporting person's acceptance of employment with the company in accordance with NASDAQ Listing Rule 5635(c)(4). The option is subject to acceleration upon a change in control.</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/s/ Shoaib Ghias,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04/04/2019</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60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2019-12-23T16:04:22Z</dcterms:created>
  <dcterms:modified xsi:type="dcterms:W3CDTF">2019-12-23T16:04:22Z</dcterms:modified>
</cp:coreProperties>
</file>