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Arial" w:cs="Arial" w:eastAsia="Arial" w:hAnsi="Arial"/>
          <w:sz w:val="18"/>
          <w:szCs w:val="18"/>
          <w:b w:val="1"/>
          <w:bCs w:val="1"/>
          <w:color w:val="auto"/>
        </w:rPr>
        <w:t>As filed with the United States Securities and Exchange Commission on June 26, 2020</w:t>
      </w:r>
    </w:p>
    <w:p>
      <w:pPr>
        <w:spacing w:after="0" w:line="27"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43" w:lineRule="exact"/>
        <w:rPr>
          <w:sz w:val="24"/>
          <w:szCs w:val="24"/>
          <w:color w:val="auto"/>
        </w:rPr>
      </w:pPr>
    </w:p>
    <w:p>
      <w:pPr>
        <w:sectPr>
          <w:pgSz w:w="11900" w:h="16838" w:orient="portrait"/>
          <w:cols w:equalWidth="0" w:num="2">
            <w:col w:w="7180" w:space="720"/>
            <w:col w:w="3060"/>
          </w:cols>
          <w:pgMar w:left="440" w:top="229" w:right="499" w:bottom="0" w:gutter="0" w:footer="0" w:header="0"/>
          <w:type w:val="continuous"/>
        </w:sectPr>
      </w:pPr>
    </w:p>
    <w:p>
      <w:pPr>
        <w:jc w:val="center"/>
        <w:ind w:right="960"/>
        <w:spacing w:after="0"/>
        <w:rPr>
          <w:sz w:val="20"/>
          <w:szCs w:val="20"/>
          <w:color w:val="auto"/>
        </w:rPr>
      </w:pPr>
      <w:r>
        <w:rPr>
          <w:rFonts w:ascii="Arial" w:cs="Arial" w:eastAsia="Arial" w:hAnsi="Arial"/>
          <w:sz w:val="13"/>
          <w:szCs w:val="13"/>
          <w:b w:val="1"/>
          <w:bCs w:val="1"/>
          <w:color w:val="auto"/>
        </w:rPr>
        <w:t>(State or other jurisdiction of incorporation or</w:t>
      </w:r>
    </w:p>
    <w:p>
      <w:pPr>
        <w:jc w:val="center"/>
        <w:ind w:right="960"/>
        <w:spacing w:after="0"/>
        <w:rPr>
          <w:sz w:val="20"/>
          <w:szCs w:val="20"/>
          <w:color w:val="auto"/>
        </w:rPr>
      </w:pPr>
      <w:r>
        <w:rPr>
          <w:rFonts w:ascii="Arial" w:cs="Arial" w:eastAsia="Arial" w:hAnsi="Arial"/>
          <w:sz w:val="14"/>
          <w:szCs w:val="14"/>
          <w:b w:val="1"/>
          <w:b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345" w:lineRule="exact"/>
        <w:rPr>
          <w:sz w:val="24"/>
          <w:szCs w:val="24"/>
          <w:color w:val="auto"/>
        </w:rPr>
      </w:pPr>
    </w:p>
    <w:p>
      <w:pPr>
        <w:sectPr>
          <w:pgSz w:w="11900" w:h="16838" w:orient="portrait"/>
          <w:cols w:equalWidth="0" w:num="2">
            <w:col w:w="6520" w:space="720"/>
            <w:col w:w="3720"/>
          </w:cols>
          <w:pgMar w:left="440" w:top="229" w:right="499" w:bottom="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Three Bala Plaza East, Suite 506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Bala Cynwyd, Pennsylvania 19004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(844) 511-9056</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Substitute Option Grants issued to replace options awarded under the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Chondrial Therapeutics Holdings, LLC 2016 Equity Incentive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Carole Ben-Maimon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Larimar Therapeutics,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Three Bala Plaza East, Suite 506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Bala Cynwyd, Pennsylvania 19004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(844) 511-9056</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Rachael M. Bushey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Jennifer Porter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Pepper Hamilton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3000 Two Logan Square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Philadelphia, Pennsylvania 19103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(215) 981-4331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0"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139"/>
        </w:trPr>
        <w:tc>
          <w:tcPr>
            <w:tcW w:w="4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 Securities to</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Proposed Maximum</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Proposed Maximum</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 Per</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330,818</w:t>
            </w:r>
          </w:p>
        </w:tc>
        <w:tc>
          <w:tcPr>
            <w:tcW w:w="1540" w:type="dxa"/>
            <w:vAlign w:val="bottom"/>
            <w:tcBorders>
              <w:bottom w:val="single" w:sz="8" w:color="auto"/>
              <w:right w:val="single" w:sz="8" w:color="auto"/>
            </w:tcBorders>
          </w:tcPr>
          <w:p>
            <w:pPr>
              <w:jc w:val="right"/>
              <w:ind w:right="301"/>
              <w:spacing w:after="0"/>
              <w:rPr>
                <w:sz w:val="20"/>
                <w:szCs w:val="20"/>
                <w:color w:val="auto"/>
              </w:rPr>
            </w:pPr>
            <w:r>
              <w:rPr>
                <w:rFonts w:ascii="Arial" w:cs="Arial" w:eastAsia="Arial" w:hAnsi="Arial"/>
                <w:sz w:val="18"/>
                <w:szCs w:val="18"/>
                <w:color w:val="auto"/>
              </w:rPr>
              <w:t>$12.14(2)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$4,016,130.52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$521.30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330,818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$4,016,130.52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$521.30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 w:hanging="424"/>
        <w:spacing w:after="0" w:line="269"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shall also cover any additional shares of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Larimar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which become issuable by reason of any future stock dividend, stock split, recapitalization or other similar transaction effected without the receipt of consideration by the Company, which results in an increase in the number of the outstanding shares of Common Stock.</w:t>
      </w:r>
    </w:p>
    <w:p>
      <w:pPr>
        <w:spacing w:after="0" w:line="1" w:lineRule="exact"/>
        <w:rPr>
          <w:rFonts w:ascii="Arial" w:cs="Arial" w:eastAsia="Arial" w:hAnsi="Arial"/>
          <w:sz w:val="17"/>
          <w:szCs w:val="17"/>
          <w:color w:val="auto"/>
        </w:rPr>
      </w:pPr>
    </w:p>
    <w:p>
      <w:pPr>
        <w:ind w:left="424" w:right="140" w:hanging="424"/>
        <w:spacing w:after="0" w:line="290"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For purposes of computing the registration fee only. Pursuant to Rule 457(c) and (h) of the Securities Act, the Proposed Maximum Offering Price Per Share is based upon the weighted-average exercise price of these substitute options (rounded up to the nearest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On May 28, 2020, the Company (formerly known as Zafgen, Inc.) completed its business combination with Chondrial Therapeutics, Inc.</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Chondrial</w:t>
      </w:r>
      <w:r>
        <w:rPr>
          <w:rFonts w:ascii="Arial" w:cs="Arial" w:eastAsia="Arial" w:hAnsi="Arial"/>
          <w:sz w:val="16"/>
          <w:szCs w:val="16"/>
          <w:color w:val="auto"/>
        </w:rPr>
        <w:t>”) in accordance with the terms of the Agreement and Plan of Merger and Reorganization, dated as of December 17, 2019, as amended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Zordich Merger Sub, Inc., a wholly owned subsidiary of the Company (“</w:t>
      </w:r>
      <w:r>
        <w:rPr>
          <w:rFonts w:ascii="Arial" w:cs="Arial" w:eastAsia="Arial" w:hAnsi="Arial"/>
          <w:sz w:val="16"/>
          <w:szCs w:val="16"/>
          <w:u w:val="single" w:color="auto"/>
          <w:color w:val="auto"/>
        </w:rPr>
        <w:t>Merger Sub</w:t>
      </w:r>
      <w:r>
        <w:rPr>
          <w:rFonts w:ascii="Arial" w:cs="Arial" w:eastAsia="Arial" w:hAnsi="Arial"/>
          <w:sz w:val="16"/>
          <w:szCs w:val="16"/>
          <w:color w:val="auto"/>
        </w:rPr>
        <w:t>”), Chondrial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Chondrial Therapeutics Holdings, LLC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which Merger Sub merged with and into Chondrial, with Chondrial surviving as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wholly owned subsidiary of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In connection with, and immediately prior to the completion of the Merger, the Company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effected a reverse stock split of the Company’s Common Stock at a ratio for 1-for-12. Following completion of the Merger, the Company changed its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name from “Zafgen, Inc.” to “Larimar Therapeutics, Inc.” and the business conducted by the Company became primarily the business conducted by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Chondrial, which is a clinical-stage biotechnology company focused on developing treatments for patients suffering from complex rare diseases using its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novel cell penetrating peptide technology platform.</w:t>
      </w:r>
    </w:p>
    <w:p>
      <w:pPr>
        <w:spacing w:after="0" w:line="21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In connection with the Merger, options for Common Stock were substituted for all outstanding and unexercised stock options to purchase units of Holdings. Pursuant to the terms of the Merger Agreement, the number of shares of Common Stock subject to each such substitute option was determined by multiplying (A) the number of Holdings units that were subject to such Holdings option, as in effect prior to the effective time of the Merger, by</w:t>
      </w:r>
    </w:p>
    <w:p>
      <w:pPr>
        <w:spacing w:after="0" w:line="2"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total number of outstanding shares of Chondrial common stock on a fully diluted basis, as in effect prior to the effective time of the Merger, by</w:t>
      </w:r>
    </w:p>
    <w:p>
      <w:pPr>
        <w:spacing w:after="0" w:line="32"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fraction, the numerator of which is one and the denominator of which is the fully diluted number of Holdings units as of such time, by</w:t>
      </w:r>
    </w:p>
    <w:p>
      <w:pPr>
        <w:spacing w:after="0" w:line="9" w:lineRule="exact"/>
        <w:rPr>
          <w:rFonts w:ascii="Arial" w:cs="Arial" w:eastAsia="Arial" w:hAnsi="Arial"/>
          <w:sz w:val="18"/>
          <w:szCs w:val="18"/>
          <w:color w:val="auto"/>
        </w:rPr>
      </w:pPr>
    </w:p>
    <w:p>
      <w:pPr>
        <w:ind w:left="4" w:right="100" w:hanging="4"/>
        <w:spacing w:after="0" w:line="271" w:lineRule="auto"/>
        <w:tabs>
          <w:tab w:leader="none" w:pos="299" w:val="left"/>
        </w:tabs>
        <w:numPr>
          <w:ilvl w:val="0"/>
          <w:numId w:val="2"/>
        </w:numPr>
        <w:rPr>
          <w:rFonts w:ascii="Arial" w:cs="Arial" w:eastAsia="Arial" w:hAnsi="Arial"/>
          <w:sz w:val="17"/>
          <w:szCs w:val="17"/>
          <w:color w:val="auto"/>
        </w:rPr>
      </w:pPr>
      <w:r>
        <w:rPr>
          <w:rFonts w:ascii="Arial" w:cs="Arial" w:eastAsia="Arial" w:hAnsi="Arial"/>
          <w:sz w:val="17"/>
          <w:szCs w:val="17"/>
          <w:color w:val="auto"/>
        </w:rPr>
        <w:t>60,912.5005 (the exchange ratio applicable in the Merger), and rounding the resulting number down to the nearest whole number of shares of Common Stock. The per share exercise price for shares of Common Stock issuable upon exercise of each such substitute option was determined in accordance with applicable tax regulations to cause the aggregate “spread” of the substitute option (i.e., the difference between the fair market value of the stock subject to the option and the exercise price of the option) immediately following the closing of the Merger, to be equal to the aggregate spread of the Holdings options for which it was substituted, as measured immediately prior to the closing of the Merger.</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the recipients of substitute option grants as required by Rule 428(b)(1) under the Securities Act.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which have been filed by the Company with the United States Securities and Exchange Commission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the Securities Act with respect to item (a) below and the Exchange Act, with respect to item (b) below, are incorporated by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reference in, and shall be deemed to be a part of, this Registration Statement:</w:t>
      </w:r>
    </w:p>
    <w:p>
      <w:pPr>
        <w:spacing w:after="0" w:line="103" w:lineRule="exact"/>
        <w:rPr>
          <w:sz w:val="20"/>
          <w:szCs w:val="20"/>
          <w:color w:val="auto"/>
        </w:rPr>
      </w:pPr>
    </w:p>
    <w:p>
      <w:pPr>
        <w:ind w:left="444" w:right="480" w:firstLine="419"/>
        <w:spacing w:after="0" w:line="308" w:lineRule="auto"/>
        <w:tabs>
          <w:tab w:leader="none" w:pos="1112"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2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2019, filed with the Commission on March 5, 2020 which contains the Company’s audited financial statements for the latest fiscal year for which such statements have been filed;</w:t>
      </w:r>
    </w:p>
    <w:p>
      <w:pPr>
        <w:spacing w:after="0" w:line="38" w:lineRule="exact"/>
        <w:rPr>
          <w:rFonts w:ascii="Arial" w:cs="Arial" w:eastAsia="Arial" w:hAnsi="Arial"/>
          <w:sz w:val="17"/>
          <w:szCs w:val="17"/>
          <w:color w:val="auto"/>
        </w:rPr>
      </w:pPr>
    </w:p>
    <w:p>
      <w:pPr>
        <w:ind w:left="1124" w:hanging="261"/>
        <w:spacing w:after="0"/>
        <w:tabs>
          <w:tab w:leader="none" w:pos="112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w:t>
      </w:r>
      <w:hyperlink r:id="rId24">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March 31, 2020, filed with the Commission on May 7, 2020;</w:t>
      </w:r>
    </w:p>
    <w:p>
      <w:pPr>
        <w:spacing w:after="0" w:line="128" w:lineRule="exact"/>
        <w:rPr>
          <w:rFonts w:ascii="Arial" w:cs="Arial" w:eastAsia="Arial" w:hAnsi="Arial"/>
          <w:sz w:val="17"/>
          <w:szCs w:val="17"/>
          <w:color w:val="auto"/>
        </w:rPr>
      </w:pPr>
    </w:p>
    <w:p>
      <w:pPr>
        <w:ind w:left="444" w:right="200" w:firstLine="419"/>
        <w:spacing w:after="0" w:line="286" w:lineRule="auto"/>
        <w:tabs>
          <w:tab w:leader="none" w:pos="1112" w:val="left"/>
        </w:tabs>
        <w:numPr>
          <w:ilvl w:val="0"/>
          <w:numId w:val="3"/>
        </w:numPr>
        <w:rPr>
          <w:rFonts w:ascii="Arial" w:cs="Arial" w:eastAsia="Arial" w:hAnsi="Arial"/>
          <w:sz w:val="17"/>
          <w:szCs w:val="17"/>
          <w:color w:val="0000EE"/>
        </w:rPr>
      </w:pPr>
      <w:r>
        <w:rPr>
          <w:rFonts w:ascii="Arial" w:cs="Arial" w:eastAsia="Arial" w:hAnsi="Arial"/>
          <w:sz w:val="17"/>
          <w:szCs w:val="17"/>
          <w:color w:val="auto"/>
        </w:rPr>
        <w:t xml:space="preserve">the Registrant’s Current Reports on Form 8-K (in each case other than portions thereof furnished under Item 2.02 or Item 7.01 of Form </w:t>
      </w:r>
      <w:hyperlink r:id="rId25">
        <w:r>
          <w:rPr>
            <w:rFonts w:ascii="Arial" w:cs="Arial" w:eastAsia="Arial" w:hAnsi="Arial"/>
            <w:sz w:val="17"/>
            <w:szCs w:val="17"/>
            <w:color w:val="auto"/>
          </w:rPr>
          <w:t xml:space="preserve">8-K and exhibits accompanying such reports related to such items) filed with the Commission on </w:t>
        </w:r>
        <w:r>
          <w:rPr>
            <w:rFonts w:ascii="Arial" w:cs="Arial" w:eastAsia="Arial" w:hAnsi="Arial"/>
            <w:sz w:val="17"/>
            <w:szCs w:val="17"/>
            <w:u w:val="single" w:color="auto"/>
            <w:color w:val="0000EE"/>
          </w:rPr>
          <w:t>January 13,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9,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24,</w:t>
        </w:r>
      </w:hyperlink>
      <w:r>
        <w:rPr>
          <w:rFonts w:ascii="Arial" w:cs="Arial" w:eastAsia="Arial" w:hAnsi="Arial"/>
          <w:sz w:val="17"/>
          <w:szCs w:val="17"/>
          <w:color w:val="auto"/>
        </w:rPr>
        <w:t xml:space="preserve"> </w:t>
      </w:r>
      <w:hyperlink r:id="rId25">
        <w:r>
          <w:rPr>
            <w:rFonts w:ascii="Arial" w:cs="Arial" w:eastAsia="Arial" w:hAnsi="Arial"/>
            <w:sz w:val="17"/>
            <w:szCs w:val="17"/>
            <w:u w:val="single" w:color="auto"/>
            <w:color w:val="0000EE"/>
          </w:rPr>
          <w:t>2020</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26">
        <w:r>
          <w:rPr>
            <w:rFonts w:ascii="Arial" w:cs="Arial" w:eastAsia="Arial" w:hAnsi="Arial"/>
            <w:sz w:val="17"/>
            <w:szCs w:val="17"/>
            <w:u w:val="single" w:color="auto"/>
            <w:color w:val="0000EE"/>
          </w:rPr>
          <w:t xml:space="preserve">June 2, 2020 </w:t>
        </w:r>
      </w:hyperlink>
      <w:hyperlink r:id="rId25">
        <w:r>
          <w:rPr>
            <w:rFonts w:ascii="Arial" w:cs="Arial" w:eastAsia="Arial" w:hAnsi="Arial"/>
            <w:sz w:val="17"/>
            <w:szCs w:val="17"/>
            <w:color w:val="000000"/>
          </w:rPr>
          <w:t>and the Registrant’s Current Report on Form 8-K/A filed with the Commission on</w:t>
        </w:r>
        <w:r>
          <w:rPr>
            <w:rFonts w:ascii="Arial" w:cs="Arial" w:eastAsia="Arial" w:hAnsi="Arial"/>
            <w:sz w:val="17"/>
            <w:szCs w:val="17"/>
            <w:color w:val="0000EE"/>
          </w:rPr>
          <w:t xml:space="preserve"> </w:t>
        </w:r>
      </w:hyperlink>
      <w:hyperlink r:id="rId27">
        <w:r>
          <w:rPr>
            <w:rFonts w:ascii="Arial" w:cs="Arial" w:eastAsia="Arial" w:hAnsi="Arial"/>
            <w:sz w:val="17"/>
            <w:szCs w:val="17"/>
            <w:u w:val="single" w:color="auto"/>
            <w:color w:val="0000EE"/>
          </w:rPr>
          <w:t>June 26, 2020</w:t>
        </w:r>
      </w:hyperlink>
      <w:hyperlink r:id="rId25">
        <w:r>
          <w:rPr>
            <w:rFonts w:ascii="Arial" w:cs="Arial" w:eastAsia="Arial" w:hAnsi="Arial"/>
            <w:sz w:val="17"/>
            <w:szCs w:val="17"/>
            <w:color w:val="000000"/>
          </w:rPr>
          <w:t>;</w:t>
        </w:r>
      </w:hyperlink>
    </w:p>
    <w:p>
      <w:pPr>
        <w:sectPr>
          <w:pgSz w:w="11900" w:h="16838" w:orient="portrait"/>
          <w:cols w:equalWidth="0" w:num="1">
            <w:col w:w="11024"/>
          </w:cols>
          <w:pgMar w:left="436" w:top="270" w:right="439" w:bottom="1440" w:gutter="0" w:footer="0" w:header="0"/>
        </w:sectPr>
      </w:pPr>
    </w:p>
    <w:bookmarkStart w:id="3" w:name="page4"/>
    <w:bookmarkEnd w:id="3"/>
    <w:p>
      <w:pPr>
        <w:ind w:left="440" w:right="20" w:firstLine="419"/>
        <w:spacing w:after="0" w:line="311" w:lineRule="auto"/>
        <w:tabs>
          <w:tab w:leader="none" w:pos="1118"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Registrant’s Definitive Proxy Statement on </w:t>
      </w:r>
      <w:hyperlink r:id="rId29">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Commission on April 29, 2020 (the Chondrial Therapeutics, Inc. financial statements and the report thereon from the Company’s independent registered public accounting firm have been superseded by the financial statements and report thereon included in Larimar Therapeutics, Inc’s Current Report on Form 8-K/A filed on June 26, 2020); and</w:t>
      </w:r>
    </w:p>
    <w:p>
      <w:pPr>
        <w:spacing w:after="0" w:line="40" w:lineRule="exact"/>
        <w:rPr>
          <w:rFonts w:ascii="Arial" w:cs="Arial" w:eastAsia="Arial" w:hAnsi="Arial"/>
          <w:sz w:val="16"/>
          <w:szCs w:val="16"/>
          <w:color w:val="auto"/>
        </w:rPr>
      </w:pPr>
    </w:p>
    <w:p>
      <w:pPr>
        <w:ind w:left="440" w:right="240" w:firstLine="419"/>
        <w:spacing w:after="0" w:line="263" w:lineRule="auto"/>
        <w:tabs>
          <w:tab w:leader="none" w:pos="1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contained in the Registrant’s Registration Statement on </w:t>
      </w:r>
      <w:hyperlink r:id="rId3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Commission on June 18, 2014 (File No. 001-36510), together with any amendment thereto filed with the Commission for the purpose of updating such description.</w:t>
      </w:r>
    </w:p>
    <w:p>
      <w:pPr>
        <w:spacing w:after="0" w:line="184" w:lineRule="exact"/>
        <w:rPr>
          <w:rFonts w:ascii="Arial" w:cs="Arial" w:eastAsia="Arial" w:hAnsi="Arial"/>
          <w:sz w:val="16"/>
          <w:szCs w:val="16"/>
          <w:color w:val="auto"/>
        </w:rPr>
      </w:pPr>
    </w:p>
    <w:p>
      <w:pPr>
        <w:ind w:right="120" w:firstLine="440"/>
        <w:spacing w:after="0" w:line="275" w:lineRule="auto"/>
        <w:rPr>
          <w:sz w:val="20"/>
          <w:szCs w:val="20"/>
          <w:color w:val="auto"/>
        </w:rPr>
      </w:pPr>
      <w:r>
        <w:rPr>
          <w:rFonts w:ascii="Arial" w:cs="Arial" w:eastAsia="Arial" w:hAnsi="Arial"/>
          <w:sz w:val="17"/>
          <w:szCs w:val="17"/>
          <w:color w:val="auto"/>
        </w:rPr>
        <w:t>All reports and other documents filed by the Company with the Commission pursuant to Sections 13(a), 13(c), 14 and 15(d) of the Exchange Act (other than information furnished under Item 2.02 or 7.01 of Form 8-K and exhibits furnished on such form that relate to such items unless such form expressly provides to the contrary)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w:t>
      </w:r>
    </w:p>
    <w:p>
      <w:pPr>
        <w:spacing w:after="0" w:line="176" w:lineRule="exact"/>
        <w:rPr>
          <w:rFonts w:ascii="Arial" w:cs="Arial" w:eastAsia="Arial" w:hAnsi="Arial"/>
          <w:sz w:val="16"/>
          <w:szCs w:val="16"/>
          <w:color w:val="auto"/>
        </w:rPr>
      </w:pPr>
    </w:p>
    <w:p>
      <w:pPr>
        <w:ind w:right="20" w:firstLine="440"/>
        <w:spacing w:after="0" w:line="257" w:lineRule="auto"/>
        <w:rPr>
          <w:sz w:val="20"/>
          <w:szCs w:val="20"/>
          <w:color w:val="auto"/>
        </w:rPr>
      </w:pPr>
      <w:r>
        <w:rPr>
          <w:rFonts w:ascii="Arial" w:cs="Arial" w:eastAsia="Arial" w:hAnsi="Arial"/>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332" w:lineRule="exact"/>
        <w:rPr>
          <w:rFonts w:ascii="Arial" w:cs="Arial" w:eastAsia="Arial" w:hAnsi="Arial"/>
          <w:sz w:val="16"/>
          <w:szCs w:val="16"/>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6"/>
          <w:szCs w:val="16"/>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6"/>
          <w:szCs w:val="16"/>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rFonts w:ascii="Arial" w:cs="Arial" w:eastAsia="Arial" w:hAnsi="Arial"/>
          <w:sz w:val="16"/>
          <w:szCs w:val="16"/>
          <w:color w:val="auto"/>
        </w:rPr>
      </w:pPr>
    </w:p>
    <w:p>
      <w:pPr>
        <w:ind w:right="300" w:firstLine="440"/>
        <w:spacing w:after="0" w:line="263" w:lineRule="auto"/>
        <w:rPr>
          <w:sz w:val="20"/>
          <w:szCs w:val="20"/>
          <w:color w:val="auto"/>
        </w:rPr>
      </w:pPr>
      <w:r>
        <w:rPr>
          <w:rFonts w:ascii="Arial" w:cs="Arial" w:eastAsia="Arial" w:hAnsi="Arial"/>
          <w:sz w:val="18"/>
          <w:szCs w:val="18"/>
          <w:color w:val="auto"/>
        </w:rPr>
        <w:t>Section 145 of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permits a corporation to include in its charter documents, and in agreements between the corporation and its directors and officers, provisions expanding the scope of indemnification beyond that specifically provided by the current law.</w:t>
      </w:r>
    </w:p>
    <w:p>
      <w:pPr>
        <w:spacing w:after="0" w:line="184" w:lineRule="exact"/>
        <w:rPr>
          <w:rFonts w:ascii="Arial" w:cs="Arial" w:eastAsia="Arial" w:hAnsi="Arial"/>
          <w:sz w:val="16"/>
          <w:szCs w:val="16"/>
          <w:color w:val="auto"/>
        </w:rPr>
      </w:pPr>
    </w:p>
    <w:p>
      <w:pPr>
        <w:ind w:right="40" w:firstLine="440"/>
        <w:spacing w:after="0" w:line="259" w:lineRule="auto"/>
        <w:rPr>
          <w:sz w:val="20"/>
          <w:szCs w:val="20"/>
          <w:color w:val="auto"/>
        </w:rPr>
      </w:pPr>
      <w:r>
        <w:rPr>
          <w:rFonts w:ascii="Arial" w:cs="Arial" w:eastAsia="Arial" w:hAnsi="Arial"/>
          <w:sz w:val="18"/>
          <w:szCs w:val="18"/>
          <w:color w:val="auto"/>
        </w:rPr>
        <w:t>The Registrant’s ninth amended and restated certificate of incorporation provides for the a limitation of the personal liability of directors, except for (a) any breach of the director’s duty of loyalty to the Registrant or its stockholders, (b) for acts or omissions not in good faith or which involve intentional misconduct or a knowing violation of the law, (c) under Section 174 of the DGCL or (d) for any transaction for which the director derived an improper personal benefit.</w:t>
      </w:r>
    </w:p>
    <w:p>
      <w:pPr>
        <w:spacing w:after="0" w:line="187" w:lineRule="exact"/>
        <w:rPr>
          <w:rFonts w:ascii="Arial" w:cs="Arial" w:eastAsia="Arial" w:hAnsi="Arial"/>
          <w:sz w:val="16"/>
          <w:szCs w:val="16"/>
          <w:color w:val="auto"/>
        </w:rPr>
      </w:pPr>
    </w:p>
    <w:p>
      <w:pPr>
        <w:ind w:right="20" w:firstLine="440"/>
        <w:spacing w:after="0" w:line="259" w:lineRule="auto"/>
        <w:rPr>
          <w:sz w:val="20"/>
          <w:szCs w:val="20"/>
          <w:color w:val="auto"/>
        </w:rPr>
      </w:pPr>
      <w:r>
        <w:rPr>
          <w:rFonts w:ascii="Arial" w:cs="Arial" w:eastAsia="Arial" w:hAnsi="Arial"/>
          <w:sz w:val="18"/>
          <w:szCs w:val="18"/>
          <w:color w:val="auto"/>
        </w:rPr>
        <w:t>The Registrant’s amended and restated by-laws provide for the indemnification of officers, directors and third parties acting on the Registrant’s behalf to the fullest extent authorized by the DGCL if such persons act in good faith and in a manner reasonably believed to be in and not opposed to the Registrant’s best interest, and, with respect to any criminal action or proceeding, such indemnified party had no reason to believe his or her conduct was unlawful.</w:t>
      </w:r>
    </w:p>
    <w:p>
      <w:pPr>
        <w:spacing w:after="0" w:line="187" w:lineRule="exact"/>
        <w:rPr>
          <w:rFonts w:ascii="Arial" w:cs="Arial" w:eastAsia="Arial" w:hAnsi="Arial"/>
          <w:sz w:val="16"/>
          <w:szCs w:val="16"/>
          <w:color w:val="auto"/>
        </w:rPr>
      </w:pPr>
    </w:p>
    <w:p>
      <w:pPr>
        <w:ind w:right="20" w:firstLine="440"/>
        <w:spacing w:after="0" w:line="259" w:lineRule="auto"/>
        <w:rPr>
          <w:sz w:val="20"/>
          <w:szCs w:val="20"/>
          <w:color w:val="auto"/>
        </w:rPr>
      </w:pPr>
      <w:r>
        <w:rPr>
          <w:rFonts w:ascii="Arial" w:cs="Arial" w:eastAsia="Arial" w:hAnsi="Arial"/>
          <w:sz w:val="18"/>
          <w:szCs w:val="18"/>
          <w:color w:val="auto"/>
        </w:rPr>
        <w:t>The Registrant has entered into indemnification agreements with each of its directors, in addition to the indemnification provisions provided for in its charter documents, and the Registrant intends to enter into indemnification agreements with any new directors in the future. These agreements provide for indemnification for all reasonable expenses and liabilities incurred in connection with any action or proceeding brought against them by reason of the fact that they are or were agents of the Registrant.</w:t>
      </w:r>
    </w:p>
    <w:p>
      <w:pPr>
        <w:spacing w:after="0" w:line="187" w:lineRule="exact"/>
        <w:rPr>
          <w:rFonts w:ascii="Arial" w:cs="Arial" w:eastAsia="Arial" w:hAnsi="Arial"/>
          <w:sz w:val="16"/>
          <w:szCs w:val="16"/>
          <w:color w:val="auto"/>
        </w:rPr>
      </w:pPr>
    </w:p>
    <w:p>
      <w:pPr>
        <w:ind w:firstLine="440"/>
        <w:spacing w:after="0" w:line="342" w:lineRule="auto"/>
        <w:rPr>
          <w:sz w:val="20"/>
          <w:szCs w:val="20"/>
          <w:color w:val="auto"/>
        </w:rPr>
      </w:pPr>
      <w:r>
        <w:rPr>
          <w:rFonts w:ascii="Arial" w:cs="Arial" w:eastAsia="Arial" w:hAnsi="Arial"/>
          <w:sz w:val="16"/>
          <w:szCs w:val="16"/>
          <w:color w:val="auto"/>
        </w:rPr>
        <w:t>The Registrant has purchased and maintains insurance on behalf of any person who is or was a director or officer against any loss arising from any claim asserted against him or her and incurred by him or her in that capacity, subject to certain exclusions and limits of the amount of coverage.</w:t>
      </w:r>
    </w:p>
    <w:p>
      <w:pPr>
        <w:sectPr>
          <w:pgSz w:w="11900" w:h="16838" w:orient="portrait"/>
          <w:cols w:equalWidth="0" w:num="1">
            <w:col w:w="11000"/>
          </w:cols>
          <w:pgMar w:left="440" w:top="274" w:right="459" w:bottom="1440" w:gutter="0" w:footer="0" w:header="0"/>
        </w:sectPr>
      </w:pPr>
    </w:p>
    <w:bookmarkStart w:id="4" w:name="page5"/>
    <w:bookmarkEnd w:id="4"/>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These indemnification provisions and the indemnification agreements entered into between the Registrant and directors may be sufficiently broad to permit indemnification of the Registrant’s officers and directors for liabilities (including reimbursement of expenses incurred) arising under the Securities Act.</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20" w:type="dxa"/>
            <w:vAlign w:val="bottom"/>
            <w:gridSpan w:val="9"/>
            <w:vMerge w:val="restart"/>
          </w:tcPr>
          <w:p>
            <w:pPr>
              <w:ind w:left="27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2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980" w:type="dxa"/>
            <w:vAlign w:val="bottom"/>
            <w:gridSpan w:val="11"/>
          </w:tcPr>
          <w:p>
            <w:pPr>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Ninth Amended and Restated Certificate of Incorporation of Larimar Therapeutics, Inc. (incorporated herein by reference to Exhibit 3.1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the Company’s Current Report on Form 8-K (File No. 001-36510) filed on June 24,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880" w:type="dxa"/>
            <w:vAlign w:val="bottom"/>
            <w:tcBorders>
              <w:bottom w:val="single" w:sz="8" w:color="0000EE"/>
            </w:tcBorders>
            <w:gridSpan w:val="6"/>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Certificate of Amendment of Ninth Amended and Restated Certificate of Incorporation of Zafgen, Inc. related to the Reverse Stock Split,</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dated May 28, 2020 (incorporated herein by reference to Exhibit 3.1 to the Company’s Current Report on Form 8-K (File No. 001-36510)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filed on June 2,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Certificate of Amendment of Ninth Amended and Restated Certificate of Incorporation of Zafgen, Inc. related to the Name Change, dated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May 28, 2020 (incorporated herein by reference to Exhibit 3.1 to the Company’s Current Report on Form 8-K (File No. 001-36510)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34">
              <w:r>
                <w:rPr>
                  <w:rFonts w:ascii="Arial" w:cs="Arial" w:eastAsia="Arial" w:hAnsi="Arial"/>
                  <w:sz w:val="18"/>
                  <w:szCs w:val="18"/>
                  <w:color w:val="0000EE"/>
                  <w:w w:val="87"/>
                </w:rPr>
                <w:t>on June 2, 2020)</w:t>
              </w:r>
            </w:hyperlink>
          </w:p>
        </w:tc>
        <w:tc>
          <w:tcPr>
            <w:tcW w:w="8700" w:type="dxa"/>
            <w:vAlign w:val="bottom"/>
            <w:tcBorders>
              <w:top w:val="single" w:sz="8" w:color="0000EE"/>
            </w:tcBorders>
            <w:gridSpan w:val="6"/>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800" w:type="dxa"/>
            <w:vAlign w:val="bottom"/>
            <w:tcBorders>
              <w:bottom w:val="single" w:sz="8" w:color="0000EE"/>
            </w:tcBorders>
            <w:gridSpan w:val="5"/>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Amended and Restated Bylaws of Larimar Therapeutics, Inc. (incorporated herein by reference to Exhibit 3.2 to the Company’s Current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Report on Form 8-K (File No. 001-36510) filed on June 24, 2014)</w:t>
              </w:r>
            </w:hyperlink>
          </w:p>
        </w:tc>
        <w:tc>
          <w:tcPr>
            <w:tcW w:w="5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Form of Larimar Therapeutics, Inc. Notice of Substitute Option Grant and Substitute Stock Option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Opinion of Pepper Hamilton LLP as to the legality of the securities being registered</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Consent of Pepper Hamilton LLP (contained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Powers of Attorney (included on the signature page of the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80" w:hanging="24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0" w:hanging="212"/>
        <w:spacing w:after="0"/>
        <w:tabs>
          <w:tab w:leader="none" w:pos="1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0" w:right="180" w:firstLine="408"/>
        <w:spacing w:after="0" w:line="259" w:lineRule="auto"/>
        <w:tabs>
          <w:tab w:leader="none" w:pos="1646"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w:t>
      </w:r>
    </w:p>
    <w:p>
      <w:pPr>
        <w:sectPr>
          <w:pgSz w:w="11900" w:h="16838" w:orient="portrait"/>
          <w:cols w:equalWidth="0" w:num="1">
            <w:col w:w="11020"/>
          </w:cols>
          <w:pgMar w:left="440" w:top="274" w:right="439" w:bottom="1440" w:gutter="0" w:footer="0" w:header="0"/>
        </w:sectPr>
      </w:pPr>
    </w:p>
    <w:bookmarkStart w:id="5" w:name="page6"/>
    <w:bookmarkEnd w:id="5"/>
    <w:p>
      <w:pPr>
        <w:ind w:left="98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79" w:lineRule="exact"/>
        <w:rPr>
          <w:sz w:val="20"/>
          <w:szCs w:val="20"/>
          <w:color w:val="auto"/>
        </w:rPr>
      </w:pPr>
    </w:p>
    <w:p>
      <w:pPr>
        <w:ind w:left="980" w:right="680" w:firstLine="408"/>
        <w:spacing w:after="0" w:line="277" w:lineRule="auto"/>
        <w:tabs>
          <w:tab w:leader="none" w:pos="16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shall not apply if the information required to be included on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by or furnished to the Commission by the Company pursuant to Section 13 or Section 15(d) of the Exchange Act that are incorporated by reference in this Registration Statement.</w:t>
      </w:r>
    </w:p>
    <w:p>
      <w:pPr>
        <w:spacing w:after="0" w:line="76" w:lineRule="exact"/>
        <w:rPr>
          <w:sz w:val="20"/>
          <w:szCs w:val="20"/>
          <w:color w:val="auto"/>
        </w:rPr>
      </w:pPr>
    </w:p>
    <w:p>
      <w:pPr>
        <w:ind w:left="440" w:right="60" w:firstLine="419"/>
        <w:spacing w:after="0" w:line="263" w:lineRule="auto"/>
        <w:tabs>
          <w:tab w:leader="none" w:pos="111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60" w:firstLine="436"/>
        <w:spacing w:after="0" w:line="25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7" w:lineRule="exact"/>
        <w:rPr>
          <w:rFonts w:ascii="Arial" w:cs="Arial" w:eastAsia="Arial" w:hAnsi="Arial"/>
          <w:sz w:val="18"/>
          <w:szCs w:val="18"/>
          <w:color w:val="auto"/>
        </w:rPr>
      </w:pPr>
    </w:p>
    <w:p>
      <w:pPr>
        <w:ind w:firstLine="436"/>
        <w:spacing w:after="0" w:line="254" w:lineRule="auto"/>
        <w:tabs>
          <w:tab w:leader="none" w:pos="6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this 26th day of June,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LARIMAR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Carole Ben-Maimon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 Carole</w:t>
      </w:r>
      <w:r>
        <w:rPr>
          <w:rFonts w:ascii="Arial" w:cs="Arial" w:eastAsia="Arial" w:hAnsi="Arial"/>
          <w:sz w:val="18"/>
          <w:szCs w:val="18"/>
          <w:i w:val="1"/>
          <w:iCs w:val="1"/>
          <w:color w:val="auto"/>
        </w:rPr>
        <w:t xml:space="preserve"> </w:t>
      </w:r>
      <w:r>
        <w:rPr>
          <w:rFonts w:ascii="Arial" w:cs="Arial" w:eastAsia="Arial" w:hAnsi="Arial"/>
          <w:sz w:val="18"/>
          <w:szCs w:val="18"/>
          <w:color w:val="auto"/>
        </w:rPr>
        <w:t>Ben-Maimon and Michael Celano, and each of them, as his or her true and lawful attorney-in-fact and agent with full power of substitution, for him or her in any and all capacities, to sign any and all</w:t>
      </w:r>
    </w:p>
    <w:p>
      <w:pPr>
        <w:sectPr>
          <w:pgSz w:w="11900" w:h="16838" w:orient="portrait"/>
          <w:cols w:equalWidth="0" w:num="1">
            <w:col w:w="10980"/>
          </w:cols>
          <w:pgMar w:left="440" w:top="274" w:right="479" w:bottom="1440" w:gutter="0" w:footer="0" w:header="0"/>
        </w:sectPr>
      </w:pPr>
    </w:p>
    <w:bookmarkStart w:id="6" w:name="page7"/>
    <w:bookmarkEnd w:id="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to this Registration Statement (including post-effective amendments or any abbreviated registration statement and any amendments thereto filed pursuant to Rule 462(b) under the Securities Act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9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Carole Ben-Maimon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Carole Ben-Maimon</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Celano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Michael Celano</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Truitt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Chairman, Board of Directors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Joseph Truitt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Barrett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Peter Barrett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O. Daniel</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Thomas O. Daniel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Edward Hamilton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Thomas Edward Hamilton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Jonathan Leff</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Jonathan Leff</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E. Thomas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Frank E. Thomas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4" w:right="439" w:bottom="1440" w:gutter="0" w:footer="0" w:header="0"/>
        </w:sectPr>
      </w:pPr>
    </w:p>
    <w:bookmarkStart w:id="7" w:name="page8"/>
    <w:bookmarkEnd w:id="7"/>
    <w:p>
      <w:pPr>
        <w:ind w:left="10180"/>
        <w:spacing w:after="0"/>
        <w:rPr>
          <w:sz w:val="20"/>
          <w:szCs w:val="20"/>
          <w:color w:val="auto"/>
        </w:rPr>
      </w:pPr>
      <w:r>
        <w:rPr>
          <w:rFonts w:ascii="Arial" w:cs="Arial" w:eastAsia="Arial" w:hAnsi="Arial"/>
          <w:sz w:val="16"/>
          <w:szCs w:val="16"/>
          <w:b w:val="1"/>
          <w:bCs w:val="1"/>
          <w:color w:val="auto"/>
        </w:rPr>
        <w:t>Exhibit 4.5</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60" w:type="dxa"/>
            <w:vAlign w:val="bottom"/>
            <w:gridSpan w:val="2"/>
          </w:tcPr>
          <w:p>
            <w:pPr>
              <w:jc w:val="center"/>
              <w:ind w:right="3530"/>
              <w:spacing w:after="0"/>
              <w:rPr>
                <w:sz w:val="20"/>
                <w:szCs w:val="20"/>
                <w:color w:val="auto"/>
              </w:rPr>
            </w:pPr>
            <w:r>
              <w:rPr>
                <w:rFonts w:ascii="Arial" w:cs="Arial" w:eastAsia="Arial" w:hAnsi="Arial"/>
                <w:sz w:val="18"/>
                <w:szCs w:val="18"/>
                <w:b w:val="1"/>
                <w:bCs w:val="1"/>
                <w:color w:val="auto"/>
              </w:rPr>
              <w:t>LARIMAR THERAPUETICS, INC.</w:t>
            </w:r>
          </w:p>
        </w:tc>
      </w:tr>
      <w:tr>
        <w:trPr>
          <w:trHeight w:val="432"/>
        </w:trPr>
        <w:tc>
          <w:tcPr>
            <w:tcW w:w="3580" w:type="dxa"/>
            <w:vAlign w:val="bottom"/>
          </w:tcPr>
          <w:p>
            <w:pPr>
              <w:spacing w:after="0"/>
              <w:rPr>
                <w:sz w:val="24"/>
                <w:szCs w:val="24"/>
                <w:color w:val="auto"/>
              </w:rPr>
            </w:pPr>
          </w:p>
        </w:tc>
        <w:tc>
          <w:tcPr>
            <w:tcW w:w="7460" w:type="dxa"/>
            <w:vAlign w:val="bottom"/>
            <w:gridSpan w:val="2"/>
          </w:tcPr>
          <w:p>
            <w:pPr>
              <w:jc w:val="center"/>
              <w:ind w:right="3530"/>
              <w:spacing w:after="0"/>
              <w:rPr>
                <w:sz w:val="20"/>
                <w:szCs w:val="20"/>
                <w:color w:val="auto"/>
              </w:rPr>
            </w:pPr>
            <w:r>
              <w:rPr>
                <w:rFonts w:ascii="Arial" w:cs="Arial" w:eastAsia="Arial" w:hAnsi="Arial"/>
                <w:sz w:val="18"/>
                <w:szCs w:val="18"/>
                <w:b w:val="1"/>
                <w:bCs w:val="1"/>
                <w:color w:val="auto"/>
              </w:rPr>
              <w:t>NOTICE OF SUBSTITUTE OPTION GRANT</w:t>
            </w:r>
          </w:p>
        </w:tc>
      </w:tr>
      <w:tr>
        <w:trPr>
          <w:trHeight w:val="243"/>
        </w:trPr>
        <w:tc>
          <w:tcPr>
            <w:tcW w:w="35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r>
      <w:tr>
        <w:trPr>
          <w:trHeight w:val="209"/>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Name of Optionee:</w:t>
            </w:r>
          </w:p>
        </w:tc>
        <w:tc>
          <w:tcPr>
            <w:tcW w:w="64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2"/>
              </w:rPr>
              <w:t>Total Number of Shares subject to the Option:</w:t>
            </w:r>
          </w:p>
        </w:tc>
        <w:tc>
          <w:tcPr>
            <w:tcW w:w="64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09"/>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Type of Option</w:t>
            </w:r>
          </w:p>
        </w:tc>
        <w:tc>
          <w:tcPr>
            <w:tcW w:w="64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Nonstatutory option (NSO)</w:t>
            </w:r>
          </w:p>
        </w:tc>
      </w:tr>
      <w:tr>
        <w:trPr>
          <w:trHeight w:val="210"/>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Exercise Price per Share:</w:t>
            </w:r>
          </w:p>
        </w:tc>
        <w:tc>
          <w:tcPr>
            <w:tcW w:w="64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09"/>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Option Substitution Date:</w:t>
            </w:r>
          </w:p>
        </w:tc>
        <w:tc>
          <w:tcPr>
            <w:tcW w:w="64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May 28, 2020</w:t>
            </w:r>
          </w:p>
        </w:tc>
      </w:tr>
      <w:tr>
        <w:trPr>
          <w:trHeight w:val="224"/>
        </w:trPr>
        <w:tc>
          <w:tcPr>
            <w:tcW w:w="35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Vesting Schedule:</w:t>
            </w:r>
          </w:p>
        </w:tc>
        <w:tc>
          <w:tcPr>
            <w:tcW w:w="6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This Option has or will become vested and exercisable as follows:</w:t>
            </w:r>
          </w:p>
        </w:tc>
      </w:tr>
      <w:tr>
        <w:trPr>
          <w:trHeight w:val="309"/>
        </w:trPr>
        <w:tc>
          <w:tcPr>
            <w:tcW w:w="35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  With respect to 25% of the total number of Shares subject to this Option, when the</w:t>
            </w:r>
          </w:p>
        </w:tc>
      </w:tr>
      <w:tr>
        <w:trPr>
          <w:trHeight w:val="216"/>
        </w:trPr>
        <w:tc>
          <w:tcPr>
            <w:tcW w:w="358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Optionee completed or completes one year of Service after the Vesting</w:t>
            </w:r>
          </w:p>
        </w:tc>
      </w:tr>
      <w:tr>
        <w:trPr>
          <w:trHeight w:val="230"/>
        </w:trPr>
        <w:tc>
          <w:tcPr>
            <w:tcW w:w="35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Commencement Date; and</w:t>
            </w:r>
          </w:p>
        </w:tc>
      </w:tr>
      <w:tr>
        <w:trPr>
          <w:trHeight w:val="323"/>
        </w:trPr>
        <w:tc>
          <w:tcPr>
            <w:tcW w:w="35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  With respect to an additional 2.0833% of the Shares subject to this Option, when the</w:t>
            </w:r>
          </w:p>
        </w:tc>
      </w:tr>
      <w:tr>
        <w:trPr>
          <w:trHeight w:val="216"/>
        </w:trPr>
        <w:tc>
          <w:tcPr>
            <w:tcW w:w="358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2"/>
              </w:rPr>
              <w:t>Optionee completed or completes each month of Service thereafter, until the Option</w:t>
            </w:r>
          </w:p>
        </w:tc>
      </w:tr>
      <w:tr>
        <w:trPr>
          <w:trHeight w:val="216"/>
        </w:trPr>
        <w:tc>
          <w:tcPr>
            <w:tcW w:w="358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is fully vested and exercisable on the four year anniversary of the Vesting</w:t>
            </w:r>
          </w:p>
        </w:tc>
      </w:tr>
      <w:tr>
        <w:trPr>
          <w:trHeight w:val="230"/>
        </w:trPr>
        <w:tc>
          <w:tcPr>
            <w:tcW w:w="35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Commencement Date.</w:t>
            </w:r>
          </w:p>
        </w:tc>
      </w:tr>
      <w:tr>
        <w:trPr>
          <w:trHeight w:val="323"/>
        </w:trPr>
        <w:tc>
          <w:tcPr>
            <w:tcW w:w="35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In addition, upon a termination of Service prior to May 28, 2021 either (i) by the Company</w:t>
            </w:r>
          </w:p>
        </w:tc>
      </w:tr>
      <w:tr>
        <w:trPr>
          <w:trHeight w:val="216"/>
        </w:trPr>
        <w:tc>
          <w:tcPr>
            <w:tcW w:w="358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without Cause or (ii) by the Optionee for Good Reason, any then unvested portion of the</w:t>
            </w:r>
          </w:p>
        </w:tc>
      </w:tr>
      <w:tr>
        <w:trPr>
          <w:trHeight w:val="237"/>
        </w:trPr>
        <w:tc>
          <w:tcPr>
            <w:tcW w:w="35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 shall immediately become fully vested and exercisable.</w:t>
            </w:r>
          </w:p>
        </w:tc>
      </w:tr>
      <w:tr>
        <w:trPr>
          <w:trHeight w:val="216"/>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Vesting Commencement Date:</w:t>
            </w:r>
          </w:p>
        </w:tc>
        <w:tc>
          <w:tcPr>
            <w:tcW w:w="64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09"/>
        </w:trPr>
        <w:tc>
          <w:tcPr>
            <w:tcW w:w="35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Expiration Date:</w:t>
            </w:r>
          </w:p>
        </w:tc>
        <w:tc>
          <w:tcPr>
            <w:tcW w:w="64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020"/>
          </w:cols>
          <w:pgMar w:left="440" w:top="121" w:right="439" w:bottom="1440" w:gutter="0" w:footer="0" w:header="0"/>
        </w:sectPr>
      </w:pPr>
    </w:p>
    <w:bookmarkStart w:id="8" w:name="page9"/>
    <w:bookmarkEnd w:id="8"/>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signing below, the Optionee and the Company agree that the option to purchase Shares indicated above is governed by the terms of the Substitute Option Agreement, which is attached to and made a part of this Notice of Substitute Option Grant. </w:t>
      </w:r>
      <w:r>
        <w:rPr>
          <w:rFonts w:ascii="Arial" w:cs="Arial" w:eastAsia="Arial" w:hAnsi="Arial"/>
          <w:sz w:val="18"/>
          <w:szCs w:val="18"/>
          <w:b w:val="1"/>
          <w:bCs w:val="1"/>
          <w:color w:val="auto"/>
        </w:rPr>
        <w:t>The Substitute Option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includes important acknowledgments of the Optionee.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2794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LARIMAR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SUBSTITUTE OPTION AGREEMENT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On May 28, 2020, Lamar Therapeutics, Inc. (f/k/a Zafgen,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completed a business combination with Chondrial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Therapeutics, Inc. Immediately prior to the completion of that transaction, the Optionee held an outstanding option to purchase common units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Chondrial Therapeutics Holdings, LLC (the “</w:t>
      </w:r>
      <w:r>
        <w:rPr>
          <w:rFonts w:ascii="Arial" w:cs="Arial" w:eastAsia="Arial" w:hAnsi="Arial"/>
          <w:sz w:val="16"/>
          <w:szCs w:val="16"/>
          <w:b w:val="1"/>
          <w:bCs w:val="1"/>
          <w:i w:val="1"/>
          <w:iCs w:val="1"/>
          <w:color w:val="auto"/>
        </w:rPr>
        <w:t>Holdings Option</w:t>
      </w:r>
      <w:r>
        <w:rPr>
          <w:rFonts w:ascii="Arial" w:cs="Arial" w:eastAsia="Arial" w:hAnsi="Arial"/>
          <w:sz w:val="16"/>
          <w:szCs w:val="16"/>
          <w:color w:val="auto"/>
        </w:rPr>
        <w:t>”) granted under the Chondrial Therapeutics Holdings, LLC 2016 Equity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Holdings Plan</w:t>
      </w:r>
      <w:r>
        <w:rPr>
          <w:rFonts w:ascii="Arial" w:cs="Arial" w:eastAsia="Arial" w:hAnsi="Arial"/>
          <w:sz w:val="16"/>
          <w:szCs w:val="16"/>
          <w:color w:val="auto"/>
        </w:rPr>
        <w:t>”). Pursuant to the terms of the business combination and Section 10(b)(iii) of the Holdings Plan, this option to purchase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w:t>
      </w:r>
      <w:r>
        <w:rPr>
          <w:rFonts w:ascii="Arial" w:cs="Arial" w:eastAsia="Arial" w:hAnsi="Arial"/>
          <w:sz w:val="18"/>
          <w:szCs w:val="18"/>
          <w:b w:val="1"/>
          <w:bCs w:val="1"/>
          <w:i w:val="1"/>
          <w:iCs w:val="1"/>
          <w:color w:val="auto"/>
        </w:rPr>
        <w:t>Larimar Option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has been substituted for the Holdings Option. This Substitute Option Agreement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sets forth the terms and conditions of the Larimar Option. Capitalized terms not otherwise defined herein have the mentions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 in Section 18.</w:t>
      </w:r>
    </w:p>
    <w:p>
      <w:pPr>
        <w:spacing w:after="0" w:line="211"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The Agreement is entered into as of May 28, 2020 and shall be administered by the Board of Directors of the Company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the compensation committee thereof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as further described below in Section 8.</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u w:val="single" w:color="auto"/>
          <w:color w:val="auto"/>
        </w:rPr>
        <w:t>GRANT OF OPTION.</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On the terms and conditions set forth in the Notice of Substitute Option Grant and this Agreement, the Company hereby grants to the Optionee this Option to purchase at the Exercise Price the number of Shares set forth in the Notice of Substitute Option Grant. The Option is intended to be a Nonstatutory Option. The Exercise Price shall be payable in a form described in Section 4 below.</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u w:val="single" w:color="auto"/>
          <w:color w:val="auto"/>
        </w:rPr>
        <w:t>RIGHT TO EXERCISE.</w:t>
      </w:r>
    </w:p>
    <w:p>
      <w:pPr>
        <w:spacing w:after="0" w:line="121"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Option shall not be exercisable unless the Optionee has delivered an executed copy of this Agreement to the Company. The Option will become vested and exercisable in accordance with the Vesting Schedule set forth on the Notice of Substitute Option Grant. Subject to the conditions set forth in this Agreement, the vested portion of the Option may be exercised at any time prior to its expiration.</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u w:val="single" w:color="auto"/>
          <w:color w:val="auto"/>
        </w:rPr>
        <w:t>NO TRANSFER OR ASSIGNMENT OF OPTION.</w:t>
      </w:r>
    </w:p>
    <w:p>
      <w:pPr>
        <w:spacing w:after="0" w:line="121"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This Option is not transferable or assignable by the Optionee other than by will or by the laws of descent and distribution. Any other attempt to transfer the Option, whether voluntary or involuntary, by operation of law or otherwise, will be ineffective. During the Optionee’s lifetime, the Option is exercisable only by the Optionee. Subject to the foregoing, the terms and conditions of the Option will be binding upon the Optionee’s executors, administrators and heirs.</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u w:val="single" w:color="auto"/>
          <w:color w:val="auto"/>
        </w:rPr>
        <w:t>EXERCISE PROCEDURES.</w:t>
      </w:r>
    </w:p>
    <w:p>
      <w:pPr>
        <w:spacing w:after="0" w:line="117" w:lineRule="exact"/>
        <w:rPr>
          <w:sz w:val="20"/>
          <w:szCs w:val="20"/>
          <w:color w:val="auto"/>
        </w:rPr>
      </w:pPr>
    </w:p>
    <w:p>
      <w:pPr>
        <w:ind w:right="440" w:firstLine="987"/>
        <w:spacing w:after="0" w:line="347" w:lineRule="auto"/>
        <w:tabs>
          <w:tab w:leader="none" w:pos="1236"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Notice of Exercise</w:t>
      </w:r>
      <w:r>
        <w:rPr>
          <w:rFonts w:ascii="Arial" w:cs="Arial" w:eastAsia="Arial" w:hAnsi="Arial"/>
          <w:sz w:val="16"/>
          <w:szCs w:val="16"/>
          <w:color w:val="auto"/>
        </w:rPr>
        <w:t>. The Optionee may exercise this Option by giving written notice to the Company. The notice shall specify the</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to exercise this Option, the number of Shares for which it is being exercised and the form of payment. The Optionee shall</w:t>
      </w:r>
    </w:p>
    <w:p>
      <w:pPr>
        <w:sectPr>
          <w:pgSz w:w="11900" w:h="16838" w:orient="portrait"/>
          <w:cols w:equalWidth="0" w:num="1">
            <w:col w:w="10980"/>
          </w:cols>
          <w:pgMar w:left="440" w:top="270" w:right="479" w:bottom="1440" w:gutter="0" w:footer="0" w:header="0"/>
        </w:sectPr>
      </w:pPr>
    </w:p>
    <w:bookmarkStart w:id="10" w:name="page11"/>
    <w:bookmarkEnd w:id="1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deliver to the Company, at the time of giving the notice, payment in a form permissible under this Section 4 for the full amount of the Exercise Price. As set forth in Section 19 hereto, the written exercise notice must also be accompanied by any further documents or instruments necessary or desirable to carry out the purposes or intent of this Agreement.</w:t>
      </w:r>
    </w:p>
    <w:p>
      <w:pPr>
        <w:spacing w:after="0" w:line="72" w:lineRule="exact"/>
        <w:rPr>
          <w:sz w:val="20"/>
          <w:szCs w:val="20"/>
          <w:color w:val="auto"/>
        </w:rPr>
      </w:pPr>
    </w:p>
    <w:p>
      <w:pPr>
        <w:ind w:right="220" w:firstLine="987"/>
        <w:spacing w:after="0" w:line="282" w:lineRule="auto"/>
        <w:tabs>
          <w:tab w:leader="none" w:pos="124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Optionee shall pay to the Company the Exercise Price in cash or by such other means as the Administrator may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from time to time.</w:t>
      </w:r>
    </w:p>
    <w:p>
      <w:pPr>
        <w:spacing w:after="0" w:line="53" w:lineRule="exact"/>
        <w:rPr>
          <w:rFonts w:ascii="Arial" w:cs="Arial" w:eastAsia="Arial" w:hAnsi="Arial"/>
          <w:sz w:val="18"/>
          <w:szCs w:val="18"/>
          <w:color w:val="auto"/>
        </w:rPr>
      </w:pPr>
    </w:p>
    <w:p>
      <w:pPr>
        <w:ind w:right="440" w:firstLine="987"/>
        <w:spacing w:after="0" w:line="282"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No Rights as Stockholder until Exercise</w:t>
      </w:r>
      <w:r>
        <w:rPr>
          <w:rFonts w:ascii="Arial" w:cs="Arial" w:eastAsia="Arial" w:hAnsi="Arial"/>
          <w:sz w:val="18"/>
          <w:szCs w:val="18"/>
          <w:color w:val="auto"/>
        </w:rPr>
        <w:t>. This Agreement does not confer upon the Optionee any of the rights or privileges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in the Company unless and until the Optionee exercises the Option and is issued Shares hereunder.</w:t>
      </w:r>
    </w:p>
    <w:p>
      <w:pPr>
        <w:spacing w:after="0" w:line="53" w:lineRule="exact"/>
        <w:rPr>
          <w:rFonts w:ascii="Arial" w:cs="Arial" w:eastAsia="Arial" w:hAnsi="Arial"/>
          <w:sz w:val="18"/>
          <w:szCs w:val="18"/>
          <w:color w:val="auto"/>
        </w:rPr>
      </w:pPr>
    </w:p>
    <w:p>
      <w:pPr>
        <w:ind w:right="180" w:firstLine="987"/>
        <w:spacing w:after="0" w:line="261" w:lineRule="auto"/>
        <w:tabs>
          <w:tab w:leader="none" w:pos="124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Any exercise of this Option will be conditioned on the Optionee making arrangements satisfactory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to satisfy any federal, state, local or foreign withholding tax obligations. Unless otherwise determined by the Administrator, the withholding obligation may be satisfied, in whole or in part, by the withholding of Shares otherwise issuable hereunder with an aggregate Fair Market Value equal to such withholding obligation (or the applicable portion thereof).</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u w:val="single" w:color="auto"/>
          <w:color w:val="auto"/>
        </w:rPr>
        <w:t>TERM AND EXPIRATION.</w:t>
      </w:r>
    </w:p>
    <w:p>
      <w:pPr>
        <w:spacing w:after="0" w:line="117" w:lineRule="exact"/>
        <w:rPr>
          <w:sz w:val="20"/>
          <w:szCs w:val="20"/>
          <w:color w:val="auto"/>
        </w:rPr>
      </w:pPr>
    </w:p>
    <w:p>
      <w:pPr>
        <w:ind w:firstLine="987"/>
        <w:spacing w:after="0" w:line="282"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Basic Term</w:t>
      </w:r>
      <w:r>
        <w:rPr>
          <w:rFonts w:ascii="Arial" w:cs="Arial" w:eastAsia="Arial" w:hAnsi="Arial"/>
          <w:sz w:val="18"/>
          <w:szCs w:val="18"/>
          <w:color w:val="auto"/>
        </w:rPr>
        <w:t>. This Option shall in all events expire on the Expiration Date set forth in the Notice of Substitute Option Grant, which date</w:t>
      </w:r>
      <w:r>
        <w:rPr>
          <w:rFonts w:ascii="Arial" w:cs="Arial" w:eastAsia="Arial" w:hAnsi="Arial"/>
          <w:sz w:val="18"/>
          <w:szCs w:val="18"/>
          <w:b w:val="1"/>
          <w:bCs w:val="1"/>
          <w:color w:val="auto"/>
        </w:rPr>
        <w:t xml:space="preserve"> </w:t>
      </w:r>
      <w:r>
        <w:rPr>
          <w:rFonts w:ascii="Arial" w:cs="Arial" w:eastAsia="Arial" w:hAnsi="Arial"/>
          <w:sz w:val="18"/>
          <w:szCs w:val="18"/>
          <w:color w:val="auto"/>
        </w:rPr>
        <w:t>is no later than ten (10) years after the original date of grant of the Holdings Option.</w:t>
      </w:r>
    </w:p>
    <w:p>
      <w:pPr>
        <w:spacing w:after="0" w:line="53" w:lineRule="exact"/>
        <w:rPr>
          <w:rFonts w:ascii="Arial" w:cs="Arial" w:eastAsia="Arial" w:hAnsi="Arial"/>
          <w:sz w:val="18"/>
          <w:szCs w:val="18"/>
          <w:color w:val="auto"/>
        </w:rPr>
      </w:pPr>
    </w:p>
    <w:p>
      <w:pPr>
        <w:jc w:val="both"/>
        <w:ind w:right="340" w:firstLine="987"/>
        <w:spacing w:after="0" w:line="266"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Upon a termination of Service, the unvested portion of the Option shall immediately be forfeited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vested but unexercised portion of the Option (including any portion of the Option that became vested in connection with the termination of Service) shall expire in accordance with this Section 5(b).</w:t>
      </w:r>
    </w:p>
    <w:p>
      <w:pPr>
        <w:spacing w:after="0" w:line="67" w:lineRule="exact"/>
        <w:rPr>
          <w:rFonts w:ascii="Arial" w:cs="Arial" w:eastAsia="Arial" w:hAnsi="Arial"/>
          <w:sz w:val="18"/>
          <w:szCs w:val="18"/>
          <w:color w:val="auto"/>
        </w:rPr>
      </w:pPr>
    </w:p>
    <w:p>
      <w:pPr>
        <w:ind w:right="400" w:firstLine="1979"/>
        <w:spacing w:after="0" w:line="282" w:lineRule="auto"/>
        <w:tabs>
          <w:tab w:leader="none" w:pos="2237"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Cause. </w:t>
      </w:r>
      <w:r>
        <w:rPr>
          <w:rFonts w:ascii="Arial" w:cs="Arial" w:eastAsia="Arial" w:hAnsi="Arial"/>
          <w:sz w:val="18"/>
          <w:szCs w:val="18"/>
          <w:color w:val="auto"/>
        </w:rPr>
        <w:t>If an Optionee’s Service is terminated by the Company for Cause, the vested portion of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and immediately be forfeited by the Optionee on the date of termination.</w:t>
      </w:r>
    </w:p>
    <w:p>
      <w:pPr>
        <w:spacing w:after="0" w:line="53" w:lineRule="exact"/>
        <w:rPr>
          <w:rFonts w:ascii="Arial" w:cs="Arial" w:eastAsia="Arial" w:hAnsi="Arial"/>
          <w:sz w:val="18"/>
          <w:szCs w:val="18"/>
          <w:color w:val="auto"/>
        </w:rPr>
      </w:pPr>
    </w:p>
    <w:p>
      <w:pPr>
        <w:jc w:val="both"/>
        <w:ind w:right="40" w:firstLine="1979"/>
        <w:spacing w:after="0" w:line="261" w:lineRule="auto"/>
        <w:tabs>
          <w:tab w:leader="none" w:pos="2237"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Due to Death. </w:t>
      </w:r>
      <w:r>
        <w:rPr>
          <w:rFonts w:ascii="Arial" w:cs="Arial" w:eastAsia="Arial" w:hAnsi="Arial"/>
          <w:sz w:val="18"/>
          <w:szCs w:val="18"/>
          <w:color w:val="auto"/>
        </w:rPr>
        <w:t>If an Optionee’s Service is terminated due to the Optionee’s death, the Option may be exercised,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vested prior to the Optionee’s death, by the executor or administrator of the Optionee’s estate or by any person who has acquired the Option by beneficiary designation, bequest or inheritance, prior to the earlier of: (i) the Expiration Date or (ii) the twelve (12) month anniversary of the Optionee’s death.</w:t>
      </w:r>
    </w:p>
    <w:p>
      <w:pPr>
        <w:spacing w:after="0" w:line="71" w:lineRule="exact"/>
        <w:rPr>
          <w:rFonts w:ascii="Arial" w:cs="Arial" w:eastAsia="Arial" w:hAnsi="Arial"/>
          <w:sz w:val="18"/>
          <w:szCs w:val="18"/>
          <w:color w:val="auto"/>
        </w:rPr>
      </w:pPr>
    </w:p>
    <w:p>
      <w:pPr>
        <w:jc w:val="both"/>
        <w:ind w:right="140" w:firstLine="1979"/>
        <w:spacing w:after="0" w:line="289" w:lineRule="auto"/>
        <w:tabs>
          <w:tab w:leader="none" w:pos="2237"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For Any Other Reason. </w:t>
      </w:r>
      <w:r>
        <w:rPr>
          <w:rFonts w:ascii="Arial" w:cs="Arial" w:eastAsia="Arial" w:hAnsi="Arial"/>
          <w:sz w:val="17"/>
          <w:szCs w:val="17"/>
          <w:color w:val="auto"/>
        </w:rPr>
        <w:t>If the Optionee’s Service is terminated for any reason other than for Cause or due to the death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Optionee, the Option may be exercised, to the extent vested prior to and/or in connection with the Optionee’s termination of Service, prior to the earlier of: (i) the Expiration Date or (ii) the date three (3) months after the Optionee’s termination of Service.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w:t>
      </w:r>
      <w:r>
        <w:rPr>
          <w:sz w:val="20"/>
          <w:szCs w:val="20"/>
          <w:color w:val="auto"/>
        </w:rPr>
        <w:tab/>
      </w:r>
      <w:r>
        <w:rPr>
          <w:rFonts w:ascii="Arial" w:cs="Arial" w:eastAsia="Arial" w:hAnsi="Arial"/>
          <w:sz w:val="18"/>
          <w:szCs w:val="18"/>
          <w:b w:val="1"/>
          <w:bCs w:val="1"/>
          <w:u w:val="single" w:color="auto"/>
          <w:color w:val="auto"/>
        </w:rPr>
        <w:t>LEGALITY OF ISSUANCE.</w:t>
      </w:r>
    </w:p>
    <w:p>
      <w:pPr>
        <w:spacing w:after="0" w:line="121" w:lineRule="exact"/>
        <w:rPr>
          <w:sz w:val="20"/>
          <w:szCs w:val="20"/>
          <w:color w:val="auto"/>
        </w:rPr>
      </w:pPr>
    </w:p>
    <w:p>
      <w:pPr>
        <w:ind w:left="1240" w:hanging="25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rFonts w:ascii="Arial" w:cs="Arial" w:eastAsia="Arial" w:hAnsi="Arial"/>
          <w:sz w:val="18"/>
          <w:szCs w:val="18"/>
          <w:color w:val="auto"/>
        </w:rPr>
      </w:pPr>
    </w:p>
    <w:p>
      <w:pPr>
        <w:ind w:right="420" w:firstLine="1979"/>
        <w:spacing w:after="0" w:line="277" w:lineRule="auto"/>
        <w:tabs>
          <w:tab w:leader="none" w:pos="223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it and the Optionee have taken any actions required to register such Shares under the Securities Act or to perfect an exemption from the registration requirements thereof;</w:t>
      </w:r>
    </w:p>
    <w:p>
      <w:pPr>
        <w:spacing w:after="0" w:line="62" w:lineRule="exact"/>
        <w:rPr>
          <w:rFonts w:ascii="Arial" w:cs="Arial" w:eastAsia="Arial" w:hAnsi="Arial"/>
          <w:sz w:val="18"/>
          <w:szCs w:val="18"/>
          <w:color w:val="auto"/>
        </w:rPr>
      </w:pPr>
    </w:p>
    <w:p>
      <w:pPr>
        <w:ind w:right="660" w:firstLine="1979"/>
        <w:spacing w:after="0" w:line="277" w:lineRule="auto"/>
        <w:tabs>
          <w:tab w:leader="none" w:pos="223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Optionee has made such representations and warranties to the Company in connection with the issuance and acquisition of Shares as the Company deems satisfactory;</w:t>
      </w:r>
    </w:p>
    <w:p>
      <w:pPr>
        <w:spacing w:after="0" w:line="62" w:lineRule="exact"/>
        <w:rPr>
          <w:rFonts w:ascii="Arial" w:cs="Arial" w:eastAsia="Arial" w:hAnsi="Arial"/>
          <w:sz w:val="18"/>
          <w:szCs w:val="18"/>
          <w:color w:val="auto"/>
        </w:rPr>
      </w:pPr>
    </w:p>
    <w:p>
      <w:pPr>
        <w:ind w:left="2240" w:hanging="261"/>
        <w:spacing w:after="0"/>
        <w:tabs>
          <w:tab w:leader="none" w:pos="22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applicable listing requirement of any stock exchange or other securities market on which the Company’s equity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listed has been satisfied; and</w:t>
      </w:r>
    </w:p>
    <w:p>
      <w:pPr>
        <w:spacing w:after="0" w:line="102" w:lineRule="exact"/>
        <w:rPr>
          <w:rFonts w:ascii="Arial" w:cs="Arial" w:eastAsia="Arial" w:hAnsi="Arial"/>
          <w:sz w:val="16"/>
          <w:szCs w:val="16"/>
          <w:color w:val="auto"/>
        </w:rPr>
      </w:pPr>
    </w:p>
    <w:p>
      <w:pPr>
        <w:ind w:left="2240" w:hanging="261"/>
        <w:spacing w:after="0"/>
        <w:tabs>
          <w:tab w:leader="none" w:pos="22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applicable provision of federal, State or foreign law has been satisfied.</w:t>
      </w:r>
    </w:p>
    <w:p>
      <w:pPr>
        <w:spacing w:after="0" w:line="117"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Shares issued upon exercise of this Option shall be subject to such transfer restrictions as are required or deemed advisable under the provisions of any applicable law.</w:t>
      </w:r>
    </w:p>
    <w:p>
      <w:pPr>
        <w:spacing w:after="0" w:line="62" w:lineRule="exact"/>
        <w:rPr>
          <w:rFonts w:ascii="Arial" w:cs="Arial" w:eastAsia="Arial" w:hAnsi="Arial"/>
          <w:sz w:val="18"/>
          <w:szCs w:val="18"/>
          <w:color w:val="auto"/>
        </w:rPr>
      </w:pPr>
    </w:p>
    <w:p>
      <w:pPr>
        <w:ind w:right="180" w:firstLine="987"/>
        <w:spacing w:after="0" w:line="277" w:lineRule="auto"/>
        <w:tabs>
          <w:tab w:leader="none" w:pos="1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determination by the Company and its counsel in connection with any of the matters set forth in this section shall be conclusive and binding on the Optionee and all other Persons.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8"/>
          <w:szCs w:val="18"/>
          <w:b w:val="1"/>
          <w:bCs w:val="1"/>
          <w:u w:val="single" w:color="auto"/>
          <w:color w:val="auto"/>
        </w:rPr>
        <w:t>OBLIGATIONS OF OPTIONEE.</w:t>
      </w:r>
    </w:p>
    <w:p>
      <w:pPr>
        <w:spacing w:after="0" w:line="121" w:lineRule="exact"/>
        <w:rPr>
          <w:sz w:val="20"/>
          <w:szCs w:val="20"/>
          <w:color w:val="auto"/>
        </w:rPr>
      </w:pPr>
    </w:p>
    <w:p>
      <w:pPr>
        <w:jc w:val="both"/>
        <w:ind w:right="240" w:firstLine="991"/>
        <w:spacing w:after="0" w:line="286" w:lineRule="auto"/>
        <w:rPr>
          <w:sz w:val="20"/>
          <w:szCs w:val="20"/>
          <w:color w:val="auto"/>
        </w:rPr>
      </w:pPr>
      <w:r>
        <w:rPr>
          <w:rFonts w:ascii="Arial" w:cs="Arial" w:eastAsia="Arial" w:hAnsi="Arial"/>
          <w:sz w:val="17"/>
          <w:szCs w:val="17"/>
          <w:color w:val="auto"/>
        </w:rPr>
        <w:t>If the Participant violates or contests any non-competition, non-solicitation, confidentiality or other restrictive covenant in favor of the Company or any of its Affiliates and such violation, if curable, is not cured within five days after written notice thereof, then in addition to any other remedies available to the Company or its Affiliates, the Option (including all vested and unvested portions thereof) shall be forfeited.</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8"/>
          <w:szCs w:val="18"/>
          <w:b w:val="1"/>
          <w:bCs w:val="1"/>
          <w:u w:val="single" w:color="auto"/>
          <w:color w:val="auto"/>
        </w:rPr>
        <w:t>ADMINISTRATION.</w:t>
      </w:r>
    </w:p>
    <w:p>
      <w:pPr>
        <w:spacing w:after="0" w:line="12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 Administrator shall have full authority and discretion to take any actions it deems necessary or advisable for the administration of this Option, including by deciding or resolving any and all questions, including interpretations of this Agreement, as may arise in connection with the Option. The decision or action of the Administrator with respect to any questions arising out of, or in connection with, the administration, interpretation and application of this Agreement shall be final and conclusive and binding upon all Persons having any interest in this Option.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12" w:name="page13"/>
    <w:bookmarkEnd w:id="12"/>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9.</w:t>
      </w:r>
      <w:r>
        <w:rPr>
          <w:sz w:val="20"/>
          <w:szCs w:val="20"/>
          <w:color w:val="auto"/>
        </w:rPr>
        <w:tab/>
      </w:r>
      <w:r>
        <w:rPr>
          <w:rFonts w:ascii="Arial" w:cs="Arial" w:eastAsia="Arial" w:hAnsi="Arial"/>
          <w:sz w:val="17"/>
          <w:szCs w:val="17"/>
          <w:b w:val="1"/>
          <w:bCs w:val="1"/>
          <w:u w:val="single" w:color="auto"/>
          <w:color w:val="auto"/>
        </w:rPr>
        <w:t>ADJUSTMENT OF SHARES.</w:t>
      </w:r>
    </w:p>
    <w:p>
      <w:pPr>
        <w:spacing w:after="0" w:line="121"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In the event that the number of outstanding Shares is changed by a stock dividend, recapitalization, stock split, spin-off, reverse stock split, subdivision, combination, reclassification or other change in the capital structure of the Company affecting the Shares without consideration, then in order to prevent diminution or enlargement of the benefits or potential benefits intended to be made available under this Option, the number of Shares then subject hereto and the Exercise Price will be equitably adjusted by the Administrator, subject to compliance with applicable laws; provided, however, that fractions of Shares will not be issuable hereunder but will be rounded down to the nearest whole Share.</w:t>
      </w:r>
    </w:p>
    <w:p>
      <w:pPr>
        <w:spacing w:after="0" w:line="306"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8"/>
          <w:szCs w:val="18"/>
          <w:b w:val="1"/>
          <w:bCs w:val="1"/>
          <w:u w:val="single" w:color="auto"/>
          <w:color w:val="auto"/>
        </w:rPr>
        <w:t>LIQUIDATION EVENT</w:t>
      </w:r>
    </w:p>
    <w:p>
      <w:pPr>
        <w:spacing w:after="0" w:line="121"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If a Liquidation Event occurs, the Option shall be subject to the definitive agreement governing such Liquidation Event. Such governing agreement, without requiring consent of the Optionee, shall provide for one or more of the following:</w:t>
      </w:r>
    </w:p>
    <w:p>
      <w:pPr>
        <w:spacing w:after="0" w:line="62" w:lineRule="exact"/>
        <w:rPr>
          <w:sz w:val="20"/>
          <w:szCs w:val="20"/>
          <w:color w:val="auto"/>
        </w:rPr>
      </w:pPr>
    </w:p>
    <w:p>
      <w:pPr>
        <w:ind w:left="1244" w:hanging="253"/>
        <w:spacing w:after="0"/>
        <w:tabs>
          <w:tab w:leader="none" w:pos="12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continuation of the Option by the Company (if the Company is the surviving entity).</w:t>
      </w:r>
    </w:p>
    <w:p>
      <w:pPr>
        <w:spacing w:after="0" w:line="117" w:lineRule="exact"/>
        <w:rPr>
          <w:rFonts w:ascii="Arial" w:cs="Arial" w:eastAsia="Arial" w:hAnsi="Arial"/>
          <w:sz w:val="18"/>
          <w:szCs w:val="18"/>
          <w:color w:val="auto"/>
        </w:rPr>
      </w:pPr>
    </w:p>
    <w:p>
      <w:pPr>
        <w:ind w:left="4" w:right="200" w:firstLine="987"/>
        <w:spacing w:after="0" w:line="277" w:lineRule="auto"/>
        <w:tabs>
          <w:tab w:leader="none" w:pos="12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assumption of the Option by the surviving entity or its parent in a manner that would comply with Section 424(a) of the Code, if such section were applicable.</w:t>
      </w:r>
    </w:p>
    <w:p>
      <w:pPr>
        <w:spacing w:after="0" w:line="62" w:lineRule="exact"/>
        <w:rPr>
          <w:rFonts w:ascii="Arial" w:cs="Arial" w:eastAsia="Arial" w:hAnsi="Arial"/>
          <w:sz w:val="18"/>
          <w:szCs w:val="18"/>
          <w:color w:val="auto"/>
        </w:rPr>
      </w:pPr>
    </w:p>
    <w:p>
      <w:pPr>
        <w:ind w:left="4" w:right="40" w:firstLine="987"/>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substitution by the surviving entity or its parent of a new option for the Option in a manner that would comply with Section 424(a) of the Code, if such section were applicable.</w:t>
      </w:r>
    </w:p>
    <w:p>
      <w:pPr>
        <w:spacing w:after="0" w:line="62" w:lineRule="exact"/>
        <w:rPr>
          <w:rFonts w:ascii="Arial" w:cs="Arial" w:eastAsia="Arial" w:hAnsi="Arial"/>
          <w:sz w:val="18"/>
          <w:szCs w:val="18"/>
          <w:color w:val="auto"/>
        </w:rPr>
      </w:pPr>
    </w:p>
    <w:p>
      <w:pPr>
        <w:jc w:val="both"/>
        <w:ind w:left="4" w:right="480" w:firstLine="987"/>
        <w:spacing w:after="0" w:line="291" w:lineRule="auto"/>
        <w:tabs>
          <w:tab w:leader="none" w:pos="125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Optionee shall be able to exercise the Option, to the extent vested, during a period of not less than five (5) full business days preceding the closing date of the Liquidation Event, unless (1) a shorter period is required to permit a timely closing of the Liquidation Event and</w:t>
      </w:r>
    </w:p>
    <w:p>
      <w:pPr>
        <w:ind w:left="4" w:right="160" w:hanging="4"/>
        <w:spacing w:after="0" w:line="260"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shorter period still offers the Optionee a reasonable opportunity to exercise the Option. Any exercise of the Option during such period may be contingent on the closing of the Liquidation Event.</w:t>
      </w:r>
    </w:p>
    <w:p>
      <w:pPr>
        <w:spacing w:after="0" w:line="77" w:lineRule="exact"/>
        <w:rPr>
          <w:rFonts w:ascii="Arial" w:cs="Arial" w:eastAsia="Arial" w:hAnsi="Arial"/>
          <w:sz w:val="18"/>
          <w:szCs w:val="18"/>
          <w:color w:val="auto"/>
        </w:rPr>
      </w:pPr>
    </w:p>
    <w:p>
      <w:pPr>
        <w:ind w:left="4" w:firstLine="987"/>
        <w:spacing w:after="0" w:line="271" w:lineRule="auto"/>
        <w:tabs>
          <w:tab w:leader="none" w:pos="12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cancellation of the Option and a payment to the Optionee equal to the excess of (A) the Fair Market Value as of the closing date of the Liquidation Event over (B) the Exercise Price, multiplied by either (i) the total number of outstanding Shares subject to the Option or (ii) the number of outstanding vested Shares subject to the Option, at the discretion of the Administrator. Such payment shall be made in the form of cash, cash equivalents, or securities of the surviving entity or its parent with a Fair Market Value equal to the required amount. Such payment may be made in installments and may be deferred until the date or dates when the Option would have become exercisable. Such payment may be subject to vesting based on the Optionee’s continuing Service, provided that the vesting schedule shall not be less favorable to the Optionee than the schedule under which such Option would have become exercisable. If the Exercise Price exceeds the Fair Market Value as of the closing date of the Liquidation Event, then the Option may be cancelled without payment to the Optionee.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13" w:name="page14"/>
    <w:bookmarkEnd w:id="13"/>
    <w:p>
      <w:pPr>
        <w:ind w:left="1224" w:hanging="233"/>
        <w:spacing w:after="0"/>
        <w:tabs>
          <w:tab w:leader="none" w:pos="1224"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full or partial vesting of any otherwise unvested portion of the Option upon the closing of the Liquidation Event.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cancellation of the Option (whether vested or unvested) for no payment of consideration.</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u w:val="single" w:color="auto"/>
          <w:color w:val="auto"/>
        </w:rPr>
        <w:t>SUCCESSORS AND ASSIGNS.</w:t>
      </w:r>
    </w:p>
    <w:p>
      <w:pPr>
        <w:spacing w:after="0" w:line="121"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Except as otherwise expressly provided to the contrary in Section 3 hereof, the provisions of this Agreement shall inure to the benefit of, and be binding upon, the Company and its successors and assigns and be binding upon the Optionee and the Optionee’s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3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8"/>
          <w:szCs w:val="18"/>
          <w:b w:val="1"/>
          <w:bCs w:val="1"/>
          <w:u w:val="single" w:color="auto"/>
          <w:color w:val="auto"/>
        </w:rPr>
        <w:t>NO RETENTION RIGHTS.</w:t>
      </w:r>
    </w:p>
    <w:p>
      <w:pPr>
        <w:spacing w:after="0" w:line="121" w:lineRule="exact"/>
        <w:rPr>
          <w:sz w:val="20"/>
          <w:szCs w:val="20"/>
          <w:color w:val="auto"/>
        </w:rPr>
      </w:pPr>
    </w:p>
    <w:p>
      <w:pPr>
        <w:jc w:val="both"/>
        <w:ind w:left="4" w:right="80" w:firstLine="991"/>
        <w:spacing w:after="0" w:line="263" w:lineRule="auto"/>
        <w:rPr>
          <w:sz w:val="20"/>
          <w:szCs w:val="20"/>
          <w:color w:val="auto"/>
        </w:rPr>
      </w:pPr>
      <w:r>
        <w:rPr>
          <w:rFonts w:ascii="Arial" w:cs="Arial" w:eastAsia="Arial" w:hAnsi="Arial"/>
          <w:sz w:val="18"/>
          <w:szCs w:val="18"/>
          <w:color w:val="auto"/>
        </w:rPr>
        <w:t>Nothing in this Agreement shall confer upon the Optionee any right to continue in Service for any period of specific duration or interfere with or otherwise restrict in any way the rights of the Company (or any Affiliate of the Company) or of the Optionee, which rights are hereby expressly reserved by each, to terminate the Optionee’s Service at any time and for any reason, with or without Cause.</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8"/>
          <w:szCs w:val="18"/>
          <w:b w:val="1"/>
          <w:bCs w:val="1"/>
          <w:u w:val="single" w:color="auto"/>
          <w:color w:val="auto"/>
        </w:rPr>
        <w:t>APPLICABLE POLICIES.</w:t>
      </w:r>
    </w:p>
    <w:p>
      <w:pPr>
        <w:spacing w:after="0" w:line="121"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The Optionee hereby agrees that he or she will be subject to all policies of the Company and its Affiliates regarding clawbacks, securities trading, hedging or pledging of securities and all similar matters that may be in effect from time to time.</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8"/>
          <w:szCs w:val="18"/>
          <w:b w:val="1"/>
          <w:bCs w:val="1"/>
          <w:u w:val="single" w:color="auto"/>
          <w:color w:val="auto"/>
        </w:rPr>
        <w:t>NOTICE.</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Any notice required by the terms of this Agreement shall be given in writing. It shall be deemed effective upon (i) personal delivery,</w:t>
      </w:r>
    </w:p>
    <w:p>
      <w:pPr>
        <w:spacing w:after="0" w:line="35" w:lineRule="exact"/>
        <w:rPr>
          <w:sz w:val="20"/>
          <w:szCs w:val="20"/>
          <w:color w:val="auto"/>
        </w:rPr>
      </w:pPr>
    </w:p>
    <w:p>
      <w:pPr>
        <w:jc w:val="both"/>
        <w:ind w:left="4" w:hanging="4"/>
        <w:spacing w:after="0" w:line="273" w:lineRule="auto"/>
        <w:tabs>
          <w:tab w:leader="none" w:pos="2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deposit with the United States Postal Service, by registered or certified mail, with postage and fees prepaid, (iii) deposit with a recognized over-night carrier, with shipping charges prepaid, or (iv) electronic delivery in a manner specified by the Company. Notice shall be addressed to the Company at its principal executive office and to the Optionee at the most recent address contained in the personnel records of the Company (or such other address that he or she most recently provided to the Company in accordance with this Section 14).</w:t>
      </w:r>
    </w:p>
    <w:p>
      <w:pPr>
        <w:spacing w:after="0" w:line="3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The Notice of Substitute Option Grant and this Agreement constitute the entire contract between the parties hereto with regard to the subject matter hereof. They supersede any other agreements, representations or understandings (whether oral or written and whether express or implied) that relate to the subject matter hereof, including but not limited to that certain Notice of Option Grant and Option Agreement evidencing the Holdings Option.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16.</w:t>
      </w:r>
      <w:r>
        <w:rPr>
          <w:sz w:val="20"/>
          <w:szCs w:val="20"/>
          <w:color w:val="auto"/>
        </w:rPr>
        <w:tab/>
      </w:r>
      <w:r>
        <w:rPr>
          <w:rFonts w:ascii="Arial" w:cs="Arial" w:eastAsia="Arial" w:hAnsi="Arial"/>
          <w:sz w:val="17"/>
          <w:szCs w:val="17"/>
          <w:b w:val="1"/>
          <w:bCs w:val="1"/>
          <w:u w:val="single" w:color="auto"/>
          <w:color w:val="auto"/>
        </w:rPr>
        <w:t>CHOICE OF LAW.</w:t>
      </w:r>
    </w:p>
    <w:p>
      <w:pPr>
        <w:spacing w:after="0" w:line="121"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as such laws are applied to contracts entered into and performed in such State.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8"/>
          <w:szCs w:val="18"/>
          <w:b w:val="1"/>
          <w:bCs w:val="1"/>
          <w:u w:val="single" w:color="auto"/>
          <w:color w:val="auto"/>
        </w:rPr>
        <w:t>ACKNOWLEDGEMENTS AND AGREEMENTS OF THE OPTIONEE.</w:t>
      </w:r>
    </w:p>
    <w:p>
      <w:pPr>
        <w:spacing w:after="0" w:line="117" w:lineRule="exact"/>
        <w:rPr>
          <w:sz w:val="20"/>
          <w:szCs w:val="20"/>
          <w:color w:val="auto"/>
        </w:rPr>
      </w:pPr>
    </w:p>
    <w:p>
      <w:pPr>
        <w:ind w:right="20" w:firstLine="987"/>
        <w:spacing w:after="0" w:line="258" w:lineRule="auto"/>
        <w:tabs>
          <w:tab w:leader="none" w:pos="123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Optionee agrees that the Company does not have a duty to design or administer its compensation programs in</w:t>
      </w:r>
      <w:r>
        <w:rPr>
          <w:rFonts w:ascii="Arial" w:cs="Arial" w:eastAsia="Arial" w:hAnsi="Arial"/>
          <w:sz w:val="18"/>
          <w:szCs w:val="18"/>
          <w:b w:val="1"/>
          <w:bCs w:val="1"/>
          <w:color w:val="auto"/>
        </w:rPr>
        <w:t xml:space="preserve"> </w:t>
      </w:r>
      <w:r>
        <w:rPr>
          <w:rFonts w:ascii="Arial" w:cs="Arial" w:eastAsia="Arial" w:hAnsi="Arial"/>
          <w:sz w:val="18"/>
          <w:szCs w:val="18"/>
          <w:color w:val="auto"/>
        </w:rPr>
        <w:t>a manner that minimizes the Optionee’s tax liabilities. The Optionee shall not make any claim against the Company, or any of its officers, directors, or employees related to tax liabilities arising from the grant to the Optionee of this Option, or the Optionee’s exercise or ownership of Shares, or the Optionee’s other compensation. The Optionee acknowledges that the Company has encouraged the Optionee to consult his or her own adviser to determine the tax consequences of acquiring the Shares.</w:t>
      </w:r>
    </w:p>
    <w:p>
      <w:pPr>
        <w:spacing w:after="0" w:line="75" w:lineRule="exact"/>
        <w:rPr>
          <w:rFonts w:ascii="Arial" w:cs="Arial" w:eastAsia="Arial" w:hAnsi="Arial"/>
          <w:sz w:val="18"/>
          <w:szCs w:val="18"/>
          <w:color w:val="auto"/>
        </w:rPr>
      </w:pPr>
    </w:p>
    <w:p>
      <w:pPr>
        <w:ind w:firstLine="987"/>
        <w:spacing w:after="0" w:line="254"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of Documents. </w:t>
      </w:r>
      <w:r>
        <w:rPr>
          <w:rFonts w:ascii="Arial" w:cs="Arial" w:eastAsia="Arial" w:hAnsi="Arial"/>
          <w:sz w:val="18"/>
          <w:szCs w:val="18"/>
          <w:color w:val="auto"/>
        </w:rPr>
        <w:t>The Optionee agrees that the Company may deliver by email all documents relating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the Shares (including, without limitation, a prospectus) and all other documents that the Company is required to deliver to its security holders (including, without limitation, reports, proxy statements or other documents that are required to be delivered to participants in such arrangements pursuant to federal or state laws, rules or regulations).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Upon written request, the Company will provide to the Optionee a paper copy of any document also delivered to the Optionee electronically. The authorization described in this paragraph may be revoked by the Optionee any time by written notice to the Company.</w:t>
      </w:r>
    </w:p>
    <w:p>
      <w:pPr>
        <w:spacing w:after="0" w:line="83" w:lineRule="exact"/>
        <w:rPr>
          <w:rFonts w:ascii="Arial" w:cs="Arial" w:eastAsia="Arial" w:hAnsi="Arial"/>
          <w:sz w:val="18"/>
          <w:szCs w:val="18"/>
          <w:color w:val="auto"/>
        </w:rPr>
      </w:pPr>
    </w:p>
    <w:p>
      <w:pPr>
        <w:ind w:right="140" w:firstLine="987"/>
        <w:spacing w:after="0" w:line="298" w:lineRule="auto"/>
        <w:tabs>
          <w:tab w:leader="none" w:pos="1236"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No Notice of Expiration Date</w:t>
      </w:r>
      <w:r>
        <w:rPr>
          <w:rFonts w:ascii="Arial" w:cs="Arial" w:eastAsia="Arial" w:hAnsi="Arial"/>
          <w:sz w:val="16"/>
          <w:szCs w:val="16"/>
          <w:color w:val="auto"/>
        </w:rPr>
        <w:t>. The Optionee agrees that the Company and its officers, employees, attorneys and agents do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any obligation to notify Optionee prior to the expiration of this Option, regardless of whether this Option will expire at the end of its full term or on an earlier date related to the termination of the Optionee’s Service or otherwise. The Optionee further agrees that he or she has the sole responsibility for monitoring the expiration of this Option and for exercising this Option, if at all, before it expires. This Section 17(c) shall supersede any contrary representation that may have been made, orally or in writing, by the Company or by an officer, employee, attorney or agent of the Company.</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right="400" w:firstLine="987"/>
        <w:spacing w:after="0" w:line="282" w:lineRule="auto"/>
        <w:tabs>
          <w:tab w:leader="none" w:pos="1236"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shall mean, with respect to a Person, a Person that directly or indirectly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Person.</w:t>
      </w:r>
    </w:p>
    <w:p>
      <w:pPr>
        <w:spacing w:after="0" w:line="53" w:lineRule="exact"/>
        <w:rPr>
          <w:rFonts w:ascii="Arial" w:cs="Arial" w:eastAsia="Arial" w:hAnsi="Arial"/>
          <w:sz w:val="18"/>
          <w:szCs w:val="18"/>
          <w:color w:val="auto"/>
        </w:rPr>
      </w:pPr>
    </w:p>
    <w:p>
      <w:pPr>
        <w:ind w:right="40" w:firstLine="987"/>
        <w:spacing w:after="0" w:line="261" w:lineRule="auto"/>
        <w:tabs>
          <w:tab w:leader="none" w:pos="12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shall mean: (x) a good faith finding by the Company’s or its successor’s Board (i) of a willful failure of the Optionee to perform his or her reasonably assigned duties for the Company under any provision of any employment, consulting, advisory, nondisclosure, non-competition or other similar agreement between the Optionee and the Company, where such duties are commensurate with the Optionee’s position, which failure is not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15" w:name="page16"/>
    <w:bookmarkEnd w:id="1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cured within ten (10) days after written notice thereof, unless the Board determines in good faith such failure is not curable, or (ii) that the Optionee has engaged in a material act of dishonesty, gross negligence or material misconduct; (y) the conviction of the Optionee of, or the entry of a pleading of guilty by the Optionee to, a felony; or (z) a breach by the Optionee of any material provision of any employment, consulting, advisory, nondisclosure, non-competition or other similar agreement between the Optionee and the Company, which breach is not cured within ten (10) days after written notice thereof unless the Board determines in good faith such breach is not curable.</w:t>
      </w:r>
    </w:p>
    <w:p>
      <w:pPr>
        <w:spacing w:after="0" w:line="76" w:lineRule="exact"/>
        <w:rPr>
          <w:sz w:val="20"/>
          <w:szCs w:val="20"/>
          <w:color w:val="auto"/>
        </w:rPr>
      </w:pPr>
    </w:p>
    <w:p>
      <w:pPr>
        <w:ind w:left="1240" w:hanging="253"/>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17" w:lineRule="exact"/>
        <w:rPr>
          <w:rFonts w:ascii="Arial" w:cs="Arial" w:eastAsia="Arial" w:hAnsi="Arial"/>
          <w:sz w:val="18"/>
          <w:szCs w:val="18"/>
          <w:color w:val="auto"/>
        </w:rPr>
      </w:pPr>
    </w:p>
    <w:p>
      <w:pPr>
        <w:ind w:right="40" w:firstLine="987"/>
        <w:spacing w:after="0" w:line="298" w:lineRule="auto"/>
        <w:tabs>
          <w:tab w:leader="none" w:pos="1246"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for termination shall exist upon, without the Optionee’s written consent: (x) a change by the Company in the 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at which the Optionee performs his or her principal duties for the Company of more than 25 miles from the location at which the Optionee was performing his or her principal duties for the Company prior to such change; (y) a reduction of the Optionee’s monthly cash compensation; or (z) a material adverse change in the Optionee’s title, authority or duties; and provided further that no such event or condition shall constitute Good Reason unless the Optionee gives the Company a written notice of termination not more than 120 days after the initial existence of the condition.</w:t>
      </w:r>
    </w:p>
    <w:p>
      <w:pPr>
        <w:spacing w:after="0" w:line="45" w:lineRule="exact"/>
        <w:rPr>
          <w:rFonts w:ascii="Arial" w:cs="Arial" w:eastAsia="Arial" w:hAnsi="Arial"/>
          <w:sz w:val="16"/>
          <w:szCs w:val="16"/>
          <w:color w:val="auto"/>
        </w:rPr>
      </w:pPr>
    </w:p>
    <w:p>
      <w:pPr>
        <w:ind w:left="1240" w:hanging="253"/>
        <w:spacing w:after="0"/>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shall mean the amount for which one Share may be purchased upon exercise of the Option, subject to adjustment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98" w:lineRule="exact"/>
        <w:rPr>
          <w:rFonts w:ascii="Arial" w:cs="Arial" w:eastAsia="Arial" w:hAnsi="Arial"/>
          <w:sz w:val="16"/>
          <w:szCs w:val="16"/>
          <w:color w:val="auto"/>
        </w:rPr>
      </w:pPr>
    </w:p>
    <w:p>
      <w:pPr>
        <w:ind w:firstLine="987"/>
        <w:spacing w:after="0" w:line="271" w:lineRule="auto"/>
        <w:tabs>
          <w:tab w:leader="none" w:pos="12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shall mean, as of any date, the value of a Share determined as follows: (i) if the Shares are listed on any established stock exchange or a national market system, including, without limitation, the Nasdaq Global Market, the Fair Market Value of a Share will be the closing sales price for such stock as quoted on that system or exchange (or the system or exchange with the greatest volume of trading in Shares) at the close of regular hours trading on the day of determination; (ii) if the Shares are regularly quoted by recognized securities dealers but selling prices are not reported, the Fair Market Value of a Share will be the mean between the high bid and low asked prices for Shares at the close of regular hours trading on the day of determination; or (iii) if Shares are not traded as set forth above, the Fair Market Value will be determined in good faith by the Administrator taking into consideration such factors as the Administrator considers appropriate, such determination by the Administrator to be final, conclusive and binding. Notwithstanding the foregoing, in connection with a Liquidation Event, Fair Market Value shall be determined in good faith by the Administrator, such determination by the Administrator to be final, conclusive and binding.</w:t>
      </w:r>
    </w:p>
    <w:p>
      <w:pPr>
        <w:spacing w:after="0" w:line="65" w:lineRule="exact"/>
        <w:rPr>
          <w:rFonts w:ascii="Arial" w:cs="Arial" w:eastAsia="Arial" w:hAnsi="Arial"/>
          <w:sz w:val="17"/>
          <w:szCs w:val="17"/>
          <w:color w:val="auto"/>
        </w:rPr>
      </w:pPr>
    </w:p>
    <w:p>
      <w:pPr>
        <w:ind w:right="100" w:firstLine="987"/>
        <w:spacing w:after="0" w:line="274" w:lineRule="auto"/>
        <w:tabs>
          <w:tab w:leader="none" w:pos="1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Liquidation Event</w:t>
      </w:r>
      <w:r>
        <w:rPr>
          <w:rFonts w:ascii="Arial" w:cs="Arial" w:eastAsia="Arial" w:hAnsi="Arial"/>
          <w:sz w:val="17"/>
          <w:szCs w:val="17"/>
          <w:i w:val="1"/>
          <w:iCs w:val="1"/>
          <w:color w:val="auto"/>
        </w:rPr>
        <w:t>”</w:t>
      </w:r>
      <w:r>
        <w:rPr>
          <w:rFonts w:ascii="Arial" w:cs="Arial" w:eastAsia="Arial" w:hAnsi="Arial"/>
          <w:sz w:val="17"/>
          <w:szCs w:val="17"/>
          <w:color w:val="auto"/>
        </w:rPr>
        <w:t xml:space="preserve"> shall mean (1) any merger, consolidation, recapitalization or sale of the Company, transfer of Shares or other transaction or series of transactions in which the stockholders of the Company immediately prior to such transaction do not own and control a majority of the voting power represented by the outstanding equity of the Company after the closing of such transaction or, in the case of any merger or consolidation of the Company, of the surviving entity after the closing of such transaction, (2) the sale, lease, transfer, exclusive license or other disposition, in a single transaction or series of related transactions, by the Company or any subsidiary or subsidiaries of the Company, of all or substantially all the assets of the Company and its subsidiaries taken as a whole (or, if substantially all the assets of the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6" w:name="page17"/>
    <w:bookmarkEnd w:id="16"/>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or (3) any liquidation, dissolution or winding up, voluntary or involuntary, of the Company.</w:t>
      </w:r>
    </w:p>
    <w:p>
      <w:pPr>
        <w:spacing w:after="0" w:line="37" w:lineRule="exact"/>
        <w:rPr>
          <w:sz w:val="20"/>
          <w:szCs w:val="20"/>
          <w:color w:val="auto"/>
        </w:rPr>
      </w:pPr>
    </w:p>
    <w:p>
      <w:pPr>
        <w:ind w:left="1240" w:hanging="25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“Notice of Substitute Option Grant” </w:t>
      </w:r>
      <w:r>
        <w:rPr>
          <w:rFonts w:ascii="Arial" w:cs="Arial" w:eastAsia="Arial" w:hAnsi="Arial"/>
          <w:sz w:val="18"/>
          <w:szCs w:val="18"/>
          <w:color w:val="auto"/>
        </w:rPr>
        <w:t>shall mean the document so entitled to which this Agreement is attached.</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“Nonstatutory Option</w:t>
      </w:r>
      <w:r>
        <w:rPr>
          <w:rFonts w:ascii="Arial" w:cs="Arial" w:eastAsia="Arial" w:hAnsi="Arial"/>
          <w:sz w:val="16"/>
          <w:szCs w:val="16"/>
          <w:color w:val="auto"/>
        </w:rPr>
        <w:t>” shall mean an option that is not intended to be an “incentive stock option” within the meaning of Section 422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 the Code.</w:t>
      </w:r>
    </w:p>
    <w:p>
      <w:pPr>
        <w:spacing w:after="0" w:line="99" w:lineRule="exact"/>
        <w:rPr>
          <w:sz w:val="20"/>
          <w:szCs w:val="20"/>
          <w:color w:val="auto"/>
        </w:rPr>
      </w:pPr>
    </w:p>
    <w:p>
      <w:pPr>
        <w:ind w:left="1200" w:hanging="213"/>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the Person named in the Notice of Substitute Option Grant.</w:t>
      </w:r>
    </w:p>
    <w:p>
      <w:pPr>
        <w:spacing w:after="0" w:line="117" w:lineRule="exact"/>
        <w:rPr>
          <w:rFonts w:ascii="Arial" w:cs="Arial" w:eastAsia="Arial" w:hAnsi="Arial"/>
          <w:sz w:val="18"/>
          <w:szCs w:val="18"/>
          <w:color w:val="auto"/>
        </w:rPr>
      </w:pPr>
    </w:p>
    <w:p>
      <w:pPr>
        <w:ind w:firstLine="987"/>
        <w:spacing w:after="0" w:line="282"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 individual, partnership, corporation, limited liability company, trust, joint venture, unincorporated association, or other entity or association.</w:t>
      </w:r>
    </w:p>
    <w:p>
      <w:pPr>
        <w:spacing w:after="0" w:line="53" w:lineRule="exact"/>
        <w:rPr>
          <w:rFonts w:ascii="Arial" w:cs="Arial" w:eastAsia="Arial" w:hAnsi="Arial"/>
          <w:sz w:val="18"/>
          <w:szCs w:val="18"/>
          <w:color w:val="auto"/>
        </w:rPr>
      </w:pPr>
    </w:p>
    <w:p>
      <w:pPr>
        <w:ind w:firstLine="987"/>
        <w:spacing w:after="0" w:line="274" w:lineRule="auto"/>
        <w:tabs>
          <w:tab w:leader="none" w:pos="120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w:t>
      </w:r>
      <w:r>
        <w:rPr>
          <w:rFonts w:ascii="Arial" w:cs="Arial" w:eastAsia="Arial" w:hAnsi="Arial"/>
          <w:sz w:val="17"/>
          <w:szCs w:val="17"/>
          <w:color w:val="auto"/>
        </w:rPr>
        <w:t>” shall mean continued service as an employee, consultant, or advisor of the Company or its Affiliate (or, prior to May 28, 2020, to Chondrial Therapeutics, Inc. or its Affiliates). The Optionee shall not be deemed to have ceased to provide Service while the Optionee is on a bona fide leave of absence, if such leave was approved by the Company in writing or as otherwise required by law. In the case of an approved leave of absence, the Administrator may make provisions respecting crediting of service, including suspension of vesting of the option (including pursuant to a formal policy adopted from time to time by the Company). The Administrator will have sole discretion to determine whether the Optionee has ceased to provide Service and the effective date on which the Optionee ceased to provide Service.</w:t>
      </w:r>
    </w:p>
    <w:p>
      <w:pPr>
        <w:spacing w:after="0" w:line="65" w:lineRule="exact"/>
        <w:rPr>
          <w:rFonts w:ascii="Arial" w:cs="Arial" w:eastAsia="Arial" w:hAnsi="Arial"/>
          <w:sz w:val="17"/>
          <w:szCs w:val="17"/>
          <w:color w:val="auto"/>
        </w:rPr>
      </w:pPr>
    </w:p>
    <w:p>
      <w:pPr>
        <w:ind w:left="1300" w:hanging="313"/>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shall mean a share of common stock of the Company, par value $0.001.</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7"/>
          <w:szCs w:val="17"/>
          <w:b w:val="1"/>
          <w:bCs w:val="1"/>
          <w:u w:val="single" w:color="auto"/>
          <w:color w:val="auto"/>
        </w:rPr>
        <w:t>FURTHER ASSURANCES.</w:t>
      </w:r>
    </w:p>
    <w:p>
      <w:pPr>
        <w:spacing w:after="0" w:line="12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The parties agree to execute such further documents and instruments and to take such further actions as may be reasonably necessary to carry out the purposes and intent of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05610" cy="351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7056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 Cynwyd, PA 19004</w:t>
      </w:r>
    </w:p>
    <w:p>
      <w:pPr>
        <w:spacing w:after="0" w:line="2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Reference is made to the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of Larimar Therapeutics, Inc., a Delaware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color w:val="auto"/>
        </w:rPr>
        <w:t>Company</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Registration Statement covers an aggregate of 330,818 shares of the Company’s Common Stock, par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$0.001 per share (the “</w:t>
      </w:r>
      <w:r>
        <w:rPr>
          <w:rFonts w:ascii="Arial" w:cs="Arial" w:eastAsia="Arial" w:hAnsi="Arial"/>
          <w:sz w:val="16"/>
          <w:szCs w:val="16"/>
          <w:b w:val="1"/>
          <w:bCs w:val="1"/>
          <w:color w:val="auto"/>
        </w:rPr>
        <w:t>Shares</w:t>
      </w:r>
      <w:r>
        <w:rPr>
          <w:rFonts w:ascii="Arial" w:cs="Arial" w:eastAsia="Arial" w:hAnsi="Arial"/>
          <w:sz w:val="16"/>
          <w:szCs w:val="16"/>
          <w:color w:val="auto"/>
        </w:rPr>
        <w:t>”), which are subject to options which were substituted for all outstanding and unexercised options to purchase units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Chondrial Therapeutics Holdings, LLC (“</w:t>
      </w:r>
      <w:r>
        <w:rPr>
          <w:rFonts w:ascii="Arial" w:cs="Arial" w:eastAsia="Arial" w:hAnsi="Arial"/>
          <w:sz w:val="17"/>
          <w:szCs w:val="17"/>
          <w:b w:val="1"/>
          <w:bCs w:val="1"/>
          <w:color w:val="auto"/>
        </w:rPr>
        <w:t>Holdings</w:t>
      </w:r>
      <w:r>
        <w:rPr>
          <w:rFonts w:ascii="Arial" w:cs="Arial" w:eastAsia="Arial" w:hAnsi="Arial"/>
          <w:sz w:val="17"/>
          <w:szCs w:val="17"/>
          <w:color w:val="auto"/>
        </w:rPr>
        <w:t>”) in connection with the Company’s completion of its business combination with Chondrial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Therapeutics, Inc. (“</w:t>
      </w:r>
      <w:r>
        <w:rPr>
          <w:rFonts w:ascii="Arial" w:cs="Arial" w:eastAsia="Arial" w:hAnsi="Arial"/>
          <w:sz w:val="16"/>
          <w:szCs w:val="16"/>
          <w:b w:val="1"/>
          <w:bCs w:val="1"/>
          <w:color w:val="auto"/>
        </w:rPr>
        <w:t>Chondrial</w:t>
      </w:r>
      <w:r>
        <w:rPr>
          <w:rFonts w:ascii="Arial" w:cs="Arial" w:eastAsia="Arial" w:hAnsi="Arial"/>
          <w:sz w:val="16"/>
          <w:szCs w:val="16"/>
          <w:color w:val="auto"/>
        </w:rPr>
        <w:t>”), in accordance with the terms of the Agreement and Plan of Merger and Reorganization, dated as of December 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the Company, Zordich Merger Sub Inc., a wholly 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Chondrial and Holdings, pursuant to which Merger Sub merged with and into Chondrial, with Chondrial surviving as a wholly owned subsidiary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(the “</w:t>
      </w:r>
      <w:r>
        <w:rPr>
          <w:rFonts w:ascii="Arial" w:cs="Arial" w:eastAsia="Arial" w:hAnsi="Arial"/>
          <w:sz w:val="17"/>
          <w:szCs w:val="17"/>
          <w:b w:val="1"/>
          <w:bCs w:val="1"/>
          <w:color w:val="auto"/>
        </w:rPr>
        <w:t>Merger</w:t>
      </w:r>
      <w:r>
        <w:rPr>
          <w:rFonts w:ascii="Arial" w:cs="Arial" w:eastAsia="Arial" w:hAnsi="Arial"/>
          <w:sz w:val="17"/>
          <w:szCs w:val="17"/>
          <w:color w:val="auto"/>
        </w:rPr>
        <w:t>”) and are issuable pursuant to the Company’s Substitute Stock Option Award Agreements with certain employees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Substitute Option Award Agreements</w:t>
      </w:r>
      <w:r>
        <w:rPr>
          <w:rFonts w:ascii="Arial" w:cs="Arial" w:eastAsia="Arial" w:hAnsi="Arial"/>
          <w:sz w:val="16"/>
          <w:szCs w:val="16"/>
          <w:color w:val="auto"/>
        </w:rPr>
        <w:t>”). You have requested that we render the opinion set forth in this letter and we are furnishing this opinion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you pursuant to the requirements of Item 601(b)(5) of Regulation S-K, in connection with the filing of the Registration Statement. No opinion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expressed herein as to any matter pertaining to the contents of the Registration Statement or the related prospectuses, other than as expressly stated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with respect to the issuance of the Shares.</w:t>
      </w:r>
    </w:p>
    <w:p>
      <w:pPr>
        <w:spacing w:after="0" w:line="21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For purposes of this opinion letter, we have examined the Registration Statement, including the exhibits thereto, the originals or copies, certified or otherwise identified to our satisfaction, of the Ninth Amended and Restated Articles of Incorporation, as amended, and the Amended and Restated Bylaws of the Company, the Merger Agreement and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As to all matters of fact, we have relied on the representations and statements of fact made in the documents so reviewed, and we have not independently established the facts so relied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40" w:type="dxa"/>
            <w:vAlign w:val="bottom"/>
          </w:tcPr>
          <w:p>
            <w:pPr>
              <w:jc w:val="center"/>
              <w:ind w:left="888"/>
              <w:spacing w:after="0"/>
              <w:rPr>
                <w:sz w:val="20"/>
                <w:szCs w:val="20"/>
                <w:color w:val="auto"/>
              </w:rPr>
            </w:pPr>
            <w:r>
              <w:rPr>
                <w:rFonts w:ascii="Arial" w:cs="Arial" w:eastAsia="Arial" w:hAnsi="Arial"/>
                <w:sz w:val="14"/>
                <w:szCs w:val="14"/>
                <w:color w:val="auto"/>
                <w:w w:val="92"/>
              </w:rPr>
              <w:t>Washington,</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7"/>
        </w:trPr>
        <w:tc>
          <w:tcPr>
            <w:tcW w:w="2220" w:type="dxa"/>
            <w:vAlign w:val="bottom"/>
            <w:tcBorders>
              <w:bottom w:val="single" w:sz="8" w:color="auto"/>
            </w:tcBorders>
          </w:tcPr>
          <w:p>
            <w:pPr>
              <w:ind w:left="1340"/>
              <w:spacing w:after="0"/>
              <w:rPr>
                <w:sz w:val="20"/>
                <w:szCs w:val="20"/>
                <w:color w:val="auto"/>
              </w:rPr>
            </w:pPr>
            <w:r>
              <w:rPr>
                <w:rFonts w:ascii="Arial" w:cs="Arial" w:eastAsia="Arial" w:hAnsi="Arial"/>
                <w:sz w:val="14"/>
                <w:szCs w:val="14"/>
                <w:color w:val="auto"/>
              </w:rPr>
              <w:t>Philadelphia</w:t>
            </w:r>
          </w:p>
        </w:tc>
        <w:tc>
          <w:tcPr>
            <w:tcW w:w="1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w w:val="91"/>
              </w:rPr>
              <w:t>Boston</w:t>
            </w:r>
          </w:p>
        </w:tc>
        <w:tc>
          <w:tcPr>
            <w:tcW w:w="244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color w:val="auto"/>
                <w:w w:val="92"/>
              </w:rPr>
              <w:t>D.C.</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 Angeles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New York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Pittsburgh</w:t>
            </w:r>
          </w:p>
        </w:tc>
      </w:tr>
      <w:tr>
        <w:trPr>
          <w:trHeight w:val="176"/>
        </w:trPr>
        <w:tc>
          <w:tcPr>
            <w:tcW w:w="2220" w:type="dxa"/>
            <w:vAlign w:val="bottom"/>
          </w:tcPr>
          <w:p>
            <w:pPr>
              <w:ind w:left="660"/>
              <w:spacing w:after="0"/>
              <w:rPr>
                <w:sz w:val="20"/>
                <w:szCs w:val="20"/>
                <w:color w:val="auto"/>
              </w:rPr>
            </w:pPr>
            <w:r>
              <w:rPr>
                <w:rFonts w:ascii="Arial" w:cs="Arial" w:eastAsia="Arial" w:hAnsi="Arial"/>
                <w:sz w:val="14"/>
                <w:szCs w:val="14"/>
                <w:color w:val="auto"/>
              </w:rPr>
              <w:t>Detroit</w:t>
            </w:r>
          </w:p>
        </w:tc>
        <w:tc>
          <w:tcPr>
            <w:tcW w:w="1160" w:type="dxa"/>
            <w:vAlign w:val="bottom"/>
          </w:tcPr>
          <w:p>
            <w:pPr>
              <w:ind w:left="180"/>
              <w:spacing w:after="0"/>
              <w:rPr>
                <w:sz w:val="20"/>
                <w:szCs w:val="20"/>
                <w:color w:val="auto"/>
              </w:rPr>
            </w:pPr>
            <w:r>
              <w:rPr>
                <w:rFonts w:ascii="Arial" w:cs="Arial" w:eastAsia="Arial" w:hAnsi="Arial"/>
                <w:sz w:val="14"/>
                <w:szCs w:val="14"/>
                <w:color w:val="auto"/>
              </w:rPr>
              <w:t>Berwyn</w:t>
            </w:r>
          </w:p>
        </w:tc>
        <w:tc>
          <w:tcPr>
            <w:tcW w:w="1340" w:type="dxa"/>
            <w:vAlign w:val="bottom"/>
          </w:tcPr>
          <w:p>
            <w:pPr>
              <w:jc w:val="center"/>
              <w:ind w:left="288"/>
              <w:spacing w:after="0"/>
              <w:rPr>
                <w:sz w:val="20"/>
                <w:szCs w:val="20"/>
                <w:color w:val="auto"/>
              </w:rPr>
            </w:pPr>
            <w:r>
              <w:rPr>
                <w:rFonts w:ascii="Arial" w:cs="Arial" w:eastAsia="Arial" w:hAnsi="Arial"/>
                <w:sz w:val="14"/>
                <w:szCs w:val="14"/>
                <w:color w:val="auto"/>
                <w:w w:val="94"/>
              </w:rPr>
              <w:t>Harrisburg</w:t>
            </w:r>
          </w:p>
        </w:tc>
        <w:tc>
          <w:tcPr>
            <w:tcW w:w="2440" w:type="dxa"/>
            <w:vAlign w:val="bottom"/>
          </w:tcPr>
          <w:p>
            <w:pPr>
              <w:jc w:val="center"/>
              <w:ind w:left="908"/>
              <w:spacing w:after="0"/>
              <w:rPr>
                <w:sz w:val="20"/>
                <w:szCs w:val="20"/>
                <w:color w:val="auto"/>
              </w:rPr>
            </w:pPr>
            <w:r>
              <w:rPr>
                <w:rFonts w:ascii="Arial" w:cs="Arial" w:eastAsia="Arial" w:hAnsi="Arial"/>
                <w:sz w:val="14"/>
                <w:szCs w:val="14"/>
                <w:color w:val="auto"/>
                <w:w w:val="94"/>
              </w:rPr>
              <w:t>Orange County</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Princeton</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Silicon Valley</w:t>
            </w:r>
          </w:p>
        </w:tc>
        <w:tc>
          <w:tcPr>
            <w:tcW w:w="1240" w:type="dxa"/>
            <w:vAlign w:val="bottom"/>
          </w:tcPr>
          <w:p>
            <w:pPr>
              <w:jc w:val="center"/>
              <w:spacing w:after="0"/>
              <w:rPr>
                <w:sz w:val="20"/>
                <w:szCs w:val="20"/>
                <w:color w:val="auto"/>
              </w:rPr>
            </w:pPr>
            <w:r>
              <w:rPr>
                <w:rFonts w:ascii="Arial" w:cs="Arial" w:eastAsia="Arial" w:hAnsi="Arial"/>
                <w:sz w:val="14"/>
                <w:szCs w:val="14"/>
                <w:color w:val="auto"/>
              </w:rPr>
              <w:t>Wilmington</w:t>
            </w:r>
          </w:p>
        </w:tc>
      </w:tr>
      <w:tr>
        <w:trPr>
          <w:trHeight w:val="346"/>
        </w:trPr>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40" w:type="dxa"/>
            <w:vAlign w:val="bottom"/>
          </w:tcPr>
          <w:p>
            <w:pPr>
              <w:ind w:left="180"/>
              <w:spacing w:after="0"/>
              <w:rPr>
                <w:sz w:val="20"/>
                <w:szCs w:val="20"/>
                <w:color w:val="auto"/>
              </w:rPr>
            </w:pPr>
            <w:r>
              <w:rPr>
                <w:rFonts w:ascii="Arial" w:cs="Arial" w:eastAsia="Arial" w:hAnsi="Arial"/>
                <w:sz w:val="14"/>
                <w:szCs w:val="14"/>
                <w:color w:val="auto"/>
              </w:rPr>
              <w:t>www.pepperlaw.com</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05610" cy="351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705610" cy="351790"/>
                    </a:xfrm>
                    <a:prstGeom prst="rect">
                      <a:avLst/>
                    </a:prstGeom>
                    <a:noFill/>
                  </pic:spPr>
                </pic:pic>
              </a:graphicData>
            </a:graphic>
          </wp:anchor>
        </w:drawing>
        <w:t>Larimar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21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Subject to the foregoing and the other matters set forth herein, it is our opinion that the Shares when issued in accordance with the terms of the Substitute Option Grant Award Agreements upon receipt by the Company of the consideration for the Shares specified in the Substitute Option Award Agreements, the Shares will be legally and validly issued, fully paid and nonassessable.</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are opining herein as to the General Corporation Law of the State of Delaware, and we express no opinion with respect to the applicability thereto, or the effect thereon, of the laws of any other jurisdiction or any other laws, or as to any matters of municipal law or the laws of any local agencies within any state, and the federal laws of the United States of America.</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 This opinion is for your benefit in connection with the Registration Statement and may be relied upon by you and by persons entitled to rely upon it pursuant to the applicable provisions of the Securities Act.</w:t>
      </w:r>
    </w:p>
    <w:p>
      <w:pPr>
        <w:spacing w:after="0" w:line="18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rendering this opinion and giving this consent, we do not admit that we are an “expert” within the meaning of the Securities Act or the rules and regulations of the Commission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0980"/>
          </w:cols>
          <w:pgMar w:left="440" w:top="1043" w:right="47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Larimar Therapeutics, Inc. of our report dated March 6, 2020, relating to the financial statements of Chondrial Therapeutics, Inc., which appears in Larimar Therapeutics, Inc.’s Current Report on Form 8-K/A filed on June 26,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ectPr>
          <w:pgSz w:w="11900" w:h="16838" w:orient="portrait"/>
          <w:cols w:equalWidth="0" w:num="1">
            <w:col w:w="11020"/>
          </w:cols>
          <w:pgMar w:left="440" w:top="121"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Larimar Therapeutics, Inc. of our report dated March 5, 2020, related to the financial statements of Zafgen, Inc., which appears in Zafgen, Inc’s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upperLetter"/>
      <w:start w:val="2"/>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4"/>
    </w:lvl>
  </w:abstractNum>
  <w:abstractNum w:abstractNumId="4">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109CF92E"/>
    <w:multiLevelType w:val="hybridMultilevel"/>
    <w:lvl w:ilvl="0">
      <w:lvlJc w:val="left"/>
      <w:lvlText w:val="(%1)"/>
      <w:numFmt w:val="lowerRoman"/>
      <w:start w:val="3"/>
    </w:lvl>
  </w:abstractNum>
  <w:abstractNum w:abstractNumId="6">
    <w:nsid w:val="DED7263"/>
    <w:multiLevelType w:val="hybridMultilevel"/>
    <w:lvl w:ilvl="0">
      <w:lvlJc w:val="left"/>
      <w:lvlText w:val="%1"/>
      <w:numFmt w:val="lowerLetter"/>
      <w:start w:val="1"/>
    </w:lvl>
    <w:lvl w:ilvl="1">
      <w:lvlJc w:val="left"/>
      <w:lvlText w:val="(%2)"/>
      <w:numFmt w:val="decimal"/>
      <w:start w:val="2"/>
    </w:lvl>
  </w:abstractNum>
  <w:abstractNum w:abstractNumId="7">
    <w:nsid w:val="7FDCC233"/>
    <w:multiLevelType w:val="hybridMultilevel"/>
    <w:lvl w:ilvl="0">
      <w:lvlJc w:val="left"/>
      <w:lvlText w:val="(%1)"/>
      <w:numFmt w:val="lowerLetter"/>
      <w:start w:val="2"/>
    </w:lvl>
    <w:lvl w:ilvl="1">
      <w:lvlJc w:val="left"/>
      <w:lvlText w:val="%2"/>
      <w:numFmt w:val="decimal"/>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2"/>
    </w:lvl>
  </w:abstractNum>
  <w:abstractNum w:abstractNumId="10">
    <w:nsid w:val="6B68079A"/>
    <w:multiLevelType w:val="hybridMultilevel"/>
    <w:lvl w:ilvl="0">
      <w:lvlJc w:val="left"/>
      <w:lvlText w:val="(%1)"/>
      <w:numFmt w:val="lowerLetter"/>
      <w:start w:val="1"/>
    </w:lvl>
    <w:lvl w:ilvl="1">
      <w:lvlJc w:val="left"/>
      <w:lvlText w:val="(%2)"/>
      <w:numFmt w:val="decimal"/>
      <w:start w:val="1"/>
    </w:lvl>
  </w:abstractNum>
  <w:abstractNum w:abstractNumId="11">
    <w:nsid w:val="4E6AFB66"/>
    <w:multiLevelType w:val="hybridMultilevel"/>
    <w:lvl w:ilvl="0">
      <w:lvlJc w:val="left"/>
      <w:lvlText w:val="(%1)"/>
      <w:numFmt w:val="lowerLetter"/>
      <w:start w:val="1"/>
    </w:lvl>
    <w:lvl w:ilvl="1">
      <w:lvlJc w:val="left"/>
      <w:lvlText w:val="(%2)"/>
      <w:numFmt w:val="decimal"/>
      <w:start w:val="1"/>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2"/>
    </w:lvl>
    <w:lvl w:ilvl="1">
      <w:lvlJc w:val="left"/>
      <w:lvlText w:val="(%2)"/>
      <w:numFmt w:val="lowerLetter"/>
      <w:start w:val="5"/>
    </w:lvl>
  </w:abstractNum>
  <w:abstractNum w:abstractNumId="14">
    <w:nsid w:val="431BD7B7"/>
    <w:multiLevelType w:val="hybridMultilevel"/>
    <w:lvl w:ilvl="0">
      <w:lvlJc w:val="left"/>
      <w:lvlText w:val="(%1)"/>
      <w:numFmt w:val="lowerLetter"/>
      <w:start w:val="6"/>
    </w:lvl>
  </w:abstractNum>
  <w:abstractNum w:abstractNumId="15">
    <w:nsid w:val="3F2DBA31"/>
    <w:multiLevelType w:val="hybridMultilevel"/>
    <w:lvl w:ilvl="0">
      <w:lvlJc w:val="left"/>
      <w:lvlText w:val="(%1)"/>
      <w:numFmt w:val="lowerRoman"/>
      <w:start w:val="2"/>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3"/>
    </w:lvl>
  </w:abstractNum>
  <w:abstractNum w:abstractNumId="19">
    <w:nsid w:val="436C6125"/>
    <w:multiLevelType w:val="hybridMultilevel"/>
    <w:lvl w:ilvl="0">
      <w:lvlJc w:val="left"/>
      <w:lvlText w:val="(%1)"/>
      <w:numFmt w:val="lowerLetter"/>
      <w:start w:val="8"/>
    </w:lvl>
  </w:abstractNum>
  <w:abstractNum w:abstractNumId="20">
    <w:nsid w:val="628C895D"/>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8" Type="http://schemas.openxmlformats.org/officeDocument/2006/relationships/image" Target="media/image16.png"/><Relationship Id="rId31"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jpeg"/><Relationship Id="rId52" Type="http://schemas.openxmlformats.org/officeDocument/2006/relationships/image" Target="media/image34.png"/><Relationship Id="rId53" Type="http://schemas.openxmlformats.org/officeDocument/2006/relationships/image" Target="media/image35.jpeg"/><Relationship Id="rId54" Type="http://schemas.openxmlformats.org/officeDocument/2006/relationships/image" Target="media/image36.png"/><Relationship Id="rId23" Type="http://schemas.openxmlformats.org/officeDocument/2006/relationships/hyperlink" Target="http://www.sec.gov/Archives/edgar/data/1374690/000156459020008984/zfgn-10k_20191231.htm" TargetMode="External"/><Relationship Id="rId24" Type="http://schemas.openxmlformats.org/officeDocument/2006/relationships/hyperlink" Target="http://www.sec.gov/Archives/edgar/data/1374690/000156459020022942/zfgn-10q_20200331.htm" TargetMode="External"/><Relationship Id="rId25" Type="http://schemas.openxmlformats.org/officeDocument/2006/relationships/hyperlink" Target="http://www.sec.gov/Archives/edgar/data/1374690/000119312520119225/d895301d8k.htm" TargetMode="External"/><Relationship Id="rId26" Type="http://schemas.openxmlformats.org/officeDocument/2006/relationships/hyperlink" Target="http://www.sec.gov/Archives/edgar/data/1374690/000119312520157924/d936040d8k.htm" TargetMode="External"/><Relationship Id="rId27" Type="http://schemas.openxmlformats.org/officeDocument/2006/relationships/hyperlink" Target="http://www.sec.gov/Archives/edgar/data/1374690/000119312520181113/d947173d8ka.htm" TargetMode="External"/><Relationship Id="rId29" Type="http://schemas.openxmlformats.org/officeDocument/2006/relationships/hyperlink" Target="http://www.sec.gov/Archives/edgar/data/1374690/000119312520125890/d853876ddefm14a.htm" TargetMode="External"/><Relationship Id="rId30" Type="http://schemas.openxmlformats.org/officeDocument/2006/relationships/hyperlink" Target="http://www.sec.gov/Archives/edgar/data/1374690/000119312514240257/d745277d8a12b.htm" TargetMode="External"/><Relationship Id="rId32" Type="http://schemas.openxmlformats.org/officeDocument/2006/relationships/hyperlink" Target="http://www.sec.gov/Archives/edgar/data/1374690/000119312514247362/d747935dex31.htm" TargetMode="External"/><Relationship Id="rId33" Type="http://schemas.openxmlformats.org/officeDocument/2006/relationships/hyperlink" Target="http://www.sec.gov/Archives/edgar/data/1374690/000119312520157924/d936040dex31.htm" TargetMode="External"/><Relationship Id="rId34" Type="http://schemas.openxmlformats.org/officeDocument/2006/relationships/hyperlink" Target="http://www.sec.gov/Archives/edgar/data/1374690/000119312520157924/d936040dex32.htm" TargetMode="External"/><Relationship Id="rId35" Type="http://schemas.openxmlformats.org/officeDocument/2006/relationships/hyperlink" Target="http://www.sec.gov/Archives/edgar/data/1561921/000110465919065432/a19-23314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2020-06-26T16:29:39Z</dcterms:created>
  <dcterms:modified xsi:type="dcterms:W3CDTF">2020-06-26T16:29:39Z</dcterms:modified>
</cp:coreProperties>
</file>