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180" w:hanging="172"/>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18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20335"/>
                    </a:xfrm>
                    <a:prstGeom prst="rect">
                      <a:avLst/>
                    </a:prstGeom>
                    <a:noFill/>
                  </pic:spPr>
                </pic:pic>
              </a:graphicData>
            </a:graphic>
          </wp:anchor>
        </w:drawing>
        <w:t xml:space="preserve">CUSIP No. </w:t>
      </w:r>
      <w:r>
        <w:rPr>
          <w:rFonts w:ascii="Arial" w:cs="Arial" w:eastAsia="Arial" w:hAnsi="Arial"/>
          <w:sz w:val="18"/>
          <w:szCs w:val="18"/>
          <w:b w:val="1"/>
          <w:bCs w:val="1"/>
          <w:color w:val="auto"/>
        </w:rPr>
        <w:t>517125100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 w:type="dxa"/>
            <w:vAlign w:val="bottom"/>
            <w:tcBorders>
              <w:top w:val="single" w:sz="8" w:color="auto"/>
            </w:tcBorders>
            <w:vMerge w:val="restart"/>
          </w:tcPr>
          <w:p>
            <w:pPr>
              <w:ind w:left="340"/>
              <w:spacing w:after="0"/>
              <w:rPr>
                <w:sz w:val="20"/>
                <w:szCs w:val="20"/>
                <w:color w:val="auto"/>
              </w:rPr>
            </w:pPr>
            <w:r>
              <w:rPr>
                <w:rFonts w:ascii="Arial" w:cs="Arial" w:eastAsia="Arial" w:hAnsi="Arial"/>
                <w:sz w:val="22"/>
                <w:szCs w:val="22"/>
                <w:b w:val="1"/>
                <w:bCs w:val="1"/>
                <w:color w:val="auto"/>
                <w:w w:val="97"/>
              </w:rPr>
              <w:t>1</w:t>
            </w:r>
          </w:p>
        </w:tc>
        <w:tc>
          <w:tcPr>
            <w:tcW w:w="220" w:type="dxa"/>
            <w:vAlign w:val="bottom"/>
            <w:tcBorders>
              <w:top w:val="single" w:sz="8" w:color="auto"/>
              <w:right w:val="single" w:sz="8" w:color="auto"/>
            </w:tcBorders>
          </w:tcPr>
          <w:p>
            <w:pPr>
              <w:spacing w:after="0"/>
              <w:rPr>
                <w:sz w:val="21"/>
                <w:szCs w:val="21"/>
                <w:color w:val="auto"/>
              </w:rPr>
            </w:pPr>
          </w:p>
        </w:tc>
        <w:tc>
          <w:tcPr>
            <w:tcW w:w="105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5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Vivo Capital IX, LLC</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2</w:t>
            </w:r>
          </w:p>
        </w:tc>
        <w:tc>
          <w:tcPr>
            <w:tcW w:w="220" w:type="dxa"/>
            <w:vAlign w:val="bottom"/>
            <w:tcBorders>
              <w:right w:val="single" w:sz="8" w:color="auto"/>
            </w:tcBorders>
          </w:tcPr>
          <w:p>
            <w:pPr>
              <w:spacing w:after="0"/>
              <w:rPr>
                <w:sz w:val="15"/>
                <w:szCs w:val="15"/>
                <w:color w:val="auto"/>
              </w:rPr>
            </w:pPr>
          </w:p>
        </w:tc>
        <w:tc>
          <w:tcPr>
            <w:tcW w:w="105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8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2"/>
                <w:szCs w:val="22"/>
                <w:color w:val="auto"/>
              </w:rPr>
            </w:pPr>
          </w:p>
        </w:tc>
        <w:tc>
          <w:tcPr>
            <w:tcW w:w="8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3</w:t>
            </w:r>
          </w:p>
        </w:tc>
        <w:tc>
          <w:tcPr>
            <w:tcW w:w="220" w:type="dxa"/>
            <w:vAlign w:val="bottom"/>
            <w:tcBorders>
              <w:right w:val="single" w:sz="8" w:color="auto"/>
            </w:tcBorders>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4</w:t>
            </w:r>
          </w:p>
        </w:tc>
        <w:tc>
          <w:tcPr>
            <w:tcW w:w="220" w:type="dxa"/>
            <w:vAlign w:val="bottom"/>
            <w:tcBorders>
              <w:right w:val="single" w:sz="8" w:color="auto"/>
            </w:tcBorders>
          </w:tcPr>
          <w:p>
            <w:pPr>
              <w:spacing w:after="0"/>
              <w:rPr>
                <w:sz w:val="19"/>
                <w:szCs w:val="19"/>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0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6"/>
              </w:rPr>
              <w:t>Delaware</w:t>
            </w:r>
          </w:p>
        </w:tc>
        <w:tc>
          <w:tcPr>
            <w:tcW w:w="6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5</w:t>
            </w: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145,883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46"/>
        </w:trPr>
        <w:tc>
          <w:tcPr>
            <w:tcW w:w="1600" w:type="dxa"/>
            <w:vAlign w:val="bottom"/>
            <w:tcBorders>
              <w:right w:val="single" w:sz="8" w:color="auto"/>
            </w:tcBorders>
            <w:gridSpan w:val="3"/>
            <w:vMerge w:val="restart"/>
          </w:tcPr>
          <w:p>
            <w:pPr>
              <w:ind w:left="340"/>
              <w:spacing w:after="0"/>
              <w:rPr>
                <w:sz w:val="20"/>
                <w:szCs w:val="20"/>
                <w:color w:val="auto"/>
              </w:rPr>
            </w:pPr>
            <w:r>
              <w:rPr>
                <w:rFonts w:ascii="Arial" w:cs="Arial" w:eastAsia="Arial" w:hAnsi="Arial"/>
                <w:sz w:val="18"/>
                <w:szCs w:val="18"/>
                <w:color w:val="auto"/>
              </w:rPr>
              <w:t>NUMBER OF</w:t>
            </w:r>
          </w:p>
        </w:tc>
        <w:tc>
          <w:tcPr>
            <w:tcW w:w="680" w:type="dxa"/>
            <w:vAlign w:val="bottom"/>
            <w:tcBorders>
              <w:bottom w:val="single" w:sz="8" w:color="auto"/>
              <w:right w:val="single" w:sz="8" w:color="auto"/>
            </w:tcBorders>
          </w:tcPr>
          <w:p>
            <w:pPr>
              <w:spacing w:after="0"/>
              <w:rPr>
                <w:sz w:val="21"/>
                <w:szCs w:val="21"/>
                <w:color w:val="auto"/>
              </w:rPr>
            </w:pPr>
          </w:p>
        </w:tc>
        <w:tc>
          <w:tcPr>
            <w:tcW w:w="8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600" w:type="dxa"/>
            <w:vAlign w:val="bottom"/>
            <w:tcBorders>
              <w:right w:val="single" w:sz="8" w:color="auto"/>
            </w:tcBorders>
            <w:gridSpan w:val="3"/>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11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6</w:t>
            </w: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11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gridSpan w:val="3"/>
          </w:tcPr>
          <w:p>
            <w:pPr>
              <w:jc w:val="center"/>
              <w:ind w:left="1"/>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20"/>
                <w:szCs w:val="20"/>
                <w:color w:val="auto"/>
              </w:rPr>
            </w:pPr>
          </w:p>
        </w:tc>
        <w:tc>
          <w:tcPr>
            <w:tcW w:w="8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gridSpan w:val="3"/>
            <w:vMerge w:val="restart"/>
          </w:tcPr>
          <w:p>
            <w:pPr>
              <w:jc w:val="center"/>
              <w:ind w:left="21"/>
              <w:spacing w:after="0" w:line="201" w:lineRule="exact"/>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600" w:type="dxa"/>
            <w:vAlign w:val="bottom"/>
            <w:tcBorders>
              <w:right w:val="single" w:sz="8" w:color="auto"/>
            </w:tcBorders>
            <w:gridSpan w:val="3"/>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480" w:type="dxa"/>
            <w:vAlign w:val="bottom"/>
          </w:tcPr>
          <w:p>
            <w:pPr>
              <w:spacing w:after="0"/>
              <w:rPr>
                <w:sz w:val="10"/>
                <w:szCs w:val="10"/>
                <w:color w:val="auto"/>
              </w:rPr>
            </w:pPr>
          </w:p>
        </w:tc>
        <w:tc>
          <w:tcPr>
            <w:tcW w:w="11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jc w:val="right"/>
              <w:ind w:right="372"/>
              <w:spacing w:after="0" w:line="232" w:lineRule="exact"/>
              <w:rPr>
                <w:sz w:val="20"/>
                <w:szCs w:val="20"/>
                <w:color w:val="auto"/>
              </w:rPr>
            </w:pPr>
            <w:r>
              <w:rPr>
                <w:rFonts w:ascii="Arial" w:cs="Arial" w:eastAsia="Arial" w:hAnsi="Arial"/>
                <w:sz w:val="22"/>
                <w:szCs w:val="22"/>
                <w:b w:val="1"/>
                <w:bCs w:val="1"/>
                <w:color w:val="auto"/>
              </w:rPr>
              <w:t>7</w:t>
            </w:r>
          </w:p>
        </w:tc>
        <w:tc>
          <w:tcPr>
            <w:tcW w:w="8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80" w:type="dxa"/>
            <w:vAlign w:val="bottom"/>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600" w:type="dxa"/>
            <w:vAlign w:val="bottom"/>
            <w:tcBorders>
              <w:right w:val="single" w:sz="8" w:color="auto"/>
            </w:tcBorders>
            <w:gridSpan w:val="3"/>
          </w:tcPr>
          <w:p>
            <w:pPr>
              <w:jc w:val="center"/>
              <w:ind w:left="21"/>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0"/>
                <w:szCs w:val="20"/>
                <w:color w:val="auto"/>
              </w:rPr>
            </w:pPr>
          </w:p>
        </w:tc>
        <w:tc>
          <w:tcPr>
            <w:tcW w:w="8960" w:type="dxa"/>
            <w:vAlign w:val="bottom"/>
          </w:tcPr>
          <w:p>
            <w:pPr>
              <w:ind w:left="100"/>
              <w:spacing w:after="0" w:line="241" w:lineRule="exact"/>
              <w:rPr>
                <w:sz w:val="20"/>
                <w:szCs w:val="20"/>
                <w:color w:val="auto"/>
              </w:rPr>
            </w:pPr>
            <w:r>
              <w:rPr>
                <w:rFonts w:ascii="Arial" w:cs="Arial" w:eastAsia="Arial" w:hAnsi="Arial"/>
                <w:sz w:val="17"/>
                <w:szCs w:val="17"/>
                <w:b w:val="1"/>
                <w:bCs w:val="1"/>
                <w:color w:val="auto"/>
              </w:rPr>
              <w:t xml:space="preserve">145,883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120" w:type="dxa"/>
            <w:vAlign w:val="bottom"/>
            <w:tcBorders>
              <w:right w:val="single" w:sz="8" w:color="auto"/>
            </w:tcBorders>
            <w:gridSpan w:val="2"/>
            <w:vMerge w:val="restart"/>
          </w:tcPr>
          <w:p>
            <w:pPr>
              <w:jc w:val="center"/>
              <w:ind w:right="290"/>
              <w:spacing w:after="0" w:line="175" w:lineRule="exact"/>
              <w:rPr>
                <w:sz w:val="20"/>
                <w:szCs w:val="20"/>
                <w:color w:val="auto"/>
              </w:rPr>
            </w:pPr>
            <w:r>
              <w:rPr>
                <w:rFonts w:ascii="Arial" w:cs="Arial" w:eastAsia="Arial" w:hAnsi="Arial"/>
                <w:sz w:val="18"/>
                <w:szCs w:val="18"/>
                <w:color w:val="auto"/>
                <w:w w:val="92"/>
              </w:rPr>
              <w:t>PERSON</w:t>
            </w:r>
          </w:p>
        </w:tc>
        <w:tc>
          <w:tcPr>
            <w:tcW w:w="68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80" w:type="dxa"/>
            <w:vAlign w:val="bottom"/>
          </w:tcPr>
          <w:p>
            <w:pPr>
              <w:spacing w:after="0"/>
              <w:rPr>
                <w:sz w:val="6"/>
                <w:szCs w:val="6"/>
                <w:color w:val="auto"/>
              </w:rPr>
            </w:pPr>
          </w:p>
        </w:tc>
        <w:tc>
          <w:tcPr>
            <w:tcW w:w="11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1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8</w:t>
            </w: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112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53" w:right="339" w:bottom="1440" w:gutter="0" w:footer="0" w:header="0"/>
        </w:sectPr>
      </w:pPr>
    </w:p>
    <w:p>
      <w:pPr>
        <w:spacing w:after="0" w:line="134" w:lineRule="exact"/>
        <w:rPr>
          <w:sz w:val="20"/>
          <w:szCs w:val="20"/>
          <w:color w:val="auto"/>
        </w:rPr>
      </w:pPr>
    </w:p>
    <w:p>
      <w:pPr>
        <w:jc w:val="center"/>
        <w:ind w:left="340"/>
        <w:spacing w:after="0"/>
        <w:rPr>
          <w:sz w:val="20"/>
          <w:szCs w:val="20"/>
          <w:color w:val="auto"/>
        </w:rPr>
      </w:pP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br w:type="column"/>
      </w:r>
    </w:p>
    <w:p>
      <w:pPr>
        <w:ind w:right="3900"/>
        <w:spacing w:after="0" w:line="300" w:lineRule="auto"/>
        <w:rPr>
          <w:sz w:val="20"/>
          <w:szCs w:val="20"/>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 xml:space="preserve">145,883 </w:t>
      </w:r>
      <w:r>
        <w:rPr>
          <w:rFonts w:ascii="Arial" w:cs="Arial" w:eastAsia="Arial" w:hAnsi="Arial"/>
          <w:sz w:val="29"/>
          <w:szCs w:val="29"/>
          <w:b w:val="1"/>
          <w:bCs w:val="1"/>
          <w:color w:val="auto"/>
          <w:vertAlign w:val="superscript"/>
        </w:rPr>
        <w:t>(1)</w:t>
      </w:r>
    </w:p>
    <w:p>
      <w:pPr>
        <w:spacing w:after="0" w:line="1" w:lineRule="exact"/>
        <w:rPr>
          <w:sz w:val="20"/>
          <w:szCs w:val="20"/>
          <w:color w:val="auto"/>
        </w:rPr>
      </w:pPr>
    </w:p>
    <w:p>
      <w:pPr>
        <w:sectPr>
          <w:pgSz w:w="11900" w:h="16838" w:orient="portrait"/>
          <w:cols w:equalWidth="0" w:num="2">
            <w:col w:w="460" w:space="340"/>
            <w:col w:w="10440"/>
          </w:cols>
          <w:pgMar w:left="320" w:top="1053" w:right="339" w:bottom="1440" w:gutter="0" w:footer="0" w:header="0"/>
          <w:type w:val="continuous"/>
        </w:sectPr>
      </w:pPr>
    </w:p>
    <w:p>
      <w:pPr>
        <w:ind w:left="800"/>
        <w:spacing w:after="0" w:line="188" w:lineRule="auto"/>
        <w:rPr>
          <w:sz w:val="20"/>
          <w:szCs w:val="20"/>
          <w:color w:val="auto"/>
        </w:rPr>
      </w:pPr>
      <w:r>
        <w:rPr>
          <w:rFonts w:ascii="Arial" w:cs="Arial" w:eastAsia="Arial" w:hAnsi="Arial"/>
          <w:sz w:val="16"/>
          <w:szCs w:val="16"/>
          <w:color w:val="auto"/>
        </w:rPr>
        <w:t>CHECK BOX IF THE AGGREGATE AMOUNT IN ROW (9) EXCLUDES CERTAIN SHARES (See Instructions)</w:t>
      </w:r>
    </w:p>
    <w:p>
      <w:pPr>
        <w:ind w:left="300"/>
        <w:spacing w:after="0" w:line="361" w:lineRule="exact"/>
        <w:tabs>
          <w:tab w:leader="none" w:pos="7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1240"/>
          </w:cols>
          <w:pgMar w:left="320" w:top="1053" w:right="339" w:bottom="1440" w:gutter="0" w:footer="0" w:header="0"/>
          <w:type w:val="continuous"/>
        </w:sectPr>
      </w:pPr>
    </w:p>
    <w:p>
      <w:pPr>
        <w:spacing w:after="0" w:line="237"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29"/>
          <w:szCs w:val="29"/>
          <w:b w:val="1"/>
          <w:bCs w:val="1"/>
          <w:color w:val="auto"/>
          <w:vertAlign w:val="superscript"/>
        </w:rPr>
        <w:t>(2)</w:t>
      </w:r>
    </w:p>
    <w:p>
      <w:pPr>
        <w:spacing w:after="0" w:line="1" w:lineRule="exact"/>
        <w:rPr>
          <w:sz w:val="20"/>
          <w:szCs w:val="20"/>
          <w:color w:val="auto"/>
        </w:rPr>
      </w:pPr>
    </w:p>
    <w:p>
      <w:pPr>
        <w:sectPr>
          <w:pgSz w:w="11900" w:h="16838" w:orient="portrait"/>
          <w:cols w:equalWidth="0" w:num="2">
            <w:col w:w="500" w:space="300"/>
            <w:col w:w="10440"/>
          </w:cols>
          <w:pgMar w:left="320" w:top="1053" w:right="339" w:bottom="1440" w:gutter="0" w:footer="0" w:header="0"/>
          <w:type w:val="continuous"/>
        </w:sectPr>
      </w:pPr>
    </w:p>
    <w:p>
      <w:pPr>
        <w:spacing w:after="0" w:line="118"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500" w:space="300"/>
            <w:col w:w="10440"/>
          </w:cols>
          <w:pgMar w:left="320" w:top="1053" w:right="339" w:bottom="1440" w:gutter="0" w:footer="0" w:header="0"/>
          <w:type w:val="continuous"/>
        </w:sectPr>
      </w:pPr>
    </w:p>
    <w:p>
      <w:pPr>
        <w:spacing w:after="0" w:line="43" w:lineRule="exact"/>
        <w:rPr>
          <w:sz w:val="20"/>
          <w:szCs w:val="20"/>
          <w:color w:val="auto"/>
        </w:rPr>
      </w:pPr>
    </w:p>
    <w:p>
      <w:pPr>
        <w:ind w:left="500" w:right="560" w:hanging="492"/>
        <w:spacing w:after="0" w:line="194" w:lineRule="auto"/>
        <w:tabs>
          <w:tab w:leader="none" w:pos="5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$0.001 par value (the “Common Stock”) of Larimar Therapeutics, Inc. (the “Issuer”) are held of record by Vivo Capital Fund IX, L.P. Vivo Capital IX, LLC is the general partner of Vivo Capital Fund IX, L.P.</w:t>
      </w:r>
    </w:p>
    <w:p>
      <w:pPr>
        <w:spacing w:after="0" w:line="73" w:lineRule="exact"/>
        <w:rPr>
          <w:rFonts w:ascii="Arial" w:cs="Arial" w:eastAsia="Arial" w:hAnsi="Arial"/>
          <w:sz w:val="30"/>
          <w:szCs w:val="30"/>
          <w:color w:val="auto"/>
          <w:vertAlign w:val="superscript"/>
        </w:rPr>
      </w:pPr>
    </w:p>
    <w:p>
      <w:pPr>
        <w:ind w:left="500" w:hanging="492"/>
        <w:spacing w:after="0"/>
        <w:tabs>
          <w:tab w:leader="none" w:pos="5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15,319,075 shares of the Issuer’s Common Stock issued and outstanding as of June 1, 2020.</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2" w:name="page3"/>
    <w:bookmarkEnd w:id="2"/>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20970"/>
                    </a:xfrm>
                    <a:prstGeom prst="rect">
                      <a:avLst/>
                    </a:prstGeom>
                    <a:noFill/>
                  </pic:spPr>
                </pic:pic>
              </a:graphicData>
            </a:graphic>
          </wp:anchor>
        </w:drawing>
        <w:t xml:space="preserve">CUSIP No. </w:t>
      </w:r>
      <w:r>
        <w:rPr>
          <w:rFonts w:ascii="Arial" w:cs="Arial" w:eastAsia="Arial" w:hAnsi="Arial"/>
          <w:sz w:val="18"/>
          <w:szCs w:val="18"/>
          <w:b w:val="1"/>
          <w:bCs w:val="1"/>
          <w:color w:val="auto"/>
        </w:rPr>
        <w:t>517125100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80" w:type="dxa"/>
            <w:vAlign w:val="bottom"/>
            <w:tcBorders>
              <w:top w:val="single" w:sz="8" w:color="auto"/>
            </w:tcBorders>
            <w:vMerge w:val="restart"/>
          </w:tcPr>
          <w:p>
            <w:pPr>
              <w:ind w:left="340"/>
              <w:spacing w:after="0"/>
              <w:rPr>
                <w:sz w:val="20"/>
                <w:szCs w:val="20"/>
                <w:color w:val="auto"/>
              </w:rPr>
            </w:pPr>
            <w:r>
              <w:rPr>
                <w:rFonts w:ascii="Arial" w:cs="Arial" w:eastAsia="Arial" w:hAnsi="Arial"/>
                <w:sz w:val="22"/>
                <w:szCs w:val="22"/>
                <w:b w:val="1"/>
                <w:bCs w:val="1"/>
                <w:color w:val="auto"/>
                <w:w w:val="97"/>
              </w:rPr>
              <w:t>1</w:t>
            </w:r>
          </w:p>
        </w:tc>
        <w:tc>
          <w:tcPr>
            <w:tcW w:w="220" w:type="dxa"/>
            <w:vAlign w:val="bottom"/>
            <w:tcBorders>
              <w:top w:val="single" w:sz="8" w:color="auto"/>
              <w:right w:val="single" w:sz="8" w:color="auto"/>
            </w:tcBorders>
          </w:tcPr>
          <w:p>
            <w:pPr>
              <w:spacing w:after="0"/>
              <w:rPr>
                <w:sz w:val="21"/>
                <w:szCs w:val="21"/>
                <w:color w:val="auto"/>
              </w:rPr>
            </w:pPr>
          </w:p>
        </w:tc>
        <w:tc>
          <w:tcPr>
            <w:tcW w:w="105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5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Vivo Opportunity, LLC</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5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5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2</w:t>
            </w:r>
          </w:p>
        </w:tc>
        <w:tc>
          <w:tcPr>
            <w:tcW w:w="220" w:type="dxa"/>
            <w:vAlign w:val="bottom"/>
            <w:tcBorders>
              <w:right w:val="single" w:sz="8" w:color="auto"/>
            </w:tcBorders>
          </w:tcPr>
          <w:p>
            <w:pPr>
              <w:spacing w:after="0"/>
              <w:rPr>
                <w:sz w:val="15"/>
                <w:szCs w:val="15"/>
                <w:color w:val="auto"/>
              </w:rPr>
            </w:pPr>
          </w:p>
        </w:tc>
        <w:tc>
          <w:tcPr>
            <w:tcW w:w="1054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90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8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8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tcBorders>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2"/>
                <w:szCs w:val="22"/>
                <w:color w:val="auto"/>
              </w:rPr>
            </w:pPr>
          </w:p>
        </w:tc>
        <w:tc>
          <w:tcPr>
            <w:tcW w:w="8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3</w:t>
            </w:r>
          </w:p>
        </w:tc>
        <w:tc>
          <w:tcPr>
            <w:tcW w:w="220" w:type="dxa"/>
            <w:vAlign w:val="bottom"/>
            <w:tcBorders>
              <w:right w:val="single" w:sz="8" w:color="auto"/>
            </w:tcBorders>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vMerge w:val="restart"/>
          </w:tcPr>
          <w:p>
            <w:pPr>
              <w:ind w:left="340"/>
              <w:spacing w:after="0"/>
              <w:rPr>
                <w:sz w:val="20"/>
                <w:szCs w:val="20"/>
                <w:color w:val="auto"/>
              </w:rPr>
            </w:pPr>
            <w:r>
              <w:rPr>
                <w:rFonts w:ascii="Arial" w:cs="Arial" w:eastAsia="Arial" w:hAnsi="Arial"/>
                <w:sz w:val="22"/>
                <w:szCs w:val="22"/>
                <w:b w:val="1"/>
                <w:bCs w:val="1"/>
                <w:color w:val="auto"/>
                <w:w w:val="97"/>
              </w:rPr>
              <w:t>4</w:t>
            </w:r>
          </w:p>
        </w:tc>
        <w:tc>
          <w:tcPr>
            <w:tcW w:w="220" w:type="dxa"/>
            <w:vAlign w:val="bottom"/>
            <w:tcBorders>
              <w:right w:val="single" w:sz="8" w:color="auto"/>
            </w:tcBorders>
          </w:tcPr>
          <w:p>
            <w:pPr>
              <w:spacing w:after="0"/>
              <w:rPr>
                <w:sz w:val="19"/>
                <w:szCs w:val="19"/>
                <w:color w:val="auto"/>
              </w:rPr>
            </w:pPr>
          </w:p>
        </w:tc>
        <w:tc>
          <w:tcPr>
            <w:tcW w:w="1054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85"/>
        </w:trPr>
        <w:tc>
          <w:tcPr>
            <w:tcW w:w="48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90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6"/>
              </w:rPr>
              <w:t>Delaware</w:t>
            </w:r>
          </w:p>
        </w:tc>
        <w:tc>
          <w:tcPr>
            <w:tcW w:w="68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5</w:t>
            </w:r>
          </w:p>
        </w:tc>
        <w:tc>
          <w:tcPr>
            <w:tcW w:w="89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653,779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46"/>
        </w:trPr>
        <w:tc>
          <w:tcPr>
            <w:tcW w:w="1600" w:type="dxa"/>
            <w:vAlign w:val="bottom"/>
            <w:tcBorders>
              <w:right w:val="single" w:sz="8" w:color="auto"/>
            </w:tcBorders>
            <w:gridSpan w:val="3"/>
            <w:vMerge w:val="restart"/>
          </w:tcPr>
          <w:p>
            <w:pPr>
              <w:ind w:left="340"/>
              <w:spacing w:after="0"/>
              <w:rPr>
                <w:sz w:val="20"/>
                <w:szCs w:val="20"/>
                <w:color w:val="auto"/>
              </w:rPr>
            </w:pPr>
            <w:r>
              <w:rPr>
                <w:rFonts w:ascii="Arial" w:cs="Arial" w:eastAsia="Arial" w:hAnsi="Arial"/>
                <w:sz w:val="18"/>
                <w:szCs w:val="18"/>
                <w:color w:val="auto"/>
              </w:rPr>
              <w:t>NUMBER OF</w:t>
            </w:r>
          </w:p>
        </w:tc>
        <w:tc>
          <w:tcPr>
            <w:tcW w:w="680" w:type="dxa"/>
            <w:vAlign w:val="bottom"/>
            <w:tcBorders>
              <w:bottom w:val="single" w:sz="8" w:color="auto"/>
              <w:right w:val="single" w:sz="8" w:color="auto"/>
            </w:tcBorders>
          </w:tcPr>
          <w:p>
            <w:pPr>
              <w:spacing w:after="0"/>
              <w:rPr>
                <w:sz w:val="21"/>
                <w:szCs w:val="21"/>
                <w:color w:val="auto"/>
              </w:rPr>
            </w:pPr>
          </w:p>
        </w:tc>
        <w:tc>
          <w:tcPr>
            <w:tcW w:w="8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600" w:type="dxa"/>
            <w:vAlign w:val="bottom"/>
            <w:tcBorders>
              <w:right w:val="single" w:sz="8" w:color="auto"/>
            </w:tcBorders>
            <w:gridSpan w:val="3"/>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11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4"/>
              </w:rPr>
              <w:t>SHARES</w:t>
            </w:r>
          </w:p>
        </w:tc>
        <w:tc>
          <w:tcPr>
            <w:tcW w:w="6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6</w:t>
            </w:r>
          </w:p>
        </w:tc>
        <w:tc>
          <w:tcPr>
            <w:tcW w:w="8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11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gridSpan w:val="3"/>
          </w:tcPr>
          <w:p>
            <w:pPr>
              <w:jc w:val="center"/>
              <w:ind w:left="1"/>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vMerge w:val="continue"/>
          </w:tcPr>
          <w:p>
            <w:pPr>
              <w:spacing w:after="0"/>
              <w:rPr>
                <w:sz w:val="20"/>
                <w:szCs w:val="20"/>
                <w:color w:val="auto"/>
              </w:rPr>
            </w:pPr>
          </w:p>
        </w:tc>
        <w:tc>
          <w:tcPr>
            <w:tcW w:w="896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1"/>
        </w:trPr>
        <w:tc>
          <w:tcPr>
            <w:tcW w:w="1600" w:type="dxa"/>
            <w:vAlign w:val="bottom"/>
            <w:tcBorders>
              <w:right w:val="single" w:sz="8" w:color="auto"/>
            </w:tcBorders>
            <w:gridSpan w:val="3"/>
            <w:vMerge w:val="restart"/>
          </w:tcPr>
          <w:p>
            <w:pPr>
              <w:jc w:val="center"/>
              <w:ind w:left="21"/>
              <w:spacing w:after="0" w:line="201" w:lineRule="exact"/>
              <w:rPr>
                <w:sz w:val="20"/>
                <w:szCs w:val="20"/>
                <w:color w:val="auto"/>
              </w:rPr>
            </w:pPr>
            <w:r>
              <w:rPr>
                <w:rFonts w:ascii="Arial" w:cs="Arial" w:eastAsia="Arial" w:hAnsi="Arial"/>
                <w:sz w:val="18"/>
                <w:szCs w:val="18"/>
                <w:color w:val="auto"/>
                <w:w w:val="97"/>
              </w:rPr>
              <w:t>OWNED BY</w:t>
            </w:r>
          </w:p>
        </w:tc>
        <w:tc>
          <w:tcPr>
            <w:tcW w:w="68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600" w:type="dxa"/>
            <w:vAlign w:val="bottom"/>
            <w:tcBorders>
              <w:right w:val="single" w:sz="8" w:color="auto"/>
            </w:tcBorders>
            <w:gridSpan w:val="3"/>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3"/>
        </w:trPr>
        <w:tc>
          <w:tcPr>
            <w:tcW w:w="480" w:type="dxa"/>
            <w:vAlign w:val="bottom"/>
          </w:tcPr>
          <w:p>
            <w:pPr>
              <w:spacing w:after="0"/>
              <w:rPr>
                <w:sz w:val="10"/>
                <w:szCs w:val="10"/>
                <w:color w:val="auto"/>
              </w:rPr>
            </w:pPr>
          </w:p>
        </w:tc>
        <w:tc>
          <w:tcPr>
            <w:tcW w:w="11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vMerge w:val="restart"/>
          </w:tcPr>
          <w:p>
            <w:pPr>
              <w:jc w:val="right"/>
              <w:ind w:right="372"/>
              <w:spacing w:after="0" w:line="232" w:lineRule="exact"/>
              <w:rPr>
                <w:sz w:val="20"/>
                <w:szCs w:val="20"/>
                <w:color w:val="auto"/>
              </w:rPr>
            </w:pPr>
            <w:r>
              <w:rPr>
                <w:rFonts w:ascii="Arial" w:cs="Arial" w:eastAsia="Arial" w:hAnsi="Arial"/>
                <w:sz w:val="22"/>
                <w:szCs w:val="22"/>
                <w:b w:val="1"/>
                <w:bCs w:val="1"/>
                <w:color w:val="auto"/>
              </w:rPr>
              <w:t>7</w:t>
            </w:r>
          </w:p>
        </w:tc>
        <w:tc>
          <w:tcPr>
            <w:tcW w:w="8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80" w:type="dxa"/>
            <w:vAlign w:val="bottom"/>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8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600" w:type="dxa"/>
            <w:vAlign w:val="bottom"/>
            <w:tcBorders>
              <w:right w:val="single" w:sz="8" w:color="auto"/>
            </w:tcBorders>
            <w:gridSpan w:val="3"/>
          </w:tcPr>
          <w:p>
            <w:pPr>
              <w:jc w:val="center"/>
              <w:ind w:left="21"/>
              <w:spacing w:after="0"/>
              <w:rPr>
                <w:sz w:val="20"/>
                <w:szCs w:val="20"/>
                <w:color w:val="auto"/>
              </w:rPr>
            </w:pPr>
            <w:r>
              <w:rPr>
                <w:rFonts w:ascii="Arial" w:cs="Arial" w:eastAsia="Arial" w:hAnsi="Arial"/>
                <w:sz w:val="18"/>
                <w:szCs w:val="18"/>
                <w:color w:val="auto"/>
                <w:w w:val="93"/>
              </w:rPr>
              <w:t>REPORTING</w:t>
            </w:r>
          </w:p>
        </w:tc>
        <w:tc>
          <w:tcPr>
            <w:tcW w:w="680" w:type="dxa"/>
            <w:vAlign w:val="bottom"/>
            <w:tcBorders>
              <w:right w:val="single" w:sz="8" w:color="auto"/>
            </w:tcBorders>
          </w:tcPr>
          <w:p>
            <w:pPr>
              <w:spacing w:after="0"/>
              <w:rPr>
                <w:sz w:val="20"/>
                <w:szCs w:val="20"/>
                <w:color w:val="auto"/>
              </w:rPr>
            </w:pPr>
          </w:p>
        </w:tc>
        <w:tc>
          <w:tcPr>
            <w:tcW w:w="8960" w:type="dxa"/>
            <w:vAlign w:val="bottom"/>
          </w:tcPr>
          <w:p>
            <w:pPr>
              <w:ind w:left="100"/>
              <w:spacing w:after="0" w:line="241" w:lineRule="exact"/>
              <w:rPr>
                <w:sz w:val="20"/>
                <w:szCs w:val="20"/>
                <w:color w:val="auto"/>
              </w:rPr>
            </w:pPr>
            <w:r>
              <w:rPr>
                <w:rFonts w:ascii="Arial" w:cs="Arial" w:eastAsia="Arial" w:hAnsi="Arial"/>
                <w:sz w:val="17"/>
                <w:szCs w:val="17"/>
                <w:b w:val="1"/>
                <w:bCs w:val="1"/>
                <w:color w:val="auto"/>
              </w:rPr>
              <w:t xml:space="preserve">653,779 </w:t>
            </w:r>
            <w:r>
              <w:rPr>
                <w:rFonts w:ascii="Arial" w:cs="Arial" w:eastAsia="Arial" w:hAnsi="Arial"/>
                <w:sz w:val="27"/>
                <w:szCs w:val="27"/>
                <w:b w:val="1"/>
                <w:bCs w:val="1"/>
                <w:color w:val="auto"/>
                <w:vertAlign w:val="superscript"/>
              </w:rPr>
              <w:t>(1)</w:t>
            </w:r>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1120" w:type="dxa"/>
            <w:vAlign w:val="bottom"/>
            <w:tcBorders>
              <w:right w:val="single" w:sz="8" w:color="auto"/>
            </w:tcBorders>
            <w:gridSpan w:val="2"/>
            <w:vMerge w:val="restart"/>
          </w:tcPr>
          <w:p>
            <w:pPr>
              <w:jc w:val="center"/>
              <w:ind w:right="290"/>
              <w:spacing w:after="0" w:line="175" w:lineRule="exact"/>
              <w:rPr>
                <w:sz w:val="20"/>
                <w:szCs w:val="20"/>
                <w:color w:val="auto"/>
              </w:rPr>
            </w:pPr>
            <w:r>
              <w:rPr>
                <w:rFonts w:ascii="Arial" w:cs="Arial" w:eastAsia="Arial" w:hAnsi="Arial"/>
                <w:sz w:val="18"/>
                <w:szCs w:val="18"/>
                <w:color w:val="auto"/>
                <w:w w:val="92"/>
              </w:rPr>
              <w:t>PERSON</w:t>
            </w:r>
          </w:p>
        </w:tc>
        <w:tc>
          <w:tcPr>
            <w:tcW w:w="680" w:type="dxa"/>
            <w:vAlign w:val="bottom"/>
            <w:tcBorders>
              <w:bottom w:val="single" w:sz="8" w:color="auto"/>
              <w:right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80" w:type="dxa"/>
            <w:vAlign w:val="bottom"/>
          </w:tcPr>
          <w:p>
            <w:pPr>
              <w:spacing w:after="0"/>
              <w:rPr>
                <w:sz w:val="6"/>
                <w:szCs w:val="6"/>
                <w:color w:val="auto"/>
              </w:rPr>
            </w:pPr>
          </w:p>
        </w:tc>
        <w:tc>
          <w:tcPr>
            <w:tcW w:w="112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50"/>
        </w:trPr>
        <w:tc>
          <w:tcPr>
            <w:tcW w:w="480" w:type="dxa"/>
            <w:vAlign w:val="bottom"/>
          </w:tcPr>
          <w:p>
            <w:pPr>
              <w:spacing w:after="0"/>
              <w:rPr>
                <w:sz w:val="13"/>
                <w:szCs w:val="13"/>
                <w:color w:val="auto"/>
              </w:rPr>
            </w:pPr>
          </w:p>
        </w:tc>
        <w:tc>
          <w:tcPr>
            <w:tcW w:w="112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680" w:type="dxa"/>
            <w:vAlign w:val="bottom"/>
            <w:tcBorders>
              <w:right w:val="single" w:sz="8" w:color="auto"/>
            </w:tcBorders>
            <w:vMerge w:val="restart"/>
          </w:tcPr>
          <w:p>
            <w:pPr>
              <w:jc w:val="right"/>
              <w:ind w:right="372"/>
              <w:spacing w:after="0"/>
              <w:rPr>
                <w:sz w:val="20"/>
                <w:szCs w:val="20"/>
                <w:color w:val="auto"/>
              </w:rPr>
            </w:pPr>
            <w:r>
              <w:rPr>
                <w:rFonts w:ascii="Arial" w:cs="Arial" w:eastAsia="Arial" w:hAnsi="Arial"/>
                <w:sz w:val="22"/>
                <w:szCs w:val="22"/>
                <w:b w:val="1"/>
                <w:bCs w:val="1"/>
                <w:color w:val="auto"/>
              </w:rPr>
              <w:t>8</w:t>
            </w: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80" w:type="dxa"/>
            <w:vAlign w:val="bottom"/>
          </w:tcPr>
          <w:p>
            <w:pPr>
              <w:spacing w:after="0"/>
              <w:rPr>
                <w:sz w:val="16"/>
                <w:szCs w:val="16"/>
                <w:color w:val="auto"/>
              </w:rPr>
            </w:pPr>
          </w:p>
        </w:tc>
        <w:tc>
          <w:tcPr>
            <w:tcW w:w="112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89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79"/>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8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26" w:right="339" w:bottom="1440" w:gutter="0" w:footer="0" w:header="0"/>
        </w:sectPr>
      </w:pPr>
    </w:p>
    <w:p>
      <w:pPr>
        <w:spacing w:after="0" w:line="134" w:lineRule="exact"/>
        <w:rPr>
          <w:sz w:val="20"/>
          <w:szCs w:val="20"/>
          <w:color w:val="auto"/>
        </w:rPr>
      </w:pPr>
    </w:p>
    <w:p>
      <w:pPr>
        <w:jc w:val="center"/>
        <w:ind w:left="340"/>
        <w:spacing w:after="0"/>
        <w:rPr>
          <w:sz w:val="20"/>
          <w:szCs w:val="20"/>
          <w:color w:val="auto"/>
        </w:rPr>
      </w:pP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181" w:lineRule="exact"/>
        <w:rPr>
          <w:sz w:val="20"/>
          <w:szCs w:val="20"/>
          <w:color w:val="auto"/>
        </w:rPr>
      </w:pPr>
    </w:p>
    <w:p>
      <w:pPr>
        <w:sectPr>
          <w:pgSz w:w="11900" w:h="16838" w:orient="portrait"/>
          <w:cols w:equalWidth="0" w:num="2">
            <w:col w:w="460" w:space="340"/>
            <w:col w:w="10440"/>
          </w:cols>
          <w:pgMar w:left="320" w:top="1026" w:right="339" w:bottom="1440" w:gutter="0" w:footer="0" w:header="0"/>
          <w:type w:val="continuous"/>
        </w:sectPr>
      </w:pPr>
    </w:p>
    <w:p>
      <w:pPr>
        <w:ind w:left="800"/>
        <w:spacing w:after="0" w:line="216" w:lineRule="auto"/>
        <w:rPr>
          <w:sz w:val="20"/>
          <w:szCs w:val="20"/>
          <w:color w:val="auto"/>
        </w:rPr>
      </w:pPr>
      <w:r>
        <w:rPr>
          <w:rFonts w:ascii="Arial" w:cs="Arial" w:eastAsia="Arial" w:hAnsi="Arial"/>
          <w:sz w:val="18"/>
          <w:szCs w:val="18"/>
          <w:b w:val="1"/>
          <w:bCs w:val="1"/>
          <w:color w:val="auto"/>
        </w:rPr>
        <w:t xml:space="preserve">653,779 </w:t>
      </w:r>
      <w:r>
        <w:rPr>
          <w:rFonts w:ascii="Arial" w:cs="Arial" w:eastAsia="Arial" w:hAnsi="Arial"/>
          <w:sz w:val="29"/>
          <w:szCs w:val="29"/>
          <w:b w:val="1"/>
          <w:bCs w:val="1"/>
          <w:color w:val="auto"/>
          <w:vertAlign w:val="superscript"/>
        </w:rPr>
        <w:t>(1)</w:t>
      </w:r>
    </w:p>
    <w:p>
      <w:pPr>
        <w:ind w:left="800"/>
        <w:spacing w:after="0" w:line="187" w:lineRule="auto"/>
        <w:rPr>
          <w:sz w:val="20"/>
          <w:szCs w:val="20"/>
          <w:color w:val="auto"/>
        </w:rPr>
      </w:pPr>
      <w:r>
        <w:rPr>
          <w:rFonts w:ascii="Arial" w:cs="Arial" w:eastAsia="Arial" w:hAnsi="Arial"/>
          <w:sz w:val="16"/>
          <w:szCs w:val="16"/>
          <w:color w:val="auto"/>
        </w:rPr>
        <w:t>CHECK BOX IF THE AGGREGATE AMOUNT IN ROW (9) EXCLUDES CERTAIN SHARES (See Instructions)</w:t>
      </w:r>
    </w:p>
    <w:p>
      <w:pPr>
        <w:spacing w:after="0" w:line="1" w:lineRule="exact"/>
        <w:rPr>
          <w:sz w:val="20"/>
          <w:szCs w:val="20"/>
          <w:color w:val="auto"/>
        </w:rPr>
      </w:pPr>
    </w:p>
    <w:p>
      <w:pPr>
        <w:ind w:left="300"/>
        <w:spacing w:after="0" w:line="361" w:lineRule="exact"/>
        <w:tabs>
          <w:tab w:leader="none" w:pos="7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1240"/>
          </w:cols>
          <w:pgMar w:left="320" w:top="1026" w:right="339" w:bottom="1440" w:gutter="0" w:footer="0" w:header="0"/>
          <w:type w:val="continuous"/>
        </w:sectPr>
      </w:pPr>
    </w:p>
    <w:p>
      <w:pPr>
        <w:spacing w:after="0" w:line="237"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4.3 % </w:t>
      </w:r>
      <w:r>
        <w:rPr>
          <w:rFonts w:ascii="Arial" w:cs="Arial" w:eastAsia="Arial" w:hAnsi="Arial"/>
          <w:sz w:val="29"/>
          <w:szCs w:val="29"/>
          <w:b w:val="1"/>
          <w:bCs w:val="1"/>
          <w:color w:val="auto"/>
          <w:vertAlign w:val="superscript"/>
        </w:rPr>
        <w:t>(2)</w:t>
      </w:r>
    </w:p>
    <w:p>
      <w:pPr>
        <w:spacing w:after="0" w:line="1" w:lineRule="exact"/>
        <w:rPr>
          <w:sz w:val="20"/>
          <w:szCs w:val="20"/>
          <w:color w:val="auto"/>
        </w:rPr>
      </w:pPr>
    </w:p>
    <w:p>
      <w:pPr>
        <w:sectPr>
          <w:pgSz w:w="11900" w:h="16838" w:orient="portrait"/>
          <w:cols w:equalWidth="0" w:num="2">
            <w:col w:w="500" w:space="300"/>
            <w:col w:w="10440"/>
          </w:cols>
          <w:pgMar w:left="320" w:top="1026" w:right="339" w:bottom="1440" w:gutter="0" w:footer="0" w:header="0"/>
          <w:type w:val="continuous"/>
        </w:sectPr>
      </w:pPr>
    </w:p>
    <w:p>
      <w:pPr>
        <w:spacing w:after="0" w:line="118" w:lineRule="exact"/>
        <w:rPr>
          <w:sz w:val="20"/>
          <w:szCs w:val="20"/>
          <w:color w:val="auto"/>
        </w:rPr>
      </w:pPr>
    </w:p>
    <w:p>
      <w:pPr>
        <w:jc w:val="center"/>
        <w:ind w:left="300"/>
        <w:spacing w:after="0"/>
        <w:rPr>
          <w:sz w:val="20"/>
          <w:szCs w:val="20"/>
          <w:color w:val="auto"/>
        </w:rPr>
      </w:pP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500" w:space="300"/>
            <w:col w:w="10440"/>
          </w:cols>
          <w:pgMar w:left="320" w:top="1026" w:right="339" w:bottom="1440" w:gutter="0" w:footer="0" w:header="0"/>
          <w:type w:val="continuous"/>
        </w:sectPr>
      </w:pPr>
    </w:p>
    <w:p>
      <w:pPr>
        <w:spacing w:after="0" w:line="43" w:lineRule="exact"/>
        <w:rPr>
          <w:sz w:val="20"/>
          <w:szCs w:val="20"/>
          <w:color w:val="auto"/>
        </w:rPr>
      </w:pPr>
    </w:p>
    <w:p>
      <w:pPr>
        <w:ind w:left="500" w:right="160" w:hanging="492"/>
        <w:spacing w:after="0" w:line="194" w:lineRule="auto"/>
        <w:tabs>
          <w:tab w:leader="none" w:pos="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are held of record by Vivo Opportunity Fund, L.P. Vivo Opportunity, LLC is the general partner of Vivo Opportunity Fund, L.P.</w:t>
      </w:r>
    </w:p>
    <w:p>
      <w:pPr>
        <w:spacing w:after="0" w:line="73" w:lineRule="exact"/>
        <w:rPr>
          <w:rFonts w:ascii="Arial" w:cs="Arial" w:eastAsia="Arial" w:hAnsi="Arial"/>
          <w:sz w:val="30"/>
          <w:szCs w:val="30"/>
          <w:color w:val="auto"/>
          <w:vertAlign w:val="superscript"/>
        </w:rPr>
      </w:pPr>
    </w:p>
    <w:p>
      <w:pPr>
        <w:ind w:left="500" w:hanging="492"/>
        <w:spacing w:after="0"/>
        <w:tabs>
          <w:tab w:leader="none" w:pos="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Based on 15,319,075 shares of the Issuer’s Common Stock issued and outstanding as of June 1, 2020.</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Larimar Therapeutics, Inc.</w:t>
      </w:r>
    </w:p>
    <w:p>
      <w:pPr>
        <w:spacing w:after="0" w:line="221"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Three Bala Plaza East. Suite 506</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 Cynwyd, Pennsylvania, 19004</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Schedule 13G is filed jointly by Vivo Capital IX, LLC and Vivo Opportunity, LLC. Vivo Capital IX, LLC and Vivo Opportunity, LLC have entered into a Joint Filing Agreement, a copy of which is filed with this Schedule 13G as Exhibit 99.1, pursuant to which they have agreed to file this Schedule 13G jointly in accordance with the provisions of Rule 13d-1(k) of the Securities Exchange Act of 1934, as amended.</w:t>
      </w:r>
    </w:p>
    <w:p>
      <w:pPr>
        <w:spacing w:after="0" w:line="180"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$0.001 par value</w:t>
      </w:r>
    </w:p>
    <w:p>
      <w:pPr>
        <w:spacing w:after="0" w:line="221" w:lineRule="exact"/>
        <w:rPr>
          <w:sz w:val="20"/>
          <w:szCs w:val="20"/>
          <w:color w:val="auto"/>
        </w:rPr>
      </w:pPr>
    </w:p>
    <w:p>
      <w:pPr>
        <w:ind w:left="1140" w:right="8640" w:hanging="484"/>
        <w:spacing w:after="0" w:line="530" w:lineRule="auto"/>
        <w:tabs>
          <w:tab w:leader="none" w:pos="11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517125100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240.13d-1(b)(l)(ii)(G);</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620" w:right="100" w:hanging="964"/>
        <w:spacing w:after="0" w:line="223" w:lineRule="exact"/>
        <w:tabs>
          <w:tab w:leader="none" w:pos="1134"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96"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ind w:left="1140" w:hanging="484"/>
        <w:spacing w:after="0"/>
        <w:tabs>
          <w:tab w:leader="none" w:pos="11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The 145,883 shares of Common Stock are held of record by Vivo Capital Fund IX, L.P.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653,779 shares of Common Stock are held of record by Vivo Opportunity Fund, L.P. 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w:t>
      </w:r>
    </w:p>
    <w:p>
      <w:pPr>
        <w:spacing w:after="0" w:line="145"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IX, LLC: 1.0%</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Opportunity, LLC: 4.3%</w:t>
      </w:r>
    </w:p>
    <w:p>
      <w:pPr>
        <w:spacing w:after="0" w:line="221"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500" w:right="6880" w:hanging="358"/>
        <w:spacing w:after="0" w:line="563" w:lineRule="auto"/>
        <w:tabs>
          <w:tab w:leader="none" w:pos="14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Sole power to vote or to direct the vote: Vivo Capital IX, LLC: 145,883 shares Vivo Opportunity, LLC: 653,779 shares</w:t>
      </w:r>
    </w:p>
    <w:p>
      <w:pPr>
        <w:spacing w:after="0" w:line="1" w:lineRule="exact"/>
        <w:rPr>
          <w:rFonts w:ascii="Arial" w:cs="Arial" w:eastAsia="Arial" w:hAnsi="Arial"/>
          <w:sz w:val="16"/>
          <w:szCs w:val="16"/>
          <w:color w:val="auto"/>
        </w:rPr>
      </w:pPr>
    </w:p>
    <w:p>
      <w:pPr>
        <w:ind w:left="1500" w:hanging="358"/>
        <w:spacing w:after="0"/>
        <w:tabs>
          <w:tab w:leader="none" w:pos="15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500" w:right="5980" w:hanging="358"/>
        <w:spacing w:after="0" w:line="530" w:lineRule="auto"/>
        <w:tabs>
          <w:tab w:leader="none" w:pos="1491" w:val="left"/>
        </w:tabs>
        <w:numPr>
          <w:ilvl w:val="1"/>
          <w:numId w:val="16"/>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Vivo Capital IX, LLC: 145,883 shares</w:t>
      </w:r>
    </w:p>
    <w:p>
      <w:pPr>
        <w:ind w:left="1500"/>
        <w:spacing w:after="0"/>
        <w:rPr>
          <w:rFonts w:ascii="Arial" w:cs="Arial" w:eastAsia="Arial" w:hAnsi="Arial"/>
          <w:sz w:val="17"/>
          <w:szCs w:val="17"/>
          <w:color w:val="auto"/>
        </w:rPr>
      </w:pPr>
      <w:r>
        <w:rPr>
          <w:rFonts w:ascii="Arial" w:cs="Arial" w:eastAsia="Arial" w:hAnsi="Arial"/>
          <w:sz w:val="18"/>
          <w:szCs w:val="18"/>
          <w:color w:val="auto"/>
        </w:rPr>
        <w:t>Vivo Opportunity, LLC: 653,779 shares</w:t>
      </w:r>
    </w:p>
    <w:p>
      <w:pPr>
        <w:spacing w:after="0" w:line="225" w:lineRule="exact"/>
        <w:rPr>
          <w:rFonts w:ascii="Arial" w:cs="Arial" w:eastAsia="Arial" w:hAnsi="Arial"/>
          <w:sz w:val="17"/>
          <w:szCs w:val="17"/>
          <w:color w:val="auto"/>
        </w:rPr>
      </w:pPr>
    </w:p>
    <w:p>
      <w:pPr>
        <w:ind w:left="1500" w:hanging="358"/>
        <w:spacing w:after="0"/>
        <w:tabs>
          <w:tab w:leader="none" w:pos="15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1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6" w:name="page7"/>
    <w:bookmarkEnd w:id="6"/>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accordance with Rule 13d-1(k) under the Securities Exchange Act of 1934, as amended, the persons named below agree to the joint filing on behalf of each of them of a statement on Schedule 13G (including amendments thereto) with respect to the Common Stock, $0.001 par value of Larimar Therapeutics, Inc., and further agree that this Joint Filing Agreement be included as an Exhibit to such joint filing.</w:t>
      </w:r>
    </w:p>
    <w:p>
      <w:pPr>
        <w:spacing w:after="0" w:line="16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2020-06-11T16:14:44Z</dcterms:created>
  <dcterms:modified xsi:type="dcterms:W3CDTF">2020-06-11T16:14:44Z</dcterms:modified>
</cp:coreProperties>
</file>