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2574d424b5.htm"/>
        <w:bookmarkStart w:id="1" w:name="ksd942574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Registration No. 333-279275</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24,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25345" cy="7740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5345" cy="7740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18,750,000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18,750,000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Deerfield Management Company, L.P., which we refer to as Deerfield Management, our largest stockholder, and/or certain of its affiliates, which we refer to collectively with Deerfield Management as the Deerfield Funds, have agreed to purchase an aggregate of 9,375,000 shares of our common stock offered pursuant to this prospectus supplement in this offering at the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LRMR. On July 29, 2025, the last reported sale price of our common stock was $3.53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2"/>
        </w:rPr>
        <w:t>Investing in our securities involves risks. See the </w:t>
      </w:r>
      <w:hyperlink w:anchor="supprom942574_7">
        <w:r>
          <w:rPr>
            <w:rStyle w:val="InternetLink"/>
            <w:rFonts w:ascii="Times New Roman" w:hAnsi="Times New Roman"/>
            <w:b/>
            <w:sz w:val="22"/>
          </w:rPr>
          <w:t>Risk Factors</w:t>
        </w:r>
      </w:hyperlink>
      <w:r>
        <w:rPr>
          <w:rFonts w:ascii="Times New Roman" w:hAnsi="Times New Roman"/>
          <w:b/>
          <w:sz w:val="22"/>
        </w:rPr>
        <w:t xml:space="preserve"> beginning on page S-7 of this prospectus supplement, as well as in the documents incorporated or deemed to be incorporated by reference into this prospectus supplement and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32"/>
        <w:gridCol w:w="384"/>
        <w:gridCol w:w="154"/>
        <w:gridCol w:w="964"/>
        <w:gridCol w:w="60"/>
        <w:gridCol w:w="384"/>
        <w:gridCol w:w="145"/>
        <w:gridCol w:w="1484"/>
        <w:gridCol w:w="65"/>
      </w:tblGrid>
      <w:tr>
        <w:trPr/>
        <w:tc>
          <w:tcPr>
            <w:tcW w:w="4932"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3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 </w:t>
            </w:r>
            <w:r>
              <w:rPr/>
              <w:t>3.200</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 </w:t>
            </w:r>
            <w:r>
              <w:rPr/>
              <w:t>60,000,000</w:t>
            </w:r>
          </w:p>
        </w:tc>
        <w:tc>
          <w:tcPr>
            <w:tcW w:w="65" w:type="dxa"/>
            <w:tcBorders/>
            <w:shd w:fill="CCEEFF" w:val="clear"/>
            <w:vAlign w:val="bottom"/>
          </w:tcPr>
          <w:p>
            <w:pPr>
              <w:pStyle w:val="TableContents"/>
              <w:bidi w:val="0"/>
              <w:spacing w:before="0" w:after="283"/>
              <w:jc w:val="left"/>
              <w:rPr/>
            </w:pPr>
            <w:r>
              <w:rPr/>
              <w:t> </w:t>
            </w:r>
          </w:p>
        </w:tc>
      </w:tr>
      <w:tr>
        <w:trPr/>
        <w:tc>
          <w:tcPr>
            <w:tcW w:w="493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964" w:type="dxa"/>
            <w:tcBorders/>
            <w:vAlign w:val="bottom"/>
          </w:tcPr>
          <w:p>
            <w:pPr>
              <w:pStyle w:val="TableContents"/>
              <w:bidi w:val="0"/>
              <w:spacing w:before="0" w:after="283"/>
              <w:jc w:val="right"/>
              <w:rPr/>
            </w:pPr>
            <w:r>
              <w:rPr/>
              <w:t>0.192</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3,600,000</w:t>
            </w:r>
          </w:p>
        </w:tc>
        <w:tc>
          <w:tcPr>
            <w:tcW w:w="65" w:type="dxa"/>
            <w:tcBorders/>
            <w:vAlign w:val="bottom"/>
          </w:tcPr>
          <w:p>
            <w:pPr>
              <w:pStyle w:val="TableContents"/>
              <w:bidi w:val="0"/>
              <w:spacing w:before="0" w:after="283"/>
              <w:jc w:val="left"/>
              <w:rPr/>
            </w:pPr>
            <w:r>
              <w:rPr/>
              <w:t> </w:t>
            </w:r>
          </w:p>
        </w:tc>
      </w:tr>
      <w:tr>
        <w:trPr/>
        <w:tc>
          <w:tcPr>
            <w:tcW w:w="4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3.008</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56,400,000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rFonts w:ascii="Times New Roman" w:hAnsi="Times New Roman"/>
                <w:sz w:val="20"/>
              </w:rPr>
              <w:t>See </w:t>
            </w:r>
            <w:hyperlink w:anchor="supprom942574_14">
              <w:r>
                <w:rPr>
                  <w:rStyle w:val="InternetLink"/>
                  <w:rFonts w:ascii="Times New Roman" w:hAnsi="Times New Roman"/>
                  <w:sz w:val="20"/>
                </w:rPr>
                <w:t>Underwriting</w:t>
              </w:r>
            </w:hyperlink>
            <w:r>
              <w:rPr>
                <w:rFonts w:ascii="Times New Roman" w:hAnsi="Times New Roman"/>
                <w:sz w:val="20"/>
              </w:rPr>
              <w:t xml:space="preserve"> beginning on page S-23 of this prospectus supplement for additional information regarding underwriting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an option for a period of up to 30 days from the date of this prospectus supplement to purchase up to an additional 2,812,500 shares of our common stock at the public offering price,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is expected to be made on or about July 31,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2"/>
        </w:rPr>
      </w:pPr>
      <w:r>
        <w:rPr>
          <w:rFonts w:ascii="Times New Roman" w:hAnsi="Times New Roman"/>
          <w:b/>
          <w:i/>
          <w:sz w:val="22"/>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2"/>
        <w:gridCol w:w="102"/>
        <w:gridCol w:w="3368"/>
        <w:gridCol w:w="102"/>
        <w:gridCol w:w="2449"/>
        <w:gridCol w:w="102"/>
        <w:gridCol w:w="1940"/>
      </w:tblGrid>
      <w:tr>
        <w:trPr/>
        <w:tc>
          <w:tcPr>
            <w:tcW w:w="214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142" w:type="dxa"/>
            <w:tcBorders/>
          </w:tcPr>
          <w:p>
            <w:pPr>
              <w:pStyle w:val="TableContents"/>
              <w:bidi w:val="0"/>
              <w:spacing w:before="0" w:after="0"/>
              <w:jc w:val="left"/>
              <w:rPr>
                <w:rFonts w:ascii="Times New Roman" w:hAnsi="Times New Roman"/>
                <w:b/>
                <w:sz w:val="28"/>
              </w:rPr>
            </w:pPr>
            <w:r>
              <w:rPr>
                <w:rFonts w:ascii="Times New Roman" w:hAnsi="Times New Roman"/>
                <w:b/>
                <w:sz w:val="28"/>
              </w:rPr>
              <w:t>Leerink Partners</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right"/>
              <w:rPr>
                <w:b/>
              </w:rPr>
            </w:pPr>
            <w:r>
              <w:rPr>
                <w:b/>
              </w:rPr>
              <w:t>Guggenheim Securities</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right"/>
              <w:rPr>
                <w:b/>
              </w:rPr>
            </w:pPr>
            <w:r>
              <w:rPr>
                <w:b/>
              </w:rPr>
              <w:t>Truist Securities</w:t>
            </w:r>
          </w:p>
        </w:tc>
        <w:tc>
          <w:tcPr>
            <w:tcW w:w="102"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right"/>
              <w:rPr>
                <w:b/>
              </w:rPr>
            </w:pPr>
            <w:r>
              <w:rPr>
                <w:b/>
              </w:rPr>
              <w:t>William Blair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July 29,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31"/>
        <w:gridCol w:w="124"/>
        <w:gridCol w:w="450"/>
      </w:tblGrid>
      <w:tr>
        <w:trPr/>
        <w:tc>
          <w:tcPr>
            <w:tcW w:w="963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9631" w:type="dxa"/>
            <w:tcBorders/>
            <w:vAlign w:val="bottom"/>
          </w:tcPr>
          <w:p>
            <w:pPr>
              <w:pStyle w:val="TableContents"/>
              <w:bidi w:val="0"/>
              <w:spacing w:before="0" w:after="0"/>
              <w:jc w:val="left"/>
              <w:rPr/>
            </w:pPr>
            <w:hyperlink w:anchor="supprom942574_1">
              <w:r>
                <w:rPr>
                  <w:rStyle w:val="InternetLink"/>
                  <w:rFonts w:ascii="Times New Roman" w:hAnsi="Times New Roman"/>
                  <w:sz w:val="20"/>
                </w:rPr>
                <w:t>ABOUT THIS PROSPECTUS SUPPLEMENT</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S-1</w:t>
            </w:r>
          </w:p>
        </w:tc>
      </w:tr>
      <w:tr>
        <w:trPr/>
        <w:tc>
          <w:tcPr>
            <w:tcW w:w="9631" w:type="dxa"/>
            <w:tcBorders/>
            <w:vAlign w:val="bottom"/>
          </w:tcPr>
          <w:p>
            <w:pPr>
              <w:pStyle w:val="TableContents"/>
              <w:bidi w:val="0"/>
              <w:spacing w:before="0" w:after="0"/>
              <w:jc w:val="left"/>
              <w:rPr/>
            </w:pPr>
            <w:hyperlink w:anchor="supprom942574_2">
              <w:r>
                <w:rPr>
                  <w:rStyle w:val="InternetLink"/>
                  <w:rFonts w:ascii="Times New Roman" w:hAnsi="Times New Roman"/>
                  <w:sz w:val="20"/>
                </w:rPr>
                <w:t>PROSPECTUS SUPPLEMENT SUMMARY</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S-2</w:t>
            </w:r>
          </w:p>
        </w:tc>
      </w:tr>
      <w:tr>
        <w:trPr/>
        <w:tc>
          <w:tcPr>
            <w:tcW w:w="9631" w:type="dxa"/>
            <w:tcBorders/>
            <w:vAlign w:val="bottom"/>
          </w:tcPr>
          <w:p>
            <w:pPr>
              <w:pStyle w:val="TableContents"/>
              <w:bidi w:val="0"/>
              <w:spacing w:before="0" w:after="0"/>
              <w:jc w:val="left"/>
              <w:rPr/>
            </w:pPr>
            <w:hyperlink w:anchor="supprom942574_3">
              <w:r>
                <w:rPr>
                  <w:rStyle w:val="InternetLink"/>
                  <w:rFonts w:ascii="Times New Roman" w:hAnsi="Times New Roman"/>
                  <w:sz w:val="20"/>
                </w:rPr>
                <w:t>COMPANY OVERVIEW</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S-2</w:t>
            </w:r>
          </w:p>
        </w:tc>
      </w:tr>
      <w:tr>
        <w:trPr/>
        <w:tc>
          <w:tcPr>
            <w:tcW w:w="9631" w:type="dxa"/>
            <w:tcBorders/>
            <w:vAlign w:val="bottom"/>
          </w:tcPr>
          <w:p>
            <w:pPr>
              <w:pStyle w:val="TableContents"/>
              <w:bidi w:val="0"/>
              <w:spacing w:before="0" w:after="0"/>
              <w:jc w:val="left"/>
              <w:rPr/>
            </w:pPr>
            <w:hyperlink w:anchor="supprom942574_4">
              <w:r>
                <w:rPr>
                  <w:rStyle w:val="InternetLink"/>
                  <w:rFonts w:ascii="Times New Roman" w:hAnsi="Times New Roman"/>
                  <w:sz w:val="20"/>
                </w:rPr>
                <w:t>RECENT DEVELOPMENTS</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S-3</w:t>
            </w:r>
          </w:p>
        </w:tc>
      </w:tr>
      <w:tr>
        <w:trPr/>
        <w:tc>
          <w:tcPr>
            <w:tcW w:w="9631" w:type="dxa"/>
            <w:tcBorders/>
            <w:vAlign w:val="bottom"/>
          </w:tcPr>
          <w:p>
            <w:pPr>
              <w:pStyle w:val="TableContents"/>
              <w:bidi w:val="0"/>
              <w:spacing w:before="0" w:after="0"/>
              <w:jc w:val="left"/>
              <w:rPr/>
            </w:pPr>
            <w:hyperlink w:anchor="supprom942574_5">
              <w:r>
                <w:rPr>
                  <w:rStyle w:val="InternetLink"/>
                  <w:rFonts w:ascii="Times New Roman" w:hAnsi="Times New Roman"/>
                  <w:sz w:val="20"/>
                </w:rPr>
                <w:t>COMPANY INFORMATION</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S-4</w:t>
            </w:r>
          </w:p>
        </w:tc>
      </w:tr>
      <w:tr>
        <w:trPr/>
        <w:tc>
          <w:tcPr>
            <w:tcW w:w="9631" w:type="dxa"/>
            <w:tcBorders/>
            <w:vAlign w:val="bottom"/>
          </w:tcPr>
          <w:p>
            <w:pPr>
              <w:pStyle w:val="TableContents"/>
              <w:bidi w:val="0"/>
              <w:spacing w:before="0" w:after="0"/>
              <w:jc w:val="left"/>
              <w:rPr/>
            </w:pPr>
            <w:hyperlink w:anchor="supprom942574_6">
              <w:r>
                <w:rPr>
                  <w:rStyle w:val="InternetLink"/>
                  <w:rFonts w:ascii="Times New Roman" w:hAnsi="Times New Roman"/>
                  <w:sz w:val="20"/>
                </w:rPr>
                <w:t>THE OFFERING</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S-5</w:t>
            </w:r>
          </w:p>
        </w:tc>
      </w:tr>
      <w:tr>
        <w:trPr/>
        <w:tc>
          <w:tcPr>
            <w:tcW w:w="9631" w:type="dxa"/>
            <w:tcBorders/>
            <w:vAlign w:val="bottom"/>
          </w:tcPr>
          <w:p>
            <w:pPr>
              <w:pStyle w:val="TableContents"/>
              <w:bidi w:val="0"/>
              <w:spacing w:before="0" w:after="0"/>
              <w:jc w:val="left"/>
              <w:rPr/>
            </w:pPr>
            <w:hyperlink w:anchor="supprom942574_7">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S-7</w:t>
            </w:r>
          </w:p>
        </w:tc>
      </w:tr>
      <w:tr>
        <w:trPr/>
        <w:tc>
          <w:tcPr>
            <w:tcW w:w="9631" w:type="dxa"/>
            <w:tcBorders/>
            <w:vAlign w:val="bottom"/>
          </w:tcPr>
          <w:p>
            <w:pPr>
              <w:pStyle w:val="TableContents"/>
              <w:bidi w:val="0"/>
              <w:spacing w:before="0" w:after="0"/>
              <w:jc w:val="left"/>
              <w:rPr/>
            </w:pPr>
            <w:hyperlink w:anchor="supprom942574_8">
              <w:r>
                <w:rPr>
                  <w:rStyle w:val="InternetLink"/>
                  <w:rFonts w:ascii="Times New Roman" w:hAnsi="Times New Roman"/>
                  <w:sz w:val="20"/>
                </w:rPr>
                <w:t>CAUTIONARY NOTE REGARDING FORWARD-LOOKING STATEMENTS</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S-11</w:t>
            </w:r>
          </w:p>
        </w:tc>
      </w:tr>
      <w:tr>
        <w:trPr/>
        <w:tc>
          <w:tcPr>
            <w:tcW w:w="9631" w:type="dxa"/>
            <w:tcBorders/>
            <w:vAlign w:val="bottom"/>
          </w:tcPr>
          <w:p>
            <w:pPr>
              <w:pStyle w:val="TableContents"/>
              <w:bidi w:val="0"/>
              <w:spacing w:before="0" w:after="0"/>
              <w:jc w:val="left"/>
              <w:rPr/>
            </w:pPr>
            <w:hyperlink w:anchor="supprom942574_9">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S-14</w:t>
            </w:r>
          </w:p>
        </w:tc>
      </w:tr>
      <w:tr>
        <w:trPr/>
        <w:tc>
          <w:tcPr>
            <w:tcW w:w="9631" w:type="dxa"/>
            <w:tcBorders/>
            <w:vAlign w:val="bottom"/>
          </w:tcPr>
          <w:p>
            <w:pPr>
              <w:pStyle w:val="TableContents"/>
              <w:bidi w:val="0"/>
              <w:spacing w:before="0" w:after="0"/>
              <w:jc w:val="left"/>
              <w:rPr/>
            </w:pPr>
            <w:hyperlink w:anchor="supprom942574_10">
              <w:r>
                <w:rPr>
                  <w:rStyle w:val="InternetLink"/>
                  <w:rFonts w:ascii="Times New Roman" w:hAnsi="Times New Roman"/>
                  <w:sz w:val="20"/>
                </w:rPr>
                <w:t>DILUTION</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S-15</w:t>
            </w:r>
          </w:p>
        </w:tc>
      </w:tr>
      <w:tr>
        <w:trPr/>
        <w:tc>
          <w:tcPr>
            <w:tcW w:w="9631" w:type="dxa"/>
            <w:tcBorders/>
            <w:vAlign w:val="bottom"/>
          </w:tcPr>
          <w:p>
            <w:pPr>
              <w:pStyle w:val="TableContents"/>
              <w:bidi w:val="0"/>
              <w:spacing w:before="0" w:after="0"/>
              <w:jc w:val="left"/>
              <w:rPr/>
            </w:pPr>
            <w:hyperlink w:anchor="supprom942574_12">
              <w:r>
                <w:rPr>
                  <w:rStyle w:val="InternetLink"/>
                  <w:rFonts w:ascii="Times New Roman" w:hAnsi="Times New Roman"/>
                  <w:sz w:val="20"/>
                </w:rPr>
                <w:t>DIVIDEND POLICY</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S-16</w:t>
            </w:r>
          </w:p>
        </w:tc>
      </w:tr>
      <w:tr>
        <w:trPr/>
        <w:tc>
          <w:tcPr>
            <w:tcW w:w="9631" w:type="dxa"/>
            <w:tcBorders/>
            <w:vAlign w:val="bottom"/>
          </w:tcPr>
          <w:p>
            <w:pPr>
              <w:pStyle w:val="TableContents"/>
              <w:bidi w:val="0"/>
              <w:spacing w:before="0" w:after="0"/>
              <w:jc w:val="left"/>
              <w:rPr/>
            </w:pPr>
            <w:hyperlink w:anchor="supprom942574_13">
              <w:r>
                <w:rPr>
                  <w:rStyle w:val="InternetLink"/>
                  <w:rFonts w:ascii="Times New Roman" w:hAnsi="Times New Roman"/>
                  <w:sz w:val="20"/>
                </w:rPr>
                <w:t>MATERIAL U.S. FEDERAL INCOME TAX CONSEQUENCES TO U.S. HOLDERS AND NON-U.S. HOLDERS</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S-17</w:t>
            </w:r>
          </w:p>
        </w:tc>
      </w:tr>
      <w:tr>
        <w:trPr/>
        <w:tc>
          <w:tcPr>
            <w:tcW w:w="9631" w:type="dxa"/>
            <w:tcBorders/>
            <w:vAlign w:val="bottom"/>
          </w:tcPr>
          <w:p>
            <w:pPr>
              <w:pStyle w:val="TableContents"/>
              <w:bidi w:val="0"/>
              <w:spacing w:before="0" w:after="0"/>
              <w:jc w:val="left"/>
              <w:rPr/>
            </w:pPr>
            <w:hyperlink w:anchor="supprom942574_14">
              <w:r>
                <w:rPr>
                  <w:rStyle w:val="InternetLink"/>
                  <w:rFonts w:ascii="Times New Roman" w:hAnsi="Times New Roman"/>
                  <w:sz w:val="20"/>
                </w:rPr>
                <w:t>UNDERWRITING</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S-23</w:t>
            </w:r>
          </w:p>
        </w:tc>
      </w:tr>
      <w:tr>
        <w:trPr/>
        <w:tc>
          <w:tcPr>
            <w:tcW w:w="9631" w:type="dxa"/>
            <w:tcBorders/>
            <w:vAlign w:val="bottom"/>
          </w:tcPr>
          <w:p>
            <w:pPr>
              <w:pStyle w:val="TableContents"/>
              <w:bidi w:val="0"/>
              <w:spacing w:before="0" w:after="0"/>
              <w:jc w:val="left"/>
              <w:rPr/>
            </w:pPr>
            <w:hyperlink w:anchor="supprom942574_15">
              <w:r>
                <w:rPr>
                  <w:rStyle w:val="InternetLink"/>
                  <w:rFonts w:ascii="Times New Roman" w:hAnsi="Times New Roman"/>
                  <w:sz w:val="20"/>
                </w:rPr>
                <w:t>LEGAL MATTERS</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S-29</w:t>
            </w:r>
          </w:p>
        </w:tc>
      </w:tr>
      <w:tr>
        <w:trPr/>
        <w:tc>
          <w:tcPr>
            <w:tcW w:w="9631" w:type="dxa"/>
            <w:tcBorders/>
            <w:vAlign w:val="bottom"/>
          </w:tcPr>
          <w:p>
            <w:pPr>
              <w:pStyle w:val="TableContents"/>
              <w:bidi w:val="0"/>
              <w:spacing w:before="0" w:after="0"/>
              <w:jc w:val="left"/>
              <w:rPr/>
            </w:pPr>
            <w:hyperlink w:anchor="supprom942574_16">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S-29</w:t>
            </w:r>
          </w:p>
        </w:tc>
      </w:tr>
      <w:tr>
        <w:trPr/>
        <w:tc>
          <w:tcPr>
            <w:tcW w:w="9631" w:type="dxa"/>
            <w:tcBorders/>
            <w:vAlign w:val="bottom"/>
          </w:tcPr>
          <w:p>
            <w:pPr>
              <w:pStyle w:val="TableContents"/>
              <w:bidi w:val="0"/>
              <w:spacing w:before="0" w:after="0"/>
              <w:jc w:val="left"/>
              <w:rPr/>
            </w:pPr>
            <w:hyperlink w:anchor="supprom942574_17">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S-29</w:t>
            </w:r>
          </w:p>
        </w:tc>
      </w:tr>
      <w:tr>
        <w:trPr/>
        <w:tc>
          <w:tcPr>
            <w:tcW w:w="9631" w:type="dxa"/>
            <w:tcBorders/>
            <w:vAlign w:val="bottom"/>
          </w:tcPr>
          <w:p>
            <w:pPr>
              <w:pStyle w:val="TableContents"/>
              <w:bidi w:val="0"/>
              <w:spacing w:before="0" w:after="0"/>
              <w:jc w:val="left"/>
              <w:rPr/>
            </w:pPr>
            <w:hyperlink w:anchor="supprom942574_18">
              <w:r>
                <w:rPr>
                  <w:rStyle w:val="InternetLink"/>
                  <w:rFonts w:ascii="Times New Roman" w:hAnsi="Times New Roman"/>
                  <w:sz w:val="20"/>
                </w:rPr>
                <w:t>INCORPORATION OF CERTAIN INFORMATION BY REFERENCE</w:t>
              </w:r>
            </w:hyperlink>
          </w:p>
        </w:tc>
        <w:tc>
          <w:tcPr>
            <w:tcW w:w="124"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S-29</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a94257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3">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4">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5">
              <w:r>
                <w:rPr>
                  <w:rStyle w:val="InternetLink"/>
                  <w:rFonts w:ascii="Times New Roman" w:hAnsi="Times New Roman"/>
                  <w:sz w:val="20"/>
                </w:rPr>
                <w:t>ABOUT LARIMAR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12">
              <w:r>
                <w:rPr>
                  <w:rStyle w:val="InternetLink"/>
                  <w:rFonts w:ascii="Times New Roman" w:hAnsi="Times New Roman"/>
                  <w:sz w:val="20"/>
                </w:rPr>
                <w:t>DESCRIPTION OF OUR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13">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a942574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942574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Larimar, we, our, us and the Company in this prospectus supplement, we mean Larimar Therapeutics, Inc., and its subsidiary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Larimar® and our logo are some of our trademarks used in this prospectus supplement. This prospectus supplement may also include trademarks, tradenames, and service marks that are the property of other organizations. Solely for convenience, our trademarks and tradenames referred to in this prospectus supplement and the accompanying prospectus appear without the ® and  symbols,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942574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pPr>
      <w:r>
        <w:rPr>
          <w:rFonts w:ascii="Times New Roman" w:hAnsi="Times New Roman"/>
          <w:i/>
          <w:sz w:val="20"/>
          <w:bdr w:val="single" w:sz="8" w:space="1" w:color="000000"/>
        </w:rPr>
        <w:t>This summary description about us, our business and this offering highlights selected information contained elsewhere in this prospectus supplement and the accompanying prospectus or incorporated in this prospectus supplement and the accompanying prospectus by reference. This summary does not contain all of the information you should consider before deciding to invest in our securities. You should carefully read this entire prospectus supplement, the accompanying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w:t>
      </w:r>
      <w:hyperlink w:anchor="supptx942574_7">
        <w:r>
          <w:rPr>
            <w:rStyle w:val="InternetLink"/>
            <w:rFonts w:ascii="Times New Roman" w:hAnsi="Times New Roman"/>
            <w:i/>
            <w:sz w:val="20"/>
            <w:bdr w:val="single" w:sz="8" w:space="1" w:color="000000"/>
          </w:rPr>
          <w:t>Risk Factors</w:t>
        </w:r>
      </w:hyperlink>
      <w:r>
        <w:rPr>
          <w:rFonts w:ascii="Times New Roman" w:hAnsi="Times New Roman"/>
          <w:i/>
          <w:sz w:val="20"/>
          <w:bdr w:val="single" w:sz="8" w:space="1" w:color="000000"/>
        </w:rPr>
        <w:t xml:space="preserve"> on page S-7 and in the documents incorporated by reference into this prospectus supplement and the accompanying prospectus. </w:t>
      </w:r>
    </w:p>
    <w:p>
      <w:pPr>
        <w:pStyle w:val="TextBody"/>
        <w:bidi w:val="0"/>
        <w:spacing w:before="480" w:after="0"/>
        <w:jc w:val="center"/>
        <w:rPr>
          <w:rFonts w:ascii="Times New Roman" w:hAnsi="Times New Roman"/>
          <w:b/>
          <w:sz w:val="20"/>
          <w:bdr w:val="single" w:sz="8" w:space="1" w:color="000000"/>
        </w:rPr>
      </w:pPr>
      <w:bookmarkStart w:id="5" w:name="supprom942574_3"/>
      <w:bookmarkEnd w:id="5"/>
      <w:r>
        <w:rPr>
          <w:rFonts w:ascii="Times New Roman" w:hAnsi="Times New Roman"/>
          <w:b/>
          <w:sz w:val="20"/>
          <w:bdr w:val="single" w:sz="8" w:space="1" w:color="000000"/>
        </w:rPr>
        <w:t xml:space="preserve">COMPANY 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or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completed two Phase 1 clinical trials and a Phase 2 dose exploration trial in adult patients with FA, completed dosing in a PK run-in study in adolescent patients with FA, and have an ongoing Phase 2 open label extension, or OLE, trial in patients with FA.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ongoing OLE study is evaluating the safety and tolerability, pharmacokinetics, or PK, and FXN levels in peripheral tissues as well as other exploratory pharmacodynamic markers (lipid profiles and gene expression data) following long-term subcutaneous administration of nomlabofusp. In December 2024, we reported positive initial data from the ongoing OLE study evaluating daily subcutaneous injections of 25 mg of nomlabofusp self-administered or administered by a caregiver. Following this,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Active study participants are currently receiving the 50 mg dose of nomlabofusp. We plan to provide an update on OLE data on at least 30 to 40 study participants, some of whom have been receiving nomlabofusp for more than a year, in September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2025, we initiated dosing of adolescents (12-17 years old) in a PK run-in study for pediatric patients with FA. Study participants in the PK run-in study were randomized 2:1 to receive either nomlabofusp at a weight-base dose expected to match the PK of adults receiving the 50 mg dose, or placebo, daily for seven days. Dosing of this adolescent PK run-in study was completed in March 2025. The data from this cohort is expected to be presented in the nomlabofusp program update in September 2025. We are currently screening and enrolling adolescents in the OLE study.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2025, the FDA provided safety database recommendations for a Biologics License Application, or BLA, seeking accelerated approval, which included evaluating safety in at least 30 participants with continuous study drug exposure for 6-months and a subset of at least 10 of those participants with continuous study drug exposure for 1-year, with the large majority of data coming from participants receiving the 50 mg dose. In a prior communication received in March, FDA stated that it is open to the use of skin FXN concentrations as a reasonably likely surrogate endpoint and acknowledged the submitted data appear to support a relationship between increased skin FXN and relevant tissues such as the heart, dorsal root ganglion, and skeletal muscle. Acceptability of increases in skin FXN for accelerated approval will be decided during future BLA review. We plan to submit our BLA seeking accelerated approval in the second quarter of 2026 to allow for inclusion of the recommended safety data for adults and children.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FDAs Center for Drug Evaluation and Research selected nomlabofusp as one of a few programs for participation in the Support for Clinical Trials Advancing Rare Disease Therapeutics, or START, pilot program. The objective of the program is to accelerate the development of drugs for rare diseases that lead to significant disability or death by facilitating frequent advice and regular communication with the FDA staff to expedite the development of biologics and drugs.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received access to the Medicines and Healthcare Regulatory Agency Innovative Licensing and Access Pathway, or ILAP, for the treatment of adults and children with FA.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or the EU, and access to the PRIority MEdicines scheme in the EU.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 </w:t>
      </w:r>
    </w:p>
    <w:p>
      <w:pPr>
        <w:pStyle w:val="TextBody"/>
        <w:bidi w:val="0"/>
        <w:spacing w:before="480" w:after="0"/>
        <w:jc w:val="center"/>
        <w:rPr>
          <w:rFonts w:ascii="Times New Roman" w:hAnsi="Times New Roman"/>
          <w:b/>
          <w:sz w:val="20"/>
          <w:bdr w:val="single" w:sz="8" w:space="1" w:color="000000"/>
        </w:rPr>
      </w:pPr>
      <w:bookmarkStart w:id="6" w:name="supprom942574_4"/>
      <w:bookmarkEnd w:id="6"/>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Certain Unaudited Preliminary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estimate that our cash, cash equivalents and marketable securities were approximately $138.5 million as of June 30, 2025. This amount is unaudited and preliminary and is subject to completion of financial closing procedures, including the completion of managements reviews. As a result, this amount reflects our preliminary estimate with respect to such information, based on information currently available for management, and may vary from our actual financial position as of June 30, 2025. Further, this preliminary estimate is not a comprehensive statement or estimate of our financial data or financial condition as of June 30, 2025. The unaudited preliminary financial data included in this prospectus supplement have been prepared by, and are the responsibility of, our management team. PricewaterhouseCoopers LLP, our independent registered public accounting firm, has not audited, reviewed, examined, compiled, nor applied agreed-upon procedures with respect to the unaudited preliminary financial data. Accordingly, PricewaterhouseCoopers LLP does not express an opinion or any other form of assurance with respect thereto. It is possible that we may identify items that require us to make adjustments to the financial information set forth above. This preliminary estimate should not be viewed as a substitute for financial statements prepared in accordance with generally accepted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principles in the United States and it is not necessarily indicative of the balance to be achieved in any future period. Additional information and disclosure would be required for a more complete understanding of our financial position and results of operations as of June 30, 2025. Accordingly, you should not place undue reliance on this preliminary estimate. This preliminary estimate should be read together with the sections titled Risk Factors and Cautionary Note Regarding Forward-looking Statements, and under similar headings included in this prospectus supplement, the accompanying prospectus and in the documents incorporated by reference into this prospectus supplement and in the accompanying prospectus as well as our financial statements, related notes and other financial information incorporated by reference in this prospectus supplement and in the accompanying prospectus. We expect to complete our financial statements for the quarter ended June 30, 2025 subsequent to the completion of this offering, and consequently such financial statements will not be available to you prior to investing in this offering. </w:t>
      </w:r>
    </w:p>
    <w:p>
      <w:pPr>
        <w:pStyle w:val="TextBody"/>
        <w:bidi w:val="0"/>
        <w:spacing w:before="480" w:after="0"/>
        <w:jc w:val="center"/>
        <w:rPr>
          <w:rFonts w:ascii="Times New Roman" w:hAnsi="Times New Roman"/>
          <w:b/>
          <w:sz w:val="20"/>
          <w:bdr w:val="single" w:sz="8" w:space="1" w:color="000000"/>
        </w:rPr>
      </w:pPr>
      <w:bookmarkStart w:id="7" w:name="supprom942574_5"/>
      <w:bookmarkEnd w:id="7"/>
      <w:r>
        <w:rPr>
          <w:rFonts w:ascii="Times New Roman" w:hAnsi="Times New Roman"/>
          <w:b/>
          <w:sz w:val="20"/>
          <w:bdr w:val="single" w:sz="8" w:space="1" w:color="000000"/>
        </w:rPr>
        <w:t xml:space="preserve">COMPANY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hAnsi="Times New Roman"/>
          <w:i/>
          <w:sz w:val="20"/>
          <w:bdr w:val="single" w:sz="8" w:space="1" w:color="000000"/>
        </w:rPr>
        <w:t>www.larimartx.com</w:t>
      </w:r>
      <w:r>
        <w:rPr>
          <w:rFonts w:ascii="Times New Roman" w:hAnsi="Times New Roman"/>
          <w:sz w:val="20"/>
          <w:bdr w:val="single" w:sz="8" w:space="1" w:color="000000"/>
        </w:rPr>
        <w:t xml:space="preserve">. The information on, or that can be accessed through, our website is not part of this prospectus supplement or the accompanying prospectus and is not incorporated by reference herein. We have included our website address as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prom942574_6"/>
      <w:bookmarkEnd w:id="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7" w:type="dxa"/>
            <w:tcBorders/>
          </w:tcPr>
          <w:p>
            <w:pPr>
              <w:pStyle w:val="TableContents"/>
              <w:bidi w:val="0"/>
              <w:spacing w:before="0" w:after="283"/>
              <w:jc w:val="left"/>
              <w:rPr/>
            </w:pPr>
            <w:r>
              <w:rPr/>
              <w:t xml:space="preserve">18,750,000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Underwriters option to purchase additional shares of our common stock from us </w:t>
            </w:r>
          </w:p>
        </w:tc>
        <w:tc>
          <w:tcPr>
            <w:tcW w:w="6329" w:type="dxa"/>
            <w:tcBorders/>
          </w:tcPr>
          <w:p>
            <w:pPr>
              <w:pStyle w:val="TableContents"/>
              <w:bidi w:val="0"/>
              <w:spacing w:before="0" w:after="283"/>
              <w:jc w:val="left"/>
              <w:rPr/>
            </w:pPr>
            <w:r>
              <w:rPr/>
              <w:t xml:space="preserve">We have granted the underwriters an option for a period of up to 30 days from the date of this prospectus supplement to purchase up to an additional 2,812,500 shares of our common stock at the public offering price, less the underwriting discount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immediately following this offering </w:t>
            </w:r>
          </w:p>
        </w:tc>
        <w:tc>
          <w:tcPr>
            <w:tcW w:w="6327" w:type="dxa"/>
            <w:tcBorders/>
          </w:tcPr>
          <w:p>
            <w:pPr>
              <w:pStyle w:val="TableContents"/>
              <w:bidi w:val="0"/>
              <w:spacing w:before="0" w:after="283"/>
              <w:jc w:val="left"/>
              <w:rPr/>
            </w:pPr>
            <w:r>
              <w:rPr/>
              <w:t xml:space="preserve">82,777,892 shares of our common stock (or 85,590,392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intend to use the net proceeds from this offering, together with our existing cash, cash equivalents and marketable securities, to support the development of nomlabofusp and other pipeline candidates, and for working capital and general corporate purposes, including research and development expenses and pre-commercialization expenses. See Use of Proceeds for a more detailed discussion of our expected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Indications of Interest </w:t>
            </w:r>
          </w:p>
        </w:tc>
        <w:tc>
          <w:tcPr>
            <w:tcW w:w="6327" w:type="dxa"/>
            <w:tcBorders/>
          </w:tcPr>
          <w:p>
            <w:pPr>
              <w:pStyle w:val="TableContents"/>
              <w:bidi w:val="0"/>
              <w:spacing w:before="0" w:after="283"/>
              <w:jc w:val="left"/>
              <w:rPr/>
            </w:pPr>
            <w:r>
              <w:rPr/>
              <w:t xml:space="preserve">Deerfield Management, our largest stockholder, and/or certain of its affiliates have agreed to purchase an aggregate of 9,375,000 shares of our common stock offered pursuant to this prospectus supplement in this offering at the public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Investing in our securities involves a high degree of risk. See </w:t>
            </w:r>
            <w:hyperlink w:anchor="supptx942574_7">
              <w:r>
                <w:rPr>
                  <w:rStyle w:val="InternetLink"/>
                </w:rPr>
                <w:t>Risk Factors</w:t>
              </w:r>
            </w:hyperlink>
            <w:r>
              <w:rPr/>
              <w:t xml:space="preserve"> beginning on page S-7 of this prospectus supplement and page 8 of the accompanying prospectus and other information included in this prospectus supplement, the accompanying prospectus and the documents incorporated by reference in this prospectus supplement and the accompanying prospectus for a discussion of factors you should carefully consider before deciding to invest in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Market symbol </w:t>
            </w:r>
          </w:p>
        </w:tc>
        <w:tc>
          <w:tcPr>
            <w:tcW w:w="6330" w:type="dxa"/>
            <w:tcBorders/>
          </w:tcPr>
          <w:p>
            <w:pPr>
              <w:pStyle w:val="TableContents"/>
              <w:bidi w:val="0"/>
              <w:spacing w:before="0" w:after="283"/>
              <w:jc w:val="left"/>
              <w:rPr/>
            </w:pPr>
            <w:r>
              <w:rPr/>
              <w:t xml:space="preserve">Our common stock is listed on The Nasdaq Global Market under the symbol LRMR.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after this offering is based on 64,027,892 shares of our common stock outstanding as of March 31, 2025,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8,541,489 shares of our common stock issuable upon the exercise of stock options outstanding as of March 31, 2025 at a weighted-average exercise price of $6.71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256,700 shares of our common stock issuable upon the exercise of stock options that were granted after March 31, 2025 at a weighted-average exercise price of $2.26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1,023,061 shares of our common stock issuable upon the vesting and settlement of restricted stock units outstanding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537,542 shares of our common stock available for future issuance as of March 31, 2025 under our 2020 Equity Incentive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2,552,603 shares of our common stock added to shares available for future issuance on January 1, 2025 as permitted under our 2020 Equity Incentive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 to $100.0 million of shares of our common stock may be sold from time to time under the sales agreement, or the Sales Agreement, dated May 9, 2024, for our at-the-market program, or the ATM Program, with Guggenheim Securities, LLC, as sales agent. As of the date of this prospectus supplement, no sales have been made under the ATM Program.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no exercise of the outstanding options described above and no exercise by the underwriters of their option to purchase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942574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securities involves a high degree of risk. Our business, financial condition and results of operations could be materially and adversely affected by any of these risks. If any of these risks occur, the value of our common stock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 </w:t>
      </w:r>
    </w:p>
    <w:p>
      <w:pPr>
        <w:pStyle w:val="TextBody"/>
        <w:bidi w:val="0"/>
        <w:spacing w:before="360" w:after="0"/>
        <w:jc w:val="left"/>
        <w:rPr>
          <w:rFonts w:ascii="Times New Roman" w:hAnsi="Times New Roman"/>
          <w:sz w:val="20"/>
        </w:rPr>
      </w:pPr>
      <w:r>
        <w:rPr>
          <w:rFonts w:ascii="Times New Roman" w:hAnsi="Times New Roman"/>
          <w:b/>
          <w:sz w:val="20"/>
        </w:rPr>
        <w:t>Risks Related to Our Financial Position and Need for Additional Capital</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history of losses and expect to incur substantial future losses. If the offering is not completed or if we do not raise sufficient funds by other means, management may conclude that there is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2025, we estimate that we had cash, cash equivalents and marketable securities of $138.5 million. We have incurred significant net losses since inception and expect to incur substantial losses in future periods. Our ability to continue as a going concern is dependent on our ability to generate sufficient cash flows from operations and/or obtain additional capital through financings, equity, debt financings, partnerships, collaborations, other sources, or a combination thereof. Based upon our current operating plan, our current cash, cash equivalents and marketable securities will be sufficient to fund our operations into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If this offering is not completed or if we do not subsequently raise sufficient funds through other means, then management may conclude that there is substantial doubt about our ability to continue as a going concern for the twelve months following the filing of our Quarterly Report on Form 10-Q for the period ended June 30, 2025. There is no assurance that we will be successful in obtaining sufficient funding on acceptable terms, if at all. If we are unable to obtain sufficient funding when needed and/or on acceptable terms, we may be required to significantly curtail, delay or discontinue our research and development programs, the manufacturing of clinical and commercial supplies, product portfolio expansion or pre commercialization efforts, which could adversely affect our business prospects, or we may be unable to continue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over the use of proceeds from this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with respect to the use of proceeds of this offering, including for any of the purposes described in the section of this prospectus supplement entitled Use of Proceeds. You will have limited information concerning our managements specific intentions regarding the use of the proceeds of this offering and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from their currently intended use. The results and effectiveness of the use of proceeds are uncertain, and we could spend the proceeds in ways that you do not agree with or that do not improve our results of operations or enhance the value of our common stock. Pending their use, we may invest the net proceeds from this offering in short-term, investment-grade, interest-bearing securities. These investments may not yield a favorable return to our stockholders. Our failure to apply these funds effectively could harm our business, delay the development of our pipeline product candidates and cause the price of our common stock to decline. See Use of Proceeds for a more detailed discussion of our expected use of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experience immediate and substantial dilution in the net tangible book value per share of the common stock purchased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being offered is substantially higher than the net tangible book value per share of our common stock, you will suffer immediate and substantial dilution in the net tangible book value of the common stock you purchase in this offering. The exercise of outstanding stock options and vesting and settlement of restricted stock units may result in further dilution of your investment. See Dilution for a more detailed discussion of the dilution you will incur if you purchase shares of our common stock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Issuances of shares of our common stock or securities convertible into or exercisable for shares of our common stock following this offering, as well as the exercise of existing options, will dilute your ownership interests and may adversely affect the future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at prices and in a manner we determine from time to time, which may cause your ownership interest to be diluted. For example, on May 9, 2024, we entered into the Sales Agreement with Guggenheim Securities, LLC pursuant to which we may sell from time to time, at our option, up to $100.0 million of shares of our common stock through Guggenheim Securities, LLC, as our agent. As of March 31, 2025, we have not sold any shares of our common stock under the ATM Program. In addition, as of March 31, 2025, there were options to purchase 8,541,489 shares of our common stock outstanding at a weighted average exercise price of $6.71. If these securities are exercised, you may incur further dilution. Moreover, to the extent that we issue additional shares of our common stock, options to purchase, or securities convertible into or exchangeable for, shares of our common stock in the future and those options or other securities are exercised, converted or exchanged, stockholders may experience further dilution.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substantial number of shares may be sold in the market following this offering, which may depress the market price for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following this offering, or the perception by the market that those sales could occur, could cause the market price of our common stock to decline, including pursuant to the ATM Program. We are unable to predict the effect that such sales may have on the prevailing market price of our common stock. Immediately after this offering, we will have outstanding 82,777,892 shares of our common stock (or 85,590,392 shares if the underwriters exercise their option to purchase additional shares of our common stock in full), based on the number of shares of our common stock outstanding as of March 31, 2025. This includes the shares of our common stock that we are selling in this offering, which may be resold in the public market immediately without restriction, unless purchased by our directors, officers or affiliates. Approximately 31,383,272 shares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amended, or the Securities Act. In addition, we have also registered the shares of our common stock that we may issue under our equity incentive plans. As a result, these shares can be freely sold in the public market upon issuance, subject to restrictions under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and trading volume of our stock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approvals for product candidates, and delays or failures to obtain such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and delays in, current, and any future, non-clinical or clinical trials of nomlabofusp or any of our future product candidates, including any potential delays related to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nomlabofusp or any of our future product candidates, if approved for marketing and commercialization, to achieve commercial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develop, acquire or in-license additional product candidates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key licensing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issues in manufacturing our approved products, if any,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of material developments in, or conclusion of, disputes or litigation to enforce or defend any of our intellectual property rights or defend against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commercial partners or competitors of new commercial products, clinical progress (or the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our markets, including with respect to other products and potential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competing with our potential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sale or proposed sale, or the sale by our significant stockholders, of our shares or other securities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potentially affecting our research and development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conditions, including volatility in the credit and financial markets as well as inflationary pressures and changes in trade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terrorist acts, acts of war or periods of widespread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including earthquakes, and other calamities;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 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our financial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and in Part I, Item 1A of our Annual Report on Form 10-K 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capital markets in general have experienced substantial volatility that has often been unrelated to the operating performance of individual companies or the biotechnology sector. These broad market fluctuations may also adversely affect the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currently intend to pay dividends on our common stock, and, consequently, investors ability to achieve a return on their investment will depend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intend to pay any cash dividends on our common stock for the foreseeable future.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942574_8"/>
      <w:bookmarkEnd w:id="1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the accompanying prospectus and the documents incorporated herein by reference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in obtaining successful non-clinical or clinical results that reliably and meaningfully demonstrate safety, tolerability and efficacy profiles that are satisfactory to the FDA, European Medicines Agency and other comparable regulatory authorities for marketing approval for nomlabofusp or any other product candidates that we may develop in the future and unexpected costs that may result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(whether clinical or non-clinical), changes in clinical protocols, adverse events, regulatory restrictions, including additional clinical holds, and milestones for nomlabofusp;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execute our ongoing OLE trial and our pediatric PK run-in trial, including the timing of site initiations and the rate of patient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benefit from participating in the FDAs START pilot program for the development of nomlabofusp;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associated with the clinical development and regulatory approval for nomlabofusp, including potential delays in the commencement, enrollment and completion of clinical trials, the timing of a potential BLA submission for accelerated approval, including our ability to supply to the FDA all required data for the FDA to review and accept an accelerated application, or any other product candidates that we may develop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difficulties and expenses associated with obtaining and maintaining regulatory approval for nomlabofusp or any other product candidates we may develop in the future, and the indication and labeling under any such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use of proceeds from future financings,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regulatory requirements applicable to our business and other regulatory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given both approved and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patent protection and defend our intellectual property rights against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and retain key scientific, technical, commercial, and management personnel and to retain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proper functionality and security of our internal computer and information systems and prevent or avoid cyber-attacks, malicious intrusion, breakdown, destruction, loss of data privacy or other significant disruption;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geopolitical tensions, including regional conflicts around the world, adverse macroeconomic events, including those due to inflationary pressures, rising interest rates, banking instability, monetary policy changes, changes in trade policies, including tariffs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regulatory developments in the U.S., including regulatory developments due to changes in the U.S. presidential administration, healthcare reform in the United States, including the Inflation Reduction Act of 2022, and measures being taken worldwide designed to reduce healthcare costs and limit the overall level of government expenditures;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any related free writing prospectus, and under similar headings in the other documents that are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942574_9"/>
      <w:bookmarkEnd w:id="1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our issuance and sale of shares of our common stock will be approximately $56.0 million (or approximately $64.4 million if the underwriters exercise their option to purchase additional shares of our common stock in full)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of the proposed offering, together with our existing cash, cash equivalents and marketable securities, to support the development of nomlabofusp and other pipeline candidates, and for working capital and general corporate purposes, including research and development expenses and pre-commercialization expenses. </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 </w:t>
      </w:r>
    </w:p>
    <w:p>
      <w:pPr>
        <w:pStyle w:val="TextBody"/>
        <w:bidi w:val="0"/>
        <w:spacing w:before="240" w:after="0"/>
        <w:jc w:val="left"/>
        <w:rPr>
          <w:rFonts w:ascii="Times New Roman" w:hAnsi="Times New Roman"/>
          <w:sz w:val="20"/>
        </w:rPr>
      </w:pPr>
      <w:r>
        <w:rPr>
          <w:rFonts w:ascii="Times New Roman" w:hAnsi="Times New Roman"/>
          <w:sz w:val="20"/>
        </w:rPr>
        <w:t xml:space="preserve">Pending our use of the net proceeds as described above, we intend to invest the net proceeds from this offering in a variety of capital preservation investments, including short-term, investment-grade,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942574_10"/>
      <w:bookmarkEnd w:id="12"/>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securities in this offering, your ownership interest will be diluted immediately to the extent of the difference between the public offering price per share of our common stock and the as adjusted net tangible book value per share of our common stock immediately after the closing of this offering. As of March 31, 2025, our net tangible book value was $141.6 million, or $2.21 per share. Net tangible book value per share represents our total tangible assets (excluding operating lease right-of-use assets) less our total liabilities, divided by the number of shares outstanding. After giving effect to the sale of 18,750,000 shares of our common stock in this offering at the public offering price of $3.20 per share, and after deducting underwriting discounts and commissions and estimated offering expenses payable by us, our as adjusted net tangible book value as of March 31, 2025 would have been $197.6 million, or $2.39 per share. This amount would represent an immediate increase in net tangible book value of $0.18 per share to existing stockholders and an immediate dilution in net tangible book value of $0.81 per share to new investors participating in this offering. We determine dilution by subtracting the assumed as adjusted net tangible book value per share after this offering from the assumed price per share paid by an investor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149"/>
        <w:gridCol w:w="423"/>
        <w:gridCol w:w="152"/>
        <w:gridCol w:w="469"/>
        <w:gridCol w:w="60"/>
        <w:gridCol w:w="423"/>
        <w:gridCol w:w="152"/>
        <w:gridCol w:w="680"/>
        <w:gridCol w:w="64"/>
      </w:tblGrid>
      <w:tr>
        <w:trPr/>
        <w:tc>
          <w:tcPr>
            <w:tcW w:w="6149"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Public offering price per share </w:t>
            </w:r>
          </w:p>
        </w:tc>
        <w:tc>
          <w:tcPr>
            <w:tcW w:w="4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 </w:t>
            </w:r>
            <w:r>
              <w:rPr/>
              <w:t>3.20</w:t>
            </w:r>
          </w:p>
        </w:tc>
        <w:tc>
          <w:tcPr>
            <w:tcW w:w="64"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2025</w:t>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69" w:type="dxa"/>
            <w:tcBorders/>
            <w:vAlign w:val="bottom"/>
          </w:tcPr>
          <w:p>
            <w:pPr>
              <w:pStyle w:val="TableContents"/>
              <w:bidi w:val="0"/>
              <w:spacing w:before="0" w:after="283"/>
              <w:jc w:val="right"/>
              <w:rPr/>
            </w:pPr>
            <w:r>
              <w:rPr/>
              <w:t>2.21</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purchasing shares in this offering</w:t>
            </w:r>
          </w:p>
        </w:tc>
        <w:tc>
          <w:tcPr>
            <w:tcW w:w="4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9"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149"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after this offering</w:t>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2.39</w:t>
            </w:r>
          </w:p>
        </w:tc>
        <w:tc>
          <w:tcPr>
            <w:tcW w:w="64" w:type="dxa"/>
            <w:tcBorders/>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4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0.81</w:t>
            </w:r>
          </w:p>
        </w:tc>
        <w:tc>
          <w:tcPr>
            <w:tcW w:w="64" w:type="dxa"/>
            <w:tcBorders/>
            <w:shd w:fill="CCEEFF" w:val="clear"/>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are exercised,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an additional 2,812,500 shares of our common stock in full at the public offering price of $3.20 per share, our as adjusted net tangible book value as of March 31, 2025 would have been $206.0 million, or $2.41 per share. This amount would represent an immediate increase in net tangible book value of $0.20 per share to existing stockholders and an immediate dilution in net tangible book value of $0.79 per share to new investors purchasing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 and calculations (other than the historical net tangible book value calculation) are based on 64,027,892 shares of our common stock outstanding as of March 31, 2025, and excludes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8,541,489 shares of our common stock issuable upon the exercise of stock options outstanding as of March 31, 2025 at a weighted-average exercise price of $6.71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256,700 shares of our common stock issuable upon the exercise of stock options that were granted after March 31, 2025 at a weighted-average exercise price of $2.26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1,023,061 shares of our common stock issuable upon the vesting and settlement of restricted stock units outstanding as of March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537,542 shares of our common stock available for future issuance as of March 31, 2025 under our 2020 Equity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2,552,603 shares of our common stock added to shares available for future issuance on January 1, 2025 as permitted under our 2020 Equity Incentive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information in this prospectus supplement assumes no exercise of the outstanding options described above and no exercise by the underwriters of their option to purchase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942574_12"/>
      <w:bookmarkEnd w:id="13"/>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our Board, and will depend on various factors, including applicable laws, our results of operations, financial condition, future prospects, anticipated cash needs, plans for expansion and any other factors deemed relevant by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942574_13"/>
      <w:bookmarkEnd w:id="14"/>
      <w:r>
        <w:rPr>
          <w:rFonts w:ascii="Times New Roman" w:hAnsi="Times New Roman"/>
          <w:b/>
          <w:sz w:val="20"/>
        </w:rPr>
        <w:t xml:space="preserve">MATERIAL U.S. FEDERAL INCOME TAX CONSEQUENCES TO U.S. HOLDERS AND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consequences to U.S. Holders and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the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or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U.S. Holders and Non-U.S. Holders that hold our common stock as a capital asset within the meaning of Section 1221 of the Code (generally, property held for investment). This discussion does not address all U.S. federal income tax consequences relevant to a U.S. Holders or Non-U.S. Holders particular circumstances, including the impact of the Medicare contribution tax on net investment income, the special tax accounting rules under Section 451(b) of the Code and the alternative minimum tax. In addition, it does not address consequences relevant to U.S. Holders or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U.S. Holder is a beneficial owner of our common stock,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that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that is subject to U.S. federal income tax on its income regardless of its source.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 beneficial owner of our common stock that is not an entity or arrangement treated as a partnership for U.S. federal income tax purposes and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the administration of which is subject to the primary supervision of a U.S. court and that has one or more U.S. persons with the authority to control all substantial decisions of the trust or (2) that has a valid election in effect under applicable Treasury Regulations to be treated as a U.S. person.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common stock, but not below zero. Any excess will be treated as capital gain and will be treated as described below under Sale or Other Taxable Disposition.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common shares, a U.S. Holder will generally recognize capital gain or loss equal to the difference between the amount of cash and the fair market value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property received upon the sale, exchange or other taxable disposition and such U.S. Holders adjusted tax basis in the common shares. This capital gain or loss will be long-term capital gain or loss if the U.S. Holders holding period in such common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backup withholding and information reporting requirements may apply to distributions on the common shares, and to the receipt of proceeds on the sale, exchange or other taxable disposition of the common stock. Backup withholding (currently at a rate of 24 percent) may apply if a U.S. Holder fails to furnish its taxpayer identification number, a U.S. 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on effectively connected income, backup withholding and FATCA (as defined below),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dividends generally will be subject to U.S. federal income tax on a net income basis at the regular U.S. federal income tax rates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 Non-U.S. Holder generally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U.S. real property interest, or USRPI, by reason of our status as a U.S. real property holding corporation, or USRPHC, for U.S. federal income tax purposes at any time within the shorter of the five-year period preceding the disposition or the Non-U.S. Holders holding period for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U.S. federal income tax rates in the same manner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also may be made available under the provisions of an applicable treaty or agreement to the tax authorities of the country in which the Non-U.S. Holder resides or is established. Non-U.S. Holders should consult their tax advisors regarding the possibility of and procedure for obtaining a refund or a credit against their U.S. federal income tax liability, if any.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proposed Treasury Regulations, FATCA withholding on payments of gross proceeds has been eliminated.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PROSPECTIVE INVESTORS SHOULD CONSULT THEIR TAX ADVISORS REGARDING THE U.S. FEDERAL, STATE, AND LOCAL AND NON-U.S. INCOME AND NON-INCOME TAX CONSEQUENCES OF THE PURCHASE, OWNERSHIP, AND DISPOSITION OF OUR COMMON STOCK IN THEIR PARTICULAR CIRCUMSTANCES, INCLUDING INFORMATION REPORTING REQUIREMENTS, THE IMPACT OF ANY APPLICABLE TAX TREATIES, AND THE IMPACT OF ANY POTENTIAL CHANGE IN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rom942574_14"/>
      <w:bookmarkEnd w:id="15"/>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and Guggenheim Securities, LLC are acting as representatives of each of the underwriters named below, and Leerink Partners LLC, Guggenheim Securities, LLC, Truist Securities, Inc. and William Blair &amp; Company, L.L.C. are acting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7"/>
        <w:gridCol w:w="282"/>
        <w:gridCol w:w="60"/>
        <w:gridCol w:w="1108"/>
        <w:gridCol w:w="62"/>
      </w:tblGrid>
      <w:tr>
        <w:trPr/>
        <w:tc>
          <w:tcPr>
            <w:tcW w:w="5427"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27" w:type="dxa"/>
            <w:tcBorders/>
            <w:vAlign w:val="bottom"/>
          </w:tcPr>
          <w:p>
            <w:pPr>
              <w:pStyle w:val="TableContents"/>
              <w:bidi w:val="0"/>
              <w:spacing w:before="0" w:after="283"/>
              <w:jc w:val="left"/>
              <w:rPr>
                <w:b/>
              </w:rPr>
            </w:pPr>
            <w:r>
              <w:rPr>
                <w:b/>
              </w:rPr>
              <w:t>Underwriter</w:t>
            </w:r>
          </w:p>
        </w:tc>
        <w:tc>
          <w:tcPr>
            <w:tcW w:w="282"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5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9,000,000</w:t>
            </w:r>
          </w:p>
        </w:tc>
        <w:tc>
          <w:tcPr>
            <w:tcW w:w="62" w:type="dxa"/>
            <w:tcBorders/>
            <w:shd w:fill="CCEEFF" w:val="clear"/>
            <w:vAlign w:val="bottom"/>
          </w:tcPr>
          <w:p>
            <w:pPr>
              <w:pStyle w:val="TableContents"/>
              <w:bidi w:val="0"/>
              <w:spacing w:before="0" w:after="283"/>
              <w:jc w:val="left"/>
              <w:rPr/>
            </w:pPr>
            <w:r>
              <w:rPr/>
              <w:t> </w:t>
            </w:r>
          </w:p>
        </w:tc>
      </w:tr>
      <w:tr>
        <w:trPr/>
        <w:tc>
          <w:tcPr>
            <w:tcW w:w="5427"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6,000,000</w:t>
            </w:r>
          </w:p>
        </w:tc>
        <w:tc>
          <w:tcPr>
            <w:tcW w:w="62" w:type="dxa"/>
            <w:tcBorders/>
            <w:vAlign w:val="bottom"/>
          </w:tcPr>
          <w:p>
            <w:pPr>
              <w:pStyle w:val="TableContents"/>
              <w:bidi w:val="0"/>
              <w:spacing w:before="0" w:after="283"/>
              <w:jc w:val="left"/>
              <w:rPr/>
            </w:pPr>
            <w:r>
              <w:rPr/>
              <w:t> </w:t>
            </w:r>
          </w:p>
        </w:tc>
      </w:tr>
      <w:tr>
        <w:trPr/>
        <w:tc>
          <w:tcPr>
            <w:tcW w:w="5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1,875,000</w:t>
            </w:r>
          </w:p>
        </w:tc>
        <w:tc>
          <w:tcPr>
            <w:tcW w:w="62" w:type="dxa"/>
            <w:tcBorders/>
            <w:shd w:fill="CCEEFF" w:val="clear"/>
            <w:vAlign w:val="bottom"/>
          </w:tcPr>
          <w:p>
            <w:pPr>
              <w:pStyle w:val="TableContents"/>
              <w:bidi w:val="0"/>
              <w:spacing w:before="0" w:after="283"/>
              <w:jc w:val="left"/>
              <w:rPr/>
            </w:pPr>
            <w:r>
              <w:rPr/>
              <w:t> </w:t>
            </w:r>
          </w:p>
        </w:tc>
      </w:tr>
      <w:tr>
        <w:trPr/>
        <w:tc>
          <w:tcPr>
            <w:tcW w:w="5427"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1,875,000</w:t>
            </w:r>
          </w:p>
        </w:tc>
        <w:tc>
          <w:tcPr>
            <w:tcW w:w="62" w:type="dxa"/>
            <w:tcBorders/>
            <w:vAlign w:val="bottom"/>
          </w:tcPr>
          <w:p>
            <w:pPr>
              <w:pStyle w:val="TableContents"/>
              <w:bidi w:val="0"/>
              <w:spacing w:before="0" w:after="283"/>
              <w:jc w:val="left"/>
              <w:rPr/>
            </w:pPr>
            <w:r>
              <w:rPr/>
              <w:t> </w:t>
            </w:r>
          </w:p>
        </w:tc>
      </w:tr>
      <w:tr>
        <w:trPr/>
        <w:tc>
          <w:tcPr>
            <w:tcW w:w="542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18,750,000</w:t>
            </w:r>
          </w:p>
        </w:tc>
        <w:tc>
          <w:tcPr>
            <w:tcW w:w="62" w:type="dxa"/>
            <w:tcBorders/>
            <w:shd w:fill="CCEEFF" w:val="clear"/>
            <w:vAlign w:val="bottom"/>
          </w:tcPr>
          <w:p>
            <w:pPr>
              <w:pStyle w:val="TableContents"/>
              <w:bidi w:val="0"/>
              <w:spacing w:before="0" w:after="283"/>
              <w:jc w:val="left"/>
              <w:rPr/>
            </w:pPr>
            <w:r>
              <w:rPr/>
              <w:t> </w:t>
            </w:r>
          </w:p>
        </w:tc>
      </w:tr>
      <w:tr>
        <w:trPr/>
        <w:tc>
          <w:tcPr>
            <w:tcW w:w="542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Discounts and Commissions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to the public at the initial public offering price set forth on the cover page of this prospectus supplement and to dealers at that price less a concession not in excess of $0.1152 per share. After the initial offering of the shares, the public offering price, concession or any other term of this offering may be changed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initial public offering price, underwriting discounts and commissions and proceeds, before expenses, to us. The information assumes either no exercise or full exercise by the underwriters of their option to purchase additional shares of our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69"/>
        <w:gridCol w:w="303"/>
        <w:gridCol w:w="140"/>
        <w:gridCol w:w="690"/>
        <w:gridCol w:w="60"/>
        <w:gridCol w:w="303"/>
        <w:gridCol w:w="140"/>
        <w:gridCol w:w="1228"/>
        <w:gridCol w:w="60"/>
        <w:gridCol w:w="303"/>
        <w:gridCol w:w="140"/>
        <w:gridCol w:w="1170"/>
        <w:gridCol w:w="66"/>
      </w:tblGrid>
      <w:tr>
        <w:trPr/>
        <w:tc>
          <w:tcPr>
            <w:tcW w:w="396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6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Without</w:t>
              <w:br/>
              <w:t>Option</w:t>
              <w:br/>
              <w:t>Exercise</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With Full</w:t>
              <w:br/>
              <w:t>Option</w:t>
              <w:br/>
              <w:t>Exercise</w:t>
            </w:r>
          </w:p>
        </w:tc>
        <w:tc>
          <w:tcPr>
            <w:tcW w:w="6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 </w:t>
            </w:r>
            <w:r>
              <w:rPr/>
              <w:t>3.200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69,000,000</w:t>
            </w:r>
          </w:p>
        </w:tc>
        <w:tc>
          <w:tcPr>
            <w:tcW w:w="66"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0.192</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3,600,000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4,140,000</w:t>
            </w:r>
          </w:p>
        </w:tc>
        <w:tc>
          <w:tcPr>
            <w:tcW w:w="6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3.008</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56,400,000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64,860,000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$400,000. We also have agreed to reimburse the underwriters for up to $50,000 for their FINRA counsel fee. In accordance with FINRA Rule 5110, this reimbursed fee is deemed underwriting compensation for this offering. The underwriters have agreed to reimburse us for certain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2,812,500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 The underwriters have agreed to reimburse us for certain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not to sell or transfer any of our common stock or securities convertible into or exchangeable or exercisable for our common stock, for 60 days after the date of this prospectus supplement without first obtaining the written consent of Leerink Partners LLC and Guggenheim Securities, LLC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Specifically, we have agreed, with certain limited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offer to sell, contract to sell or lend any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any short sale, or establish or increase any put equivalent position or liquidate or decrease any call equivalent position of any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 any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way transfer or dispose of any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hedge or similar arrangement that transfers, in whole or in part, the economic risk of ownership of any of our common stock, regardless of whether any such transaction is to be settled in securities, in case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 the offering of 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or file any registration statement under the Securities Act in respect of any common stock (other than as contemplated by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reverse stock split, recapitalization, share consolidation, reclassification or similar transaction affecting the outstanding shares of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any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lock-up provisions are subject to certain exceptions, including: that we may (i) effect the transactions contemplated by the underwriting agreement, (ii) issue shares of common stock upon the exercise of an option or warrant, the vesting of restricted stock units, performance stock units or deferred stock units or the conversion or exchange of a security outstanding on the date hereof as referred to in the base prospectus and this prospectus supplement, (iii) pursuant to our stock-based compensation plans as referred to in the registration statement of which this prospectus supplement forms a part, or pursuant to any qualifying inducement award under Nasdaq Listing Rule 5635(c)(4), (iv) issue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the aggregate number of shares of common stock that we may sell or issue or agree to sell or issue shall not exceed 5% of the total number of shares of common stock issued and outstanding immediately following the issuance and sale of the common stock offered pursuant to the underwriting agreement, (v) file registration statements on Form S-8 or a successor form thereto relating to the shares of common stock granted pursuant to or reserved for issuance under our stock-based compensation plans referred to in clause (iii), (vi) assist any of our stockholders in the establishment of a trading plan by such stockholder pursuant to Rule 10b5-1 under the Exchange Act for the transfer of shares of common stock, provided that (1) such plan does not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transfer of shares of common stock during the lock-up period, (2) to the extent a public announcement of filing under the Exchange Act, if any, is required by or behalf of the securityholders or us regarding the establishment of such plan, such announcement or filing shall include a statement to the effect that no transfers by the securityholders may be made under such plan during the lock-up period and (3) such plan is otherwise permitted to be implemented during the lock-up period pursuant to the terms of a lock-up agreement between such stockholder and the Underwriters in connection with the offering contemplated by the underwriting agreement, and (vii) issue shares of common stock pursuant to the Sales Agreement, dated May 9, 2024, between the Company and Guggenheim Securities, LLC, as sales agent. </w:t>
      </w:r>
    </w:p>
    <w:p>
      <w:pPr>
        <w:pStyle w:val="TextBody"/>
        <w:bidi w:val="0"/>
        <w:spacing w:before="240" w:after="0"/>
        <w:jc w:val="left"/>
        <w:rPr>
          <w:rFonts w:ascii="Times New Roman" w:hAnsi="Times New Roman"/>
          <w:sz w:val="20"/>
        </w:rPr>
      </w:pPr>
      <w:r>
        <w:rPr>
          <w:rFonts w:ascii="Times New Roman" w:hAnsi="Times New Roman"/>
          <w:sz w:val="20"/>
        </w:rPr>
        <w:t xml:space="preserve">The lock-up provisions apply to our common stock and to securities convertible into or exchangeable or exercisable for or convertible into our common stock, or to acquire other securities or rights ultimately exchangeable or exercisable for, or convertible into,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directors and certain of our other existing security holders have agreed not to sell or transfer any of our common stock or securities convertible into or exchangeable or exercisable for our common stock, for 90 days after the date of this prospectus supplement without first obtaining the written consent of Leerink Partners LLC and Guggenheim Securities, LLC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Specifically, our executive officers and directors and certain of our other existing security holders, with certain limited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sell, agree to offer or sell, solicit offers to purchase, grant any call option or purchase any put option with respect to, pledge, borrow or otherwise dispose of, any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or increase any put equivalent position or liquidate or decrease any call equivalent position with respect to 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enter into any swap, hedge, derivative or other transaction or arrangement that transfers to another, in whole or in part, any economic consequence of ownership of common stock, whether or not such transaction is to be settled by delivery of common stock, other securities, cash or other consideration;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any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lock-up provisions are subject to certain exceptions, including: (i) the transfer of securities as bona fide gifts, by will or other testamentary document, or intestate succession, to family members, to a trust for the benefit of the securityholder or its family members, by operation of law, including to pursuant to a domestic order, divorce settlement, divorce decree, separation agreement or pursuant to an order of a court of competent jurisdiction enforcing such agreement, to a charitable trust or if the securityholder is a trust, to the beneficiary of such trust; (ii) transfers to us (A) as forfeitures to satisfy tax withholding obligations of the securityholder existing as of the date of this prospectus supplement in connection with the vesting or exercise of equity awards, (B) pursuant to a net exercise or cashless exercise (to satisfy exercise price or related withholding obligations) by the securityholder of outstanding equity awards existing as of the date of this prospectus supplement, provided that any shares of common stock acquired upon the net exercise or cashless exercise of equity awards described in this clause (ii)(B) shall be subject to the restrictions in the lock-up agreement, or (C) upon the death, disability or termination of an executive officer; (iii) distributions to limited partners, members or stockholders, (iv) transactions relating to securities acquired in the offering or in the open market after the closing of the offering; (v) the transfer pursuant to a bona fide third-party tender offer for all outstanding shares of our common stock, merger, consolidation or other similar transaction made to all holders of our securities involving a change of control (including, without limitation, the entering into of any lock-up, voting or similar agreement pursuant to which the securityholder may agree to transfer, sell, tender or otherwise dispose of securities in connection with such transaction, or vote any securities in favor of any transaction), provided that in the event that such tender offer, merger, consolidation or other such transaction is not completed, such securities held by the securityholder shall remain subject to the provisions of the lock-up agreement; (vi) the transfer to a corporation, limited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partnership wholly owned by the securityholder and/or its family members or to the securityholders direct or indirect affiliates or to any investment fund or manager thereof or other entity controlled or under common control with the securityholder (including, for the avoidance of doubt, where the securityholder is a partnership, to its general partner or a successor partnership or fund or any other funds managed by such partnership); and (vii) in the case of one of our existing securityholders, pledges of securities as collateral pursuant to a bona fide margin loan (including any subsequent transfer upon foreclosure under any such pledge); provided that, in the case of transfers or distributions pursuant to clauses (i), (ii), (iii), (iv) or (vi), no public disclosure or filing is required or voluntarily made (other than in certain cases where reports under Section 13 or 16 of the Exchange Act may be permitted if the report clearly indicates in footnotes or otherwise discloses the nature of the transfer, as applicable); and provided further that, in the case of clauses (i), (iii), (vi) and (vii) (solely in the case of subsequent transfer upon foreclosure under any such pledge) that, each resulting transferee of securities agrees to be bound by the same lock-up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lock-up provisions apply to our common stock and to securities convertible into or exchangeable or exercisable for our common stock or any such equity security. They also apply to our common stock owned now or acquired later by the person executing the lock-up agreement or for which the person executing the lock-up agreement later acquires the power of disposition.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LRMR.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common stock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to purchase additional shares.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might otherwise exist in the open market. The underwriters may conduct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In connection with this offering, certain of the underwriters or securities dealers may distribute prospectuses by electronic means, such as e-mail.</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Guggenheim Securities, LLC is the sales agent under the Sales Agreement, pursuant to which we may offer and sell up to an aggregate of $100.0 million of shares of our common stock from time to time in at-the-market offerings.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of our common stock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our common stock have been offered or will be offered pursuant to the offering to the public in the United Kingdom prior to the publication of a prospectus in relation to the shares which has been approved by the Financial Conduct Authority,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(the FMSA),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representative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rom942574_15"/>
      <w:bookmarkEnd w:id="1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being offered in this prospectus supplement will be passed upon for us by Goodwin Procter LLP. Certain legal matters will be passed upon for the underwriters by Mintz, Levin, Cohn, Ferris, Glovsky and Popeo, P.C. </w:t>
      </w:r>
    </w:p>
    <w:p>
      <w:pPr>
        <w:pStyle w:val="TextBody"/>
        <w:bidi w:val="0"/>
        <w:spacing w:before="480" w:after="0"/>
        <w:jc w:val="center"/>
        <w:rPr>
          <w:rFonts w:ascii="Times New Roman" w:hAnsi="Times New Roman"/>
          <w:b/>
          <w:sz w:val="20"/>
        </w:rPr>
      </w:pPr>
      <w:bookmarkStart w:id="17" w:name="supprom942574_16"/>
      <w:bookmarkEnd w:id="1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2024 have been so incorporated in reliance on the report (which contains an explanatory paragraph relating to the Company requiring additional financing to fund future operations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8" w:name="supprom942574_17"/>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supplement or the accompanying prospectus. </w:t>
      </w:r>
    </w:p>
    <w:p>
      <w:pPr>
        <w:pStyle w:val="TextBody"/>
        <w:bidi w:val="0"/>
        <w:spacing w:before="480" w:after="0"/>
        <w:jc w:val="center"/>
        <w:rPr>
          <w:rFonts w:ascii="Times New Roman" w:hAnsi="Times New Roman"/>
          <w:b/>
          <w:sz w:val="20"/>
        </w:rPr>
      </w:pPr>
      <w:bookmarkStart w:id="19" w:name="supprom942574_18"/>
      <w:bookmarkEnd w:id="19"/>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April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11,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10, 2025</w:t>
              </w:r>
            </w:hyperlink>
            <w:r>
              <w:rPr>
                <w:rFonts w:ascii="Times New Roman" w:hAnsi="Times New Roman"/>
                <w:sz w:val="20"/>
              </w:rPr>
              <w:t xml:space="preserve">, </w:t>
            </w:r>
            <w:hyperlink r:id="rId7">
              <w:r>
                <w:rPr>
                  <w:rStyle w:val="InternetLink"/>
                  <w:rFonts w:ascii="Times New Roman" w:hAnsi="Times New Roman"/>
                  <w:sz w:val="20"/>
                </w:rPr>
                <w:t>January  27, 2025</w:t>
              </w:r>
            </w:hyperlink>
            <w:r>
              <w:rPr>
                <w:rFonts w:ascii="Times New Roman" w:hAnsi="Times New Roman"/>
                <w:sz w:val="20"/>
              </w:rPr>
              <w:t xml:space="preserve">, </w:t>
            </w:r>
            <w:hyperlink r:id="rId8">
              <w:r>
                <w:rPr>
                  <w:rStyle w:val="InternetLink"/>
                  <w:rFonts w:ascii="Times New Roman" w:hAnsi="Times New Roman"/>
                  <w:sz w:val="20"/>
                </w:rPr>
                <w:t>March  24, 2025</w:t>
              </w:r>
            </w:hyperlink>
            <w:r>
              <w:rPr>
                <w:rFonts w:ascii="Times New Roman" w:hAnsi="Times New Roman"/>
                <w:sz w:val="20"/>
              </w:rPr>
              <w:t xml:space="preserve">, </w:t>
            </w:r>
            <w:hyperlink r:id="rId9">
              <w:r>
                <w:rPr>
                  <w:rStyle w:val="InternetLink"/>
                  <w:rFonts w:ascii="Times New Roman" w:hAnsi="Times New Roman"/>
                  <w:sz w:val="20"/>
                </w:rPr>
                <w:t>May  5, 2025</w:t>
              </w:r>
            </w:hyperlink>
            <w:r>
              <w:rPr>
                <w:rFonts w:ascii="Times New Roman" w:hAnsi="Times New Roman"/>
                <w:sz w:val="20"/>
              </w:rPr>
              <w:t xml:space="preserve">, </w:t>
            </w:r>
            <w:hyperlink r:id="rId10">
              <w:r>
                <w:rPr>
                  <w:rStyle w:val="InternetLink"/>
                  <w:rFonts w:ascii="Times New Roman" w:hAnsi="Times New Roman"/>
                  <w:sz w:val="20"/>
                </w:rPr>
                <w:t>May  13, 2025</w:t>
              </w:r>
            </w:hyperlink>
            <w:r>
              <w:rPr>
                <w:rFonts w:ascii="Times New Roman" w:hAnsi="Times New Roman"/>
                <w:sz w:val="20"/>
              </w:rPr>
              <w:t xml:space="preserve">, </w:t>
            </w:r>
            <w:hyperlink r:id="rId11">
              <w:r>
                <w:rPr>
                  <w:rStyle w:val="InternetLink"/>
                  <w:rFonts w:ascii="Times New Roman" w:hAnsi="Times New Roman"/>
                  <w:sz w:val="20"/>
                </w:rPr>
                <w:t>June  23, 2025</w:t>
              </w:r>
            </w:hyperlink>
            <w:r>
              <w:rPr>
                <w:rFonts w:ascii="Times New Roman" w:hAnsi="Times New Roman"/>
                <w:sz w:val="20"/>
              </w:rPr>
              <w:t xml:space="preserve"> and </w:t>
            </w:r>
            <w:hyperlink r:id="rId12">
              <w:r>
                <w:rPr>
                  <w:rStyle w:val="InternetLink"/>
                  <w:rFonts w:ascii="Times New Roman" w:hAnsi="Times New Roman"/>
                  <w:sz w:val="20"/>
                </w:rPr>
                <w:t>June 23, 2025</w:t>
              </w:r>
            </w:hyperlink>
            <w:r>
              <w:rPr>
                <w:rFonts w:ascii="Times New Roman" w:hAnsi="Times New Roman"/>
                <w:sz w:val="20"/>
              </w:rPr>
              <w:t xml:space="preserve"> (in each case other than any portions thereof deemed furnished and not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 No. 001-36510), filed with the SEC on </w:t>
            </w:r>
            <w:hyperlink r:id="rId13">
              <w:r>
                <w:rPr>
                  <w:rStyle w:val="InternetLink"/>
                  <w:rFonts w:ascii="Times New Roman" w:hAnsi="Times New Roman"/>
                  <w:sz w:val="20"/>
                </w:rPr>
                <w:t>June 18, 2014</w:t>
              </w:r>
            </w:hyperlink>
            <w:r>
              <w:rPr>
                <w:rFonts w:ascii="Times New Roman" w:hAnsi="Times New Roman"/>
                <w:sz w:val="20"/>
              </w:rPr>
              <w:t xml:space="preserve">, under the Exchange Act, including any amendment or report filed for the purpose of updating such description, including </w:t>
            </w:r>
            <w:hyperlink r:id="rId14">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and the accompanying prospectus, by requesting them in writing or by telephone at: </w:t>
      </w:r>
    </w:p>
    <w:p>
      <w:pPr>
        <w:pStyle w:val="TextBody"/>
        <w:bidi w:val="0"/>
        <w:spacing w:before="240" w:after="0"/>
        <w:jc w:val="center"/>
        <w:rPr>
          <w:rFonts w:ascii="Times New Roman" w:hAnsi="Times New Roman"/>
          <w:sz w:val="20"/>
        </w:rPr>
      </w:pPr>
      <w:r>
        <w:rPr>
          <w:rFonts w:ascii="Times New Roman" w:hAnsi="Times New Roman"/>
          <w:sz w:val="20"/>
        </w:rPr>
        <w:t xml:space="preserve">Larimar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Three Bala Plaza East, Suite 506 </w:t>
      </w:r>
    </w:p>
    <w:p>
      <w:pPr>
        <w:pStyle w:val="TextBody"/>
        <w:bidi w:val="0"/>
        <w:spacing w:before="0" w:after="0"/>
        <w:jc w:val="center"/>
        <w:rPr>
          <w:rFonts w:ascii="Times New Roman" w:hAnsi="Times New Roman"/>
          <w:sz w:val="20"/>
        </w:rPr>
      </w:pPr>
      <w:r>
        <w:rPr>
          <w:rFonts w:ascii="Times New Roman" w:hAnsi="Times New Roman"/>
          <w:sz w:val="20"/>
        </w:rPr>
        <w:t xml:space="preserve">Bala Cynwyd, PA 19004 </w:t>
      </w:r>
    </w:p>
    <w:p>
      <w:pPr>
        <w:pStyle w:val="TextBody"/>
        <w:bidi w:val="0"/>
        <w:spacing w:before="0" w:after="0"/>
        <w:jc w:val="center"/>
        <w:rPr>
          <w:rFonts w:ascii="Times New Roman" w:hAnsi="Times New Roman"/>
          <w:sz w:val="20"/>
        </w:rPr>
      </w:pPr>
      <w:r>
        <w:rPr>
          <w:rFonts w:ascii="Times New Roman" w:hAnsi="Times New Roman"/>
          <w:sz w:val="20"/>
        </w:rPr>
        <w:t xml:space="preserve">(844) 511-9056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$300,000,000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857500" cy="1133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857500" cy="11334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up to $300,000,000 in the aggregate of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a942574_6">
        <w:r>
          <w:rPr>
            <w:rStyle w:val="InternetLink"/>
            <w:rFonts w:ascii="Times New Roman" w:hAnsi="Times New Roman"/>
            <w:b/>
            <w:sz w:val="24"/>
          </w:rPr>
          <w:t>RISK FACTORS</w:t>
        </w:r>
      </w:hyperlink>
      <w:r>
        <w:rPr>
          <w:rFonts w:ascii="Times New Roman" w:hAnsi="Times New Roman"/>
          <w:b/>
          <w:sz w:val="24"/>
        </w:rPr>
        <w:t xml:space="preserve"> ON PAGE 8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LRMR. On May 8, 2024, the last reported sale price of our common stock on the Nasdaq Global Market was $7.92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24,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4257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4">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5">
              <w:r>
                <w:rPr>
                  <w:rStyle w:val="InternetLink"/>
                  <w:rFonts w:ascii="Times New Roman" w:hAnsi="Times New Roman"/>
                  <w:sz w:val="20"/>
                </w:rPr>
                <w:t>ABOUT LARIMAR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12">
              <w:r>
                <w:rPr>
                  <w:rStyle w:val="InternetLink"/>
                  <w:rFonts w:ascii="Times New Roman" w:hAnsi="Times New Roman"/>
                  <w:sz w:val="20"/>
                </w:rPr>
                <w:t>DESCRIPTION OF OUR SUBSCRIPTION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13">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14">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1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a942574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a942574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or the SEC, using a shelf registration process. By using a shelf registration statement, we may, from time to time, offer and sell, either individually or in combination, in one or more offerings, up to a total dollar amount of $300,000,000 of any combination of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consummate sales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Larimar, Larimar Therapeutics, we, our, us and the Company in this prospectus, we mean Larimar Therapeutics, Inc. and its subsidiary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 and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a942574_2"/>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w:t>
      </w:r>
    </w:p>
    <w:p>
      <w:pPr>
        <w:pStyle w:val="TextBody"/>
        <w:bidi w:val="0"/>
        <w:spacing w:before="480" w:after="0"/>
        <w:jc w:val="center"/>
        <w:rPr>
          <w:rFonts w:ascii="Times New Roman" w:hAnsi="Times New Roman"/>
          <w:b/>
          <w:sz w:val="20"/>
        </w:rPr>
      </w:pPr>
      <w:bookmarkStart w:id="22" w:name="txa942574_3"/>
      <w:bookmarkEnd w:id="22"/>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March 14,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March 31, 2024 filed with the SEC on </w:t>
            </w:r>
            <w:hyperlink r:id="rId17">
              <w:r>
                <w:rPr>
                  <w:rStyle w:val="InternetLink"/>
                  <w:rFonts w:ascii="Times New Roman" w:hAnsi="Times New Roman"/>
                  <w:sz w:val="20"/>
                </w:rPr>
                <w:t>May 9,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8">
              <w:r>
                <w:rPr>
                  <w:rStyle w:val="InternetLink"/>
                  <w:rFonts w:ascii="Times New Roman" w:hAnsi="Times New Roman"/>
                  <w:sz w:val="20"/>
                </w:rPr>
                <w:t>Form 10-K</w:t>
              </w:r>
            </w:hyperlink>
            <w:r>
              <w:rPr>
                <w:rFonts w:ascii="Times New Roman" w:hAnsi="Times New Roman"/>
                <w:sz w:val="20"/>
              </w:rPr>
              <w:t xml:space="preserve"> for the year ended December 31, 2023 from our Definitive Proxy Statement on </w:t>
            </w:r>
            <w:hyperlink r:id="rId19">
              <w:r>
                <w:rPr>
                  <w:rStyle w:val="InternetLink"/>
                  <w:rFonts w:ascii="Times New Roman" w:hAnsi="Times New Roman"/>
                  <w:sz w:val="20"/>
                </w:rPr>
                <w:t>Schedule 14A</w:t>
              </w:r>
            </w:hyperlink>
            <w:r>
              <w:rPr>
                <w:rFonts w:ascii="Times New Roman" w:hAnsi="Times New Roman"/>
                <w:sz w:val="20"/>
              </w:rPr>
              <w:t xml:space="preserve">, filed with the SEC on April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0">
              <w:r>
                <w:rPr>
                  <w:rStyle w:val="InternetLink"/>
                  <w:rFonts w:ascii="Times New Roman" w:hAnsi="Times New Roman"/>
                  <w:sz w:val="20"/>
                </w:rPr>
                <w:t>February 12, 2024</w:t>
              </w:r>
            </w:hyperlink>
            <w:r>
              <w:rPr>
                <w:rFonts w:ascii="Times New Roman" w:hAnsi="Times New Roman"/>
                <w:sz w:val="20"/>
              </w:rPr>
              <w:t xml:space="preserve">, </w:t>
            </w:r>
            <w:hyperlink r:id="rId21">
              <w:r>
                <w:rPr>
                  <w:rStyle w:val="InternetLink"/>
                  <w:rFonts w:ascii="Times New Roman" w:hAnsi="Times New Roman"/>
                  <w:sz w:val="20"/>
                </w:rPr>
                <w:t>February 14, 2024</w:t>
              </w:r>
            </w:hyperlink>
            <w:r>
              <w:rPr>
                <w:rFonts w:ascii="Times New Roman" w:hAnsi="Times New Roman"/>
                <w:sz w:val="20"/>
              </w:rPr>
              <w:t xml:space="preserve">, </w:t>
            </w:r>
            <w:hyperlink r:id="rId22">
              <w:r>
                <w:rPr>
                  <w:rStyle w:val="InternetLink"/>
                  <w:rFonts w:ascii="Times New Roman" w:hAnsi="Times New Roman"/>
                  <w:sz w:val="20"/>
                </w:rPr>
                <w:t>February 16, 2024</w:t>
              </w:r>
            </w:hyperlink>
            <w:r>
              <w:rPr>
                <w:rFonts w:ascii="Times New Roman" w:hAnsi="Times New Roman"/>
                <w:sz w:val="20"/>
              </w:rPr>
              <w:t xml:space="preserve">, </w:t>
            </w:r>
            <w:hyperlink r:id="rId23">
              <w:r>
                <w:rPr>
                  <w:rStyle w:val="InternetLink"/>
                  <w:rFonts w:ascii="Times New Roman" w:hAnsi="Times New Roman"/>
                  <w:sz w:val="20"/>
                </w:rPr>
                <w:t>March  11, 2024</w:t>
              </w:r>
            </w:hyperlink>
            <w:r>
              <w:rPr>
                <w:rFonts w:ascii="Times New Roman" w:hAnsi="Times New Roman"/>
                <w:sz w:val="20"/>
              </w:rPr>
              <w:t xml:space="preserve"> and </w:t>
            </w:r>
            <w:hyperlink r:id="rId24">
              <w:r>
                <w:rPr>
                  <w:rStyle w:val="InternetLink"/>
                  <w:rFonts w:ascii="Times New Roman" w:hAnsi="Times New Roman"/>
                  <w:sz w:val="20"/>
                </w:rPr>
                <w:t>May 9, 2024</w:t>
              </w:r>
            </w:hyperlink>
            <w:r>
              <w:rPr>
                <w:rFonts w:ascii="Times New Roman" w:hAnsi="Times New Roman"/>
                <w:sz w:val="20"/>
              </w:rPr>
              <w:t xml:space="preserve"> (in each case other than any portions thereof deemed furnished and not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5">
              <w:r>
                <w:rPr>
                  <w:rStyle w:val="InternetLink"/>
                  <w:rFonts w:ascii="Times New Roman" w:hAnsi="Times New Roman"/>
                  <w:sz w:val="20"/>
                </w:rPr>
                <w:t>Form 8-A</w:t>
              </w:r>
            </w:hyperlink>
            <w:r>
              <w:rPr>
                <w:rFonts w:ascii="Times New Roman" w:hAnsi="Times New Roman"/>
                <w:sz w:val="20"/>
              </w:rPr>
              <w:t xml:space="preserve"> (File No. 001-36510) filed with the SEC on June 18, 2014, under the Exchange Act, including any amendment or report filed for the purpose of updating such description, including </w:t>
            </w:r>
            <w:hyperlink r:id="rId26">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 </w:t>
      </w:r>
    </w:p>
    <w:p>
      <w:pPr>
        <w:pStyle w:val="TextBody"/>
        <w:bidi w:val="0"/>
        <w:spacing w:before="240" w:after="0"/>
        <w:jc w:val="center"/>
        <w:rPr>
          <w:rFonts w:ascii="Times New Roman" w:hAnsi="Times New Roman"/>
          <w:sz w:val="20"/>
        </w:rPr>
      </w:pPr>
      <w:r>
        <w:rPr>
          <w:rFonts w:ascii="Times New Roman" w:hAnsi="Times New Roman"/>
          <w:sz w:val="20"/>
        </w:rPr>
        <w:t xml:space="preserve">Larimar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Three Bala Plaza East, Suite 506 </w:t>
      </w:r>
    </w:p>
    <w:p>
      <w:pPr>
        <w:pStyle w:val="TextBody"/>
        <w:bidi w:val="0"/>
        <w:spacing w:before="0" w:after="0"/>
        <w:jc w:val="center"/>
        <w:rPr>
          <w:rFonts w:ascii="Times New Roman" w:hAnsi="Times New Roman"/>
          <w:sz w:val="20"/>
        </w:rPr>
      </w:pPr>
      <w:r>
        <w:rPr>
          <w:rFonts w:ascii="Times New Roman" w:hAnsi="Times New Roman"/>
          <w:sz w:val="20"/>
        </w:rPr>
        <w:t xml:space="preserve">Bala Cynwyd, PA 19004 </w:t>
      </w:r>
    </w:p>
    <w:p>
      <w:pPr>
        <w:pStyle w:val="TextBody"/>
        <w:bidi w:val="0"/>
        <w:spacing w:before="0" w:after="0"/>
        <w:jc w:val="center"/>
        <w:rPr>
          <w:rFonts w:ascii="Times New Roman" w:hAnsi="Times New Roman"/>
          <w:sz w:val="20"/>
        </w:rPr>
      </w:pPr>
      <w:r>
        <w:rPr>
          <w:rFonts w:ascii="Times New Roman" w:hAnsi="Times New Roman"/>
          <w:sz w:val="20"/>
        </w:rPr>
        <w:t xml:space="preserve">(844) 511-9056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a942574_4"/>
      <w:bookmarkEnd w:id="2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in obtaining successful non-clinical or clinical results that reliably and meaningfully demonstrate safety, tolerability and efficacy profiles that are satisfactory to the U.S. Food and Drug Administration, or FDA, European Medicines Agency, and other comparable regulatory authorities for marketing approval for nomlabofusp (nomlabofusp is the International Nonproprietary Name and the United States Adopted Name for CTI-1601) or any other product candidate that we may develop in the future and unexpected costs that may result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to successfully execute our ongoing open label extension study, including the timing of site initiations and rate of patient enrollment, and our ability to pursue dose escalation;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associated with the clinical development and regulatory approval for nomlabofusp, including potential delays in the commencement, enrollment and completion of clinical trials, the timing of a potential Biologics License Application submission for accelerated approval, including our ability to supply to the FDA all required data for FDA to review and accept an accelerated application, or any other product candidate that we may develop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nomlabofusp;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difficulties and expenses associated with obtaining and maintaining regulatory approval for nomlabofusp or any other product candidate we may develop in the future, and the indication and labeling under any such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regulatory requirements applicable to our business and other regulatory developments in the United States and other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given competing therapies and products for the treatment of Friedreichs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patent protection and defend our intellectual property rights against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and retain key scientific, technical, commercial, and management personnel and to retain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proper functionality and security of our internal computer and information systems and prevent or avoid cyber-attacks, malicious intrusion, breakdown, destruction, loss of data privacy or other significant disruption;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healthcare reform in the United States, including the Inflation Reduction Act of 2022, and measures being taken worldwide designed to reduce healthcare costs and limit the overall level of government expenditures;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cash and other resources, including our expected use of the proceeds from any offering under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of factors, may cause 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a942574_5"/>
      <w:bookmarkEnd w:id="24"/>
      <w:r>
        <w:rPr>
          <w:rFonts w:ascii="Times New Roman" w:hAnsi="Times New Roman"/>
          <w:b/>
          <w:sz w:val="20"/>
        </w:rPr>
        <w:t xml:space="preserve">ABOUT LARIMAR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 </w:t>
      </w:r>
    </w:p>
    <w:p>
      <w:pPr>
        <w:pStyle w:val="TextBody"/>
        <w:bidi w:val="0"/>
        <w:spacing w:before="240" w:after="0"/>
        <w:jc w:val="left"/>
        <w:rPr>
          <w:rFonts w:ascii="Times New Roman" w:hAnsi="Times New Roman"/>
          <w:sz w:val="20"/>
        </w:rPr>
      </w:pPr>
      <w:r>
        <w:rPr>
          <w:rFonts w:ascii="Times New Roman" w:hAnsi="Times New Roman"/>
          <w:sz w:val="20"/>
        </w:rPr>
        <w:t xml:space="preserve">We have completed two Phase 1 clinical trials and a Phase 2 dose exploration trial, and recently initiated an open label extension trial, or OLE, in patients with Friedreichs ataxia. We have received an orphan drug designation, fast track designation and rare pediatric disease designation from the U.S. Food and Drug Administration, or FDA, for nomlabofusp. In addition, we received orphan drug designation for nomlabofusp from the European Commission and a PRIority MEdicines designation from the European Medicines Agency, or EMA. We intend to pursue accelerated approval from the FDA for nomlabofusp. The receipt of such designations or positive opinions may not result in a faster development process, review or approval compared to products considered for approval under conventional FDA or EMA procedures and does not assure ultimate approval by the FDA or EMA.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hAnsi="Times New Roman"/>
          <w:i/>
          <w:sz w:val="20"/>
        </w:rPr>
        <w:t>www.larimartx.com</w:t>
      </w:r>
      <w:r>
        <w:rPr>
          <w:rFonts w:ascii="Times New Roman" w:hAnsi="Times New Roman"/>
          <w:sz w:val="20"/>
        </w:rPr>
        <w:t xml:space="preserve">. The information on, or that can be accessed through, our website is not part of this prospectus and is not incorporated by reference herein. We have included our website address as an inactive textual reference only. References in this prospectus to we, us, our, our company, Larimar or Larimar Therapeutics refer to Larimar Therapeutics, Inc. and its subsidiary. </w:t>
      </w:r>
    </w:p>
    <w:p>
      <w:pPr>
        <w:pStyle w:val="TextBody"/>
        <w:bidi w:val="0"/>
        <w:spacing w:before="240" w:after="0"/>
        <w:jc w:val="left"/>
        <w:rPr>
          <w:rFonts w:ascii="Times New Roman" w:hAnsi="Times New Roman"/>
          <w:sz w:val="20"/>
        </w:rPr>
      </w:pPr>
      <w:r>
        <w:rPr>
          <w:rFonts w:ascii="Times New Roman" w:hAnsi="Times New Roman"/>
          <w:sz w:val="20"/>
        </w:rPr>
        <w:t xml:space="preserve">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a942574_6"/>
      <w:bookmarkEnd w:id="2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a942574_7"/>
      <w:bookmarkEnd w:id="2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a942574_8"/>
      <w:bookmarkEnd w:id="27"/>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Authorized Capital Stock</w:t>
      </w:r>
      <w:r>
        <w:rPr>
          <w:rFonts w:ascii="Times New Roman" w:hAnsi="Times New Roman"/>
          <w:sz w:val="20"/>
        </w:rPr>
        <w:t xml:space="preserve">. Our authorized capital stock consists of (i) 115,000,000 shares of common stock, par value $0.001 per share, of which 63,802,017 shares have been issued and are outstanding as of May 8, 2024,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Holders of our common stock are entitled to one vote for each share held of record on all matters submitted to a vote of stockholders. The holders of our common stock do not have any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Holders of our common stock are entitled to receive ratably any dividends declared by our Board of Directors, or the Board, out of funds legally available for that purpose, subject to any preferential dividend rights of any outstanding preferred stock. </w:t>
      </w:r>
    </w:p>
    <w:p>
      <w:pPr>
        <w:pStyle w:val="TextBody"/>
        <w:bidi w:val="0"/>
        <w:spacing w:before="240" w:after="0"/>
        <w:jc w:val="left"/>
        <w:rPr>
          <w:rFonts w:ascii="Times New Roman" w:hAnsi="Times New Roman"/>
          <w:sz w:val="20"/>
        </w:rPr>
      </w:pPr>
      <w:r>
        <w:rPr>
          <w:rFonts w:ascii="Times New Roman" w:hAnsi="Times New Roman"/>
          <w:b/>
          <w:i/>
          <w:sz w:val="20"/>
        </w:rPr>
        <w:t>No Preemptive or Similar Rights</w:t>
      </w:r>
      <w:r>
        <w:rPr>
          <w:rFonts w:ascii="Times New Roman" w:hAnsi="Times New Roman"/>
          <w:sz w:val="20"/>
        </w:rPr>
        <w:t xml:space="preserve">. Our common stock has no preemptive rights, conversion rights or other subscription rights or redemption or sinking 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b/>
          <w:i/>
          <w:sz w:val="20"/>
        </w:rPr>
        <w:t>Listing</w:t>
      </w:r>
      <w:r>
        <w:rPr>
          <w:rFonts w:ascii="Times New Roman" w:hAnsi="Times New Roman"/>
          <w:sz w:val="20"/>
        </w:rPr>
        <w:t xml:space="preserve">. Our common stock is listed on the Nasdaq Global Market under the symbol LRMR. On May 8, 2024, the last reported sale price of our common stock on the Nasdaq Global Market was $7.92 per share. As of May 8, 2024, we had approximately 19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Our Charter and Bylaws and 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240" w:after="0"/>
        <w:jc w:val="left"/>
        <w:rPr>
          <w:rFonts w:ascii="Times New Roman" w:hAnsi="Times New Roman"/>
          <w:sz w:val="20"/>
        </w:rPr>
      </w:pPr>
      <w:r>
        <w:rPr>
          <w:rFonts w:ascii="Times New Roman" w:hAnsi="Times New Roman"/>
          <w:b/>
          <w:i/>
          <w:sz w:val="20"/>
        </w:rPr>
        <w:t>Board Composition and Filling Vacancies</w:t>
      </w:r>
      <w:r>
        <w:rPr>
          <w:rFonts w:ascii="Times New Roman" w:hAnsi="Times New Roman"/>
          <w:sz w:val="20"/>
        </w:rPr>
        <w:t xml:space="preserve">. Our Charter provides for the division of our Board into three classes serving staggered 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 </w:t>
      </w:r>
    </w:p>
    <w:p>
      <w:pPr>
        <w:pStyle w:val="TextBody"/>
        <w:bidi w:val="0"/>
        <w:spacing w:before="240" w:after="0"/>
        <w:jc w:val="left"/>
        <w:rPr>
          <w:rFonts w:ascii="Times New Roman" w:hAnsi="Times New Roman"/>
          <w:sz w:val="20"/>
        </w:rPr>
      </w:pPr>
      <w:r>
        <w:rPr>
          <w:rFonts w:ascii="Times New Roman" w:hAnsi="Times New Roman"/>
          <w:b/>
          <w:i/>
          <w:sz w:val="20"/>
        </w:rPr>
        <w:t>No Written Consent of Stockholders</w:t>
      </w:r>
      <w:r>
        <w:rPr>
          <w:rFonts w:ascii="Times New Roman" w:hAnsi="Times New Roman"/>
          <w:sz w:val="20"/>
        </w:rPr>
        <w:t xml:space="preserve">. Our Charter provides that all stockholder actions are required to be taken by a vote of the stockholders at an annual or special meeting, and that stockholders may not take any action by written consent in lieu of a meeting. </w:t>
      </w:r>
    </w:p>
    <w:p>
      <w:pPr>
        <w:pStyle w:val="TextBody"/>
        <w:bidi w:val="0"/>
        <w:spacing w:before="240" w:after="0"/>
        <w:jc w:val="left"/>
        <w:rPr>
          <w:rFonts w:ascii="Times New Roman" w:hAnsi="Times New Roman"/>
          <w:sz w:val="20"/>
        </w:rPr>
      </w:pPr>
      <w:r>
        <w:rPr>
          <w:rFonts w:ascii="Times New Roman" w:hAnsi="Times New Roman"/>
          <w:b/>
          <w:i/>
          <w:sz w:val="20"/>
        </w:rPr>
        <w:t>Meetings of Stockholders</w:t>
      </w:r>
      <w:r>
        <w:rPr>
          <w:rFonts w:ascii="Times New Roman" w:hAnsi="Times New Roman"/>
          <w:sz w:val="20"/>
        </w:rPr>
        <w:t xml:space="preserve">. Our Charter and Bylaws provide that only a majority of the members of our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240" w:after="0"/>
        <w:jc w:val="left"/>
        <w:rPr>
          <w:rFonts w:ascii="Times New Roman" w:hAnsi="Times New Roman"/>
          <w:sz w:val="20"/>
        </w:rPr>
      </w:pPr>
      <w:r>
        <w:rPr>
          <w:rFonts w:ascii="Times New Roman" w:hAnsi="Times New Roman"/>
          <w:b/>
          <w:i/>
          <w:sz w:val="20"/>
        </w:rPr>
        <w:t>Advance Notice Requirements</w:t>
      </w:r>
      <w:r>
        <w:rPr>
          <w:rFonts w:ascii="Times New Roman" w:hAnsi="Times New Roman"/>
          <w:sz w:val="20"/>
        </w:rPr>
        <w:t xml:space="preserve">.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w:t>
      </w:r>
    </w:p>
    <w:p>
      <w:pPr>
        <w:pStyle w:val="TextBody"/>
        <w:bidi w:val="0"/>
        <w:spacing w:before="240" w:after="0"/>
        <w:jc w:val="left"/>
        <w:rPr>
          <w:rFonts w:ascii="Times New Roman" w:hAnsi="Times New Roman"/>
          <w:sz w:val="20"/>
        </w:rPr>
      </w:pPr>
      <w:r>
        <w:rPr>
          <w:rFonts w:ascii="Times New Roman" w:hAnsi="Times New Roman"/>
          <w:b/>
          <w:i/>
          <w:sz w:val="20"/>
        </w:rPr>
        <w:t>Amendment to Charter and Bylaws</w:t>
      </w:r>
      <w:r>
        <w:rPr>
          <w:rFonts w:ascii="Times New Roman" w:hAnsi="Times New Roman"/>
          <w:sz w:val="20"/>
        </w:rPr>
        <w:t xml:space="preserve">. As required by the DGCL, any amendment of our Charter must first be approved by a majority of our Board,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any conflicts or violations of each partys agreements as a result of the merger or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240" w:after="0"/>
        <w:jc w:val="left"/>
        <w:rPr>
          <w:rFonts w:ascii="Times New Roman" w:hAnsi="Times New Roman"/>
          <w:sz w:val="20"/>
        </w:rPr>
      </w:pPr>
      <w:r>
        <w:rPr>
          <w:rFonts w:ascii="Times New Roman" w:hAnsi="Times New Roman"/>
          <w:b/>
          <w:i/>
          <w:sz w:val="20"/>
        </w:rPr>
        <w:t>Exclusive Jurisdiction of Certain Actions</w:t>
      </w:r>
      <w:r>
        <w:rPr>
          <w:rFonts w:ascii="Times New Roman" w:hAnsi="Times New Roman"/>
          <w:sz w:val="20"/>
        </w:rPr>
        <w:t xml:space="preserve">. Our Charter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a942574_9"/>
      <w:bookmarkEnd w:id="28"/>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Larimar, Larimar Therapeutics, we, our or us refer to Larimar Therapeutics, Inc., excluding our subsidiary,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i/>
          <w:sz w:val="20"/>
        </w:rPr>
        <w:t>Global Debt Securities and Book-Entry System</w:t>
      </w:r>
      <w:r>
        <w:rPr>
          <w:rFonts w:ascii="Times New Roman" w:hAnsi="Times New Roman"/>
          <w:sz w:val="20"/>
        </w:rPr>
        <w:t xml:space="preserve">.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Larimar)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Larimar;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a942574_10"/>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a942574_11"/>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a942574_12"/>
      <w:bookmarkEnd w:id="31"/>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or debt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or debt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a942574_13"/>
      <w:bookmarkEnd w:id="32"/>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information in this section and elsewhere in this prospectus concerning DTC and DTCs book-entry system from sources that are believed to be reliable, but we take no responsibility for the accuracy of this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a942574_14"/>
      <w:bookmarkEnd w:id="3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(as defined in Rule 415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method permitted by applicable law and described in a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or preferred stock will be listed on the Nasdaq Global Market, but any other securities may or may not be listed on a national securities exchange. </w:t>
      </w:r>
    </w:p>
    <w:p>
      <w:pPr>
        <w:pStyle w:val="TextBody"/>
        <w:bidi w:val="0"/>
        <w:spacing w:before="120" w:after="0"/>
        <w:jc w:val="left"/>
        <w:rPr>
          <w:rFonts w:ascii="Times New Roman" w:hAnsi="Times New Roman"/>
          <w:sz w:val="20"/>
        </w:rPr>
      </w:pPr>
      <w:r>
        <w:rPr>
          <w:rFonts w:ascii="Times New Roman" w:hAnsi="Times New Roman"/>
          <w:sz w:val="20"/>
        </w:rPr>
        <w:t xml:space="preserve">To facilitate the offering of securities, and to the extent permitted by and in accordance with Regulation M under the Exchange Act, certain persons participating in the offering may engage in transactions that stabilize, maintain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w:t>
      </w:r>
    </w:p>
    <w:p>
      <w:pPr>
        <w:pStyle w:val="TextBody"/>
        <w:bidi w:val="0"/>
        <w:spacing w:before="240" w:after="0"/>
        <w:jc w:val="left"/>
        <w:rPr>
          <w:rFonts w:ascii="Times New Roman" w:hAnsi="Times New Roman"/>
          <w:sz w:val="20"/>
        </w:rPr>
      </w:pPr>
      <w:r>
        <w:rPr>
          <w:rFonts w:ascii="Times New Roman" w:hAnsi="Times New Roman"/>
          <w:sz w:val="20"/>
        </w:rPr>
        <w:t xml:space="preserve">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No securities may be sold under this prospectus without delivery, in paper format or in electronic format, or both, of the applicable prospectus supplement describing the method and terms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a942574_15"/>
      <w:bookmarkEnd w:id="3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5" w:name="txa942574_16"/>
      <w:bookmarkEnd w:id="3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97810" cy="10121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2797810" cy="1012190"/>
                    </a:xfrm>
                    <a:prstGeom prst="rect">
                      <a:avLst/>
                    </a:prstGeom>
                  </pic:spPr>
                </pic:pic>
              </a:graphicData>
            </a:graphic>
          </wp:inline>
        </w:drawing>
      </w:r>
      <w:r>
        <w:rPr/>
        <w:t xml:space="preserve"> </w:t>
      </w:r>
    </w:p>
    <w:p>
      <w:pPr>
        <w:pStyle w:val="TextBody"/>
        <w:bidi w:val="0"/>
        <w:spacing w:before="1600" w:after="0"/>
        <w:jc w:val="center"/>
        <w:rPr>
          <w:rFonts w:ascii="Times New Roman" w:hAnsi="Times New Roman"/>
          <w:b/>
          <w:sz w:val="32"/>
        </w:rPr>
      </w:pPr>
      <w:r>
        <w:rPr>
          <w:rFonts w:ascii="Times New Roman" w:hAnsi="Times New Roman"/>
          <w:b/>
          <w:sz w:val="32"/>
        </w:rPr>
        <w:t xml:space="preserve">18,750,000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5"/>
        <w:gridCol w:w="101"/>
        <w:gridCol w:w="3267"/>
        <w:gridCol w:w="101"/>
        <w:gridCol w:w="2144"/>
        <w:gridCol w:w="101"/>
        <w:gridCol w:w="2246"/>
      </w:tblGrid>
      <w:tr>
        <w:trPr/>
        <w:tc>
          <w:tcPr>
            <w:tcW w:w="224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0"/>
              <w:jc w:val="left"/>
              <w:rPr>
                <w:rFonts w:ascii="Times New Roman" w:hAnsi="Times New Roman"/>
                <w:b/>
                <w:sz w:val="28"/>
              </w:rPr>
            </w:pPr>
            <w:r>
              <w:rPr>
                <w:rFonts w:ascii="Times New Roman" w:hAnsi="Times New Roman"/>
                <w:b/>
                <w:sz w:val="28"/>
              </w:rPr>
              <w:t>Leerink Partners</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left"/>
              <w:rPr>
                <w:b/>
              </w:rPr>
            </w:pPr>
            <w:r>
              <w:rPr>
                <w:b/>
              </w:rPr>
              <w:t>Guggenheim Securities</w:t>
            </w:r>
          </w:p>
        </w:tc>
        <w:tc>
          <w:tcPr>
            <w:tcW w:w="101" w:type="dxa"/>
            <w:tcBorders/>
            <w:vAlign w:val="bottom"/>
          </w:tcPr>
          <w:p>
            <w:pPr>
              <w:pStyle w:val="TableContents"/>
              <w:bidi w:val="0"/>
              <w:spacing w:before="0" w:after="283"/>
              <w:jc w:val="left"/>
              <w:rPr/>
            </w:pPr>
            <w:r>
              <w:rPr/>
              <w:t> </w:t>
            </w:r>
          </w:p>
        </w:tc>
        <w:tc>
          <w:tcPr>
            <w:tcW w:w="2144" w:type="dxa"/>
            <w:tcBorders/>
            <w:vAlign w:val="bottom"/>
          </w:tcPr>
          <w:p>
            <w:pPr>
              <w:pStyle w:val="TableContents"/>
              <w:bidi w:val="0"/>
              <w:spacing w:before="0" w:after="283"/>
              <w:jc w:val="right"/>
              <w:rPr>
                <w:b/>
              </w:rPr>
            </w:pPr>
            <w:r>
              <w:rPr>
                <w:b/>
              </w:rPr>
              <w:t>Truist Securities</w:t>
            </w:r>
          </w:p>
        </w:tc>
        <w:tc>
          <w:tcPr>
            <w:tcW w:w="101"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right"/>
              <w:rPr>
                <w:b/>
              </w:rPr>
            </w:pPr>
            <w:r>
              <w:rPr>
                <w:b/>
              </w:rPr>
              <w:t>William Blair</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2100" w:after="0"/>
        <w:jc w:val="center"/>
        <w:rPr>
          <w:rFonts w:ascii="Times New Roman" w:hAnsi="Times New Roman"/>
          <w:b/>
          <w:sz w:val="20"/>
        </w:rPr>
      </w:pPr>
      <w:r>
        <w:rPr>
          <w:rFonts w:ascii="Times New Roman" w:hAnsi="Times New Roman"/>
          <w:b/>
          <w:sz w:val="20"/>
        </w:rPr>
        <w:t xml:space="preserve">July 29,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374690/000095017025043925/lrmr-20241231.htm" TargetMode="External"/><Relationship Id="rId4" Type="http://schemas.openxmlformats.org/officeDocument/2006/relationships/hyperlink" Target="http://www.sec.gov/Archives/edgar/data/../../../ix?doc=/Archives/edgar/data/1374690/000095017025061222/lrmr-20250331.htm" TargetMode="External"/><Relationship Id="rId5" Type="http://schemas.openxmlformats.org/officeDocument/2006/relationships/hyperlink" Target="http://www.sec.gov/Archives/edgar/data/../../../ix?doc=/Archives/edgar/data/1374690/000095017025053028/lrmr-20250409.htm" TargetMode="External"/><Relationship Id="rId6" Type="http://schemas.openxmlformats.org/officeDocument/2006/relationships/hyperlink" Target="http://www.sec.gov/Archives/edgar/data/../../../ix?doc=/Archives/edgar/data/1374690/000095017025003794/lrmr-20250109.htm" TargetMode="External"/><Relationship Id="rId7" Type="http://schemas.openxmlformats.org/officeDocument/2006/relationships/hyperlink" Target="http://www.sec.gov/Archives/edgar/data/../../../ix?doc=/Archives/edgar/data/1374690/000095017025009196/lrmr-20250122.htm" TargetMode="External"/><Relationship Id="rId8" Type="http://schemas.openxmlformats.org/officeDocument/2006/relationships/hyperlink" Target="http://www.sec.gov/Archives/edgar/data/../../../ix?doc=/Archives/edgar/data/1374690/000095017025043487/lrmr-20250324.htm" TargetMode="External"/><Relationship Id="rId9" Type="http://schemas.openxmlformats.org/officeDocument/2006/relationships/hyperlink" Target="http://www.sec.gov/Archives/edgar/data/../../../ix?doc=/Archives/edgar/data/1374690/000095017025063125/lrmr-20250505.htm" TargetMode="External"/><Relationship Id="rId10" Type="http://schemas.openxmlformats.org/officeDocument/2006/relationships/hyperlink" Target="http://www.sec.gov/Archives/edgar/data/../../../ix?doc=/Archives/edgar/data/1374690/000095017025070287/lrmr-20250513.htm" TargetMode="External"/><Relationship Id="rId11" Type="http://schemas.openxmlformats.org/officeDocument/2006/relationships/hyperlink" Target="http://www.sec.gov/Archives/edgar/data/../../../ix?doc=/Archives/edgar/data/1374690/000095017025088704/lrmr-20250623.htm" TargetMode="External"/><Relationship Id="rId12" Type="http://schemas.openxmlformats.org/officeDocument/2006/relationships/hyperlink" Target="http://www.sec.gov/Archives/edgar/data/../../../ix?doc=/Archives/edgar/data/1374690/000095017025089074/lrmr-20250623.htm" TargetMode="External"/><Relationship Id="rId13" Type="http://schemas.openxmlformats.org/officeDocument/2006/relationships/hyperlink" Target="http://www.sec.gov/Archives/edgar/data/1374690/000119312514240257/d745277d8a12b.htm" TargetMode="External"/><Relationship Id="rId14" Type="http://schemas.openxmlformats.org/officeDocument/2006/relationships/hyperlink" Target="http://www.sec.gov/Archives/edgar/data/1374690/000156459021011003/lrmr-ex42_407.htm" TargetMode="External"/><Relationship Id="rId15" Type="http://schemas.openxmlformats.org/officeDocument/2006/relationships/image" Target="media/image2.jpeg"/><Relationship Id="rId16" Type="http://schemas.openxmlformats.org/officeDocument/2006/relationships/hyperlink" Target="http://www.sec.gov/Archives/edgar/data/1374690/000095017024031529/lrmr-20231231.htm" TargetMode="External"/><Relationship Id="rId17" Type="http://schemas.openxmlformats.org/officeDocument/2006/relationships/hyperlink" Target="http://www.sec.gov/Archives/edgar/data/../../../ix?doc=/Archives/edgar/data/0001374690/000095017024056965/lrmr-20240331.htm" TargetMode="External"/><Relationship Id="rId18" Type="http://schemas.openxmlformats.org/officeDocument/2006/relationships/hyperlink" Target="http://www.sec.gov/Archives/edgar/data/1374690/000095017024031529/lrmr-20231231.htm" TargetMode="External"/><Relationship Id="rId19" Type="http://schemas.openxmlformats.org/officeDocument/2006/relationships/hyperlink" Target="http://www.sec.gov/Archives/edgar/data/1374690/000119312524122191/d636298ddef14a.htm" TargetMode="External"/><Relationship Id="rId20" Type="http://schemas.openxmlformats.org/officeDocument/2006/relationships/hyperlink" Target="http://www.sec.gov/Archives/edgar/data/1374690/000095017024013563/lrmr-20240212.htm" TargetMode="External"/><Relationship Id="rId21" Type="http://schemas.openxmlformats.org/officeDocument/2006/relationships/hyperlink" Target="http://www.sec.gov/Archives/edgar/data/1374690/000095017024014919/lrmr-20240213.htm" TargetMode="External"/><Relationship Id="rId22" Type="http://schemas.openxmlformats.org/officeDocument/2006/relationships/hyperlink" Target="http://www.sec.gov/Archives/edgar/data/1374690/000119312524038473/d780024d8k.htm" TargetMode="External"/><Relationship Id="rId23" Type="http://schemas.openxmlformats.org/officeDocument/2006/relationships/hyperlink" Target="http://www.sec.gov/Archives/edgar/data/1374690/000095017024029236/lrmr-20240311.htm" TargetMode="External"/><Relationship Id="rId24" Type="http://schemas.openxmlformats.org/officeDocument/2006/relationships/hyperlink" Target="http://www.sec.gov/Archives/edgar/data/../../../ix?doc=/Archives/edgar/data/0001374690/000095017024056248/lrmr-20240509.htm" TargetMode="External"/><Relationship Id="rId25" Type="http://schemas.openxmlformats.org/officeDocument/2006/relationships/hyperlink" Target="http://www.sec.gov/Archives/edgar/data/1374690/000119312514240257/d745277d8a12b.htm" TargetMode="External"/><Relationship Id="rId26" Type="http://schemas.openxmlformats.org/officeDocument/2006/relationships/hyperlink" Target="http://www.sec.gov/Archives/edgar/data/1374690/000156459021011003/lrmr-ex42_407.htm" TargetMode="External"/><Relationship Id="rId27" Type="http://schemas.openxmlformats.org/officeDocument/2006/relationships/image" Target="media/image3.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32770</Words>
  <Characters>172900</Characters>
  <CharactersWithSpaces>205881</CharactersWithSpaces>
  <Paragraphs>2146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