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Larimar Therapeutics,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Arial" w:cs="Arial" w:eastAsia="Arial" w:hAnsi="Arial"/>
                <w:sz w:val="12"/>
                <w:szCs w:val="12"/>
                <w:b w:val="1"/>
                <w:bCs w:val="1"/>
                <w:color w:val="auto"/>
                <w:w w:val="91"/>
              </w:rPr>
              <w:t>Delaware</w:t>
            </w:r>
          </w:p>
        </w:tc>
        <w:tc>
          <w:tcPr>
            <w:tcW w:w="2280" w:type="dxa"/>
            <w:vAlign w:val="bottom"/>
          </w:tcPr>
          <w:p>
            <w:pPr>
              <w:ind w:left="86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center"/>
              <w:ind w:left="848"/>
              <w:spacing w:after="0"/>
              <w:rPr>
                <w:sz w:val="20"/>
                <w:szCs w:val="20"/>
                <w:color w:val="auto"/>
              </w:rPr>
            </w:pPr>
            <w:r>
              <w:rPr>
                <w:rFonts w:ascii="Arial" w:cs="Arial" w:eastAsia="Arial" w:hAnsi="Arial"/>
                <w:sz w:val="12"/>
                <w:szCs w:val="12"/>
                <w:b w:val="1"/>
                <w:bCs w:val="1"/>
                <w:color w:val="auto"/>
                <w:w w:val="90"/>
              </w:rPr>
              <w:t>20-3857670</w:t>
            </w:r>
          </w:p>
        </w:tc>
      </w:tr>
      <w:tr>
        <w:trPr>
          <w:trHeight w:val="99"/>
        </w:trPr>
        <w:tc>
          <w:tcPr>
            <w:tcW w:w="1920" w:type="dxa"/>
            <w:vAlign w:val="bottom"/>
          </w:tcPr>
          <w:p>
            <w:pPr>
              <w:jc w:val="center"/>
              <w:ind w:right="788"/>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2280" w:type="dxa"/>
            <w:vAlign w:val="bottom"/>
          </w:tcPr>
          <w:p>
            <w:pPr>
              <w:ind w:left="86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1920" w:type="dxa"/>
            <w:vAlign w:val="bottom"/>
          </w:tcPr>
          <w:p>
            <w:pPr>
              <w:jc w:val="center"/>
              <w:ind w:right="808"/>
              <w:spacing w:after="0"/>
              <w:rPr>
                <w:sz w:val="20"/>
                <w:szCs w:val="20"/>
                <w:color w:val="auto"/>
              </w:rPr>
            </w:pPr>
            <w:r>
              <w:rPr>
                <w:rFonts w:ascii="Arial" w:cs="Arial" w:eastAsia="Arial" w:hAnsi="Arial"/>
                <w:sz w:val="10"/>
                <w:szCs w:val="10"/>
                <w:b w:val="1"/>
                <w:bCs w:val="1"/>
                <w:color w:val="auto"/>
                <w:w w:val="87"/>
              </w:rPr>
              <w:t>of incorporation)</w:t>
            </w:r>
          </w:p>
        </w:tc>
        <w:tc>
          <w:tcPr>
            <w:tcW w:w="2280" w:type="dxa"/>
            <w:vAlign w:val="bottom"/>
          </w:tcPr>
          <w:p>
            <w:pPr>
              <w:ind w:left="84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48" w:lineRule="exact"/>
        <w:rPr>
          <w:sz w:val="24"/>
          <w:szCs w:val="24"/>
          <w:color w:val="auto"/>
        </w:rPr>
      </w:pPr>
    </w:p>
    <w:p>
      <w:pPr>
        <w:sectPr>
          <w:pgSz w:w="11900" w:h="16838" w:orient="portrait"/>
          <w:cols w:equalWidth="0" w:num="1">
            <w:col w:w="9019"/>
          </w:cols>
          <w:pgMar w:left="1440" w:top="292" w:right="1440" w:bottom="1440" w:gutter="0" w:footer="0" w:header="0"/>
        </w:sectPr>
      </w:pPr>
    </w:p>
    <w:p>
      <w:pPr>
        <w:jc w:val="center"/>
        <w:ind w:right="140"/>
        <w:spacing w:after="0"/>
        <w:rPr>
          <w:sz w:val="20"/>
          <w:szCs w:val="20"/>
          <w:color w:val="auto"/>
        </w:rPr>
      </w:pPr>
      <w:r>
        <w:rPr>
          <w:rFonts w:ascii="Arial" w:cs="Arial" w:eastAsia="Arial" w:hAnsi="Arial"/>
          <w:sz w:val="10"/>
          <w:szCs w:val="10"/>
          <w:b w:val="1"/>
          <w:bCs w:val="1"/>
          <w:color w:val="auto"/>
        </w:rPr>
        <w:t>Three Bala Plaza East, Suite 506</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2"/>
          <w:szCs w:val="12"/>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479"/>
        <w:spacing w:after="0"/>
        <w:rPr>
          <w:sz w:val="20"/>
          <w:szCs w:val="20"/>
          <w:color w:val="auto"/>
        </w:rPr>
      </w:pPr>
      <w:r>
        <w:rPr>
          <w:rFonts w:ascii="Arial" w:cs="Arial" w:eastAsia="Arial" w:hAnsi="Arial"/>
          <w:sz w:val="10"/>
          <w:szCs w:val="10"/>
          <w:b w:val="1"/>
          <w:bCs w:val="1"/>
          <w:color w:val="auto"/>
        </w:rPr>
        <w:t>19004</w:t>
      </w:r>
    </w:p>
    <w:p>
      <w:pPr>
        <w:spacing w:after="0" w:line="41" w:lineRule="exact"/>
        <w:rPr>
          <w:sz w:val="24"/>
          <w:szCs w:val="24"/>
          <w:color w:val="auto"/>
        </w:rPr>
      </w:pPr>
    </w:p>
    <w:p>
      <w:pPr>
        <w:sectPr>
          <w:pgSz w:w="11900" w:h="16838" w:orient="portrait"/>
          <w:cols w:equalWidth="0" w:num="2">
            <w:col w:w="5520" w:space="720"/>
            <w:col w:w="2779"/>
          </w:cols>
          <w:pgMar w:left="1440" w:top="292" w:right="1440" w:bottom="1440" w:gutter="0" w:footer="0" w:header="0"/>
          <w:type w:val="continuous"/>
        </w:sectPr>
      </w:pPr>
    </w:p>
    <w:p>
      <w:pPr>
        <w:ind w:left="190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38" w:lineRule="exact"/>
        <w:rPr>
          <w:sz w:val="24"/>
          <w:szCs w:val="24"/>
          <w:color w:val="auto"/>
        </w:rPr>
      </w:pPr>
    </w:p>
    <w:p>
      <w:pPr>
        <w:sectPr>
          <w:pgSz w:w="11900" w:h="16838" w:orient="portrait"/>
          <w:cols w:equalWidth="0" w:num="2">
            <w:col w:w="5460" w:space="720"/>
            <w:col w:w="28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511-9056</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153035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98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7"/>
              </w:rPr>
              <w:t>Trading</w:t>
            </w:r>
          </w:p>
        </w:tc>
        <w:tc>
          <w:tcPr>
            <w:tcW w:w="2800" w:type="dxa"/>
            <w:vAlign w:val="bottom"/>
            <w:gridSpan w:val="3"/>
          </w:tcPr>
          <w:p>
            <w:pPr>
              <w:jc w:val="center"/>
              <w:ind w:left="1546"/>
              <w:spacing w:after="0"/>
              <w:rPr>
                <w:sz w:val="20"/>
                <w:szCs w:val="20"/>
                <w:color w:val="auto"/>
              </w:rPr>
            </w:pPr>
            <w:r>
              <w:rPr>
                <w:rFonts w:ascii="Arial" w:cs="Arial" w:eastAsia="Arial" w:hAnsi="Arial"/>
                <w:sz w:val="10"/>
                <w:szCs w:val="10"/>
                <w:b w:val="1"/>
                <w:bCs w:val="1"/>
                <w:color w:val="auto"/>
                <w:w w:val="84"/>
              </w:rPr>
              <w:t>Name of each exchange</w:t>
            </w:r>
          </w:p>
        </w:tc>
        <w:tc>
          <w:tcPr>
            <w:tcW w:w="0" w:type="dxa"/>
            <w:vAlign w:val="bottom"/>
          </w:tcPr>
          <w:p>
            <w:pPr>
              <w:spacing w:after="0"/>
              <w:rPr>
                <w:sz w:val="1"/>
                <w:szCs w:val="1"/>
                <w:color w:val="auto"/>
              </w:rPr>
            </w:pPr>
          </w:p>
        </w:tc>
      </w:tr>
      <w:tr>
        <w:trPr>
          <w:trHeight w:val="113"/>
        </w:trPr>
        <w:tc>
          <w:tcPr>
            <w:tcW w:w="740" w:type="dxa"/>
            <w:vAlign w:val="bottom"/>
          </w:tcPr>
          <w:p>
            <w:pPr>
              <w:spacing w:after="0"/>
              <w:rPr>
                <w:sz w:val="9"/>
                <w:szCs w:val="9"/>
                <w:color w:val="auto"/>
              </w:rPr>
            </w:pPr>
          </w:p>
        </w:tc>
        <w:tc>
          <w:tcPr>
            <w:tcW w:w="720" w:type="dxa"/>
            <w:vAlign w:val="bottom"/>
          </w:tcPr>
          <w:p>
            <w:pPr>
              <w:spacing w:after="0" w:line="114" w:lineRule="exact"/>
              <w:rPr>
                <w:sz w:val="20"/>
                <w:szCs w:val="20"/>
                <w:color w:val="auto"/>
              </w:rPr>
            </w:pPr>
            <w:r>
              <w:rPr>
                <w:rFonts w:ascii="Arial" w:cs="Arial" w:eastAsia="Arial" w:hAnsi="Arial"/>
                <w:sz w:val="10"/>
                <w:szCs w:val="10"/>
                <w:b w:val="1"/>
                <w:bCs w:val="1"/>
                <w:color w:val="auto"/>
                <w:w w:val="81"/>
              </w:rPr>
              <w:t>Title of each class</w:t>
            </w:r>
          </w:p>
        </w:tc>
        <w:tc>
          <w:tcPr>
            <w:tcW w:w="1340" w:type="dxa"/>
            <w:vAlign w:val="bottom"/>
          </w:tcPr>
          <w:p>
            <w:pPr>
              <w:spacing w:after="0"/>
              <w:rPr>
                <w:sz w:val="9"/>
                <w:szCs w:val="9"/>
                <w:color w:val="auto"/>
              </w:rPr>
            </w:pPr>
          </w:p>
        </w:tc>
        <w:tc>
          <w:tcPr>
            <w:tcW w:w="1020" w:type="dxa"/>
            <w:vAlign w:val="bottom"/>
            <w:gridSpan w:val="2"/>
          </w:tcPr>
          <w:p>
            <w:pPr>
              <w:jc w:val="center"/>
              <w:ind w:left="532"/>
              <w:spacing w:after="0" w:line="114" w:lineRule="exact"/>
              <w:rPr>
                <w:sz w:val="20"/>
                <w:szCs w:val="20"/>
                <w:color w:val="auto"/>
              </w:rPr>
            </w:pPr>
            <w:r>
              <w:rPr>
                <w:rFonts w:ascii="Arial" w:cs="Arial" w:eastAsia="Arial" w:hAnsi="Arial"/>
                <w:sz w:val="10"/>
                <w:szCs w:val="10"/>
                <w:b w:val="1"/>
                <w:bCs w:val="1"/>
                <w:color w:val="auto"/>
                <w:w w:val="82"/>
              </w:rPr>
              <w:t>Symbol(s)</w:t>
            </w:r>
          </w:p>
        </w:tc>
        <w:tc>
          <w:tcPr>
            <w:tcW w:w="1800" w:type="dxa"/>
            <w:vAlign w:val="bottom"/>
          </w:tcPr>
          <w:p>
            <w:pPr>
              <w:spacing w:after="0"/>
              <w:rPr>
                <w:sz w:val="9"/>
                <w:szCs w:val="9"/>
                <w:color w:val="auto"/>
              </w:rPr>
            </w:pPr>
          </w:p>
        </w:tc>
        <w:tc>
          <w:tcPr>
            <w:tcW w:w="10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on which registered</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40" w:type="dxa"/>
            <w:vAlign w:val="bottom"/>
            <w:vMerge w:val="restart"/>
          </w:tcPr>
          <w:p>
            <w:pPr>
              <w:spacing w:after="0"/>
              <w:rPr>
                <w:sz w:val="20"/>
                <w:szCs w:val="20"/>
                <w:color w:val="auto"/>
              </w:rPr>
            </w:pPr>
            <w:r>
              <w:rPr>
                <w:rFonts w:ascii="Arial" w:cs="Arial" w:eastAsia="Arial" w:hAnsi="Arial"/>
                <w:sz w:val="12"/>
                <w:szCs w:val="12"/>
                <w:b w:val="1"/>
                <w:bCs w:val="1"/>
                <w:color w:val="auto"/>
              </w:rPr>
              <w:t>0.001 per share</w:t>
            </w: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60" w:type="dxa"/>
            <w:vAlign w:val="bottom"/>
            <w:gridSpan w:val="2"/>
          </w:tcPr>
          <w:p>
            <w:pPr>
              <w:spacing w:after="0"/>
              <w:rPr>
                <w:sz w:val="20"/>
                <w:szCs w:val="20"/>
                <w:color w:val="auto"/>
              </w:rPr>
            </w:pPr>
            <w:r>
              <w:rPr>
                <w:rFonts w:ascii="Arial" w:cs="Arial" w:eastAsia="Arial" w:hAnsi="Arial"/>
                <w:sz w:val="12"/>
                <w:szCs w:val="12"/>
                <w:b w:val="1"/>
                <w:bCs w:val="1"/>
                <w:color w:val="auto"/>
                <w:w w:val="91"/>
              </w:rPr>
              <w:t>Common Stock, par value $</w:t>
            </w:r>
          </w:p>
        </w:tc>
        <w:tc>
          <w:tcPr>
            <w:tcW w:w="13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rPr>
              <w:t>LRMR</w:t>
            </w:r>
          </w:p>
        </w:tc>
        <w:tc>
          <w:tcPr>
            <w:tcW w:w="2800" w:type="dxa"/>
            <w:vAlign w:val="bottom"/>
            <w:gridSpan w:val="3"/>
          </w:tcPr>
          <w:p>
            <w:pPr>
              <w:jc w:val="center"/>
              <w:ind w:left="1566"/>
              <w:spacing w:after="0"/>
              <w:rPr>
                <w:sz w:val="20"/>
                <w:szCs w:val="20"/>
                <w:color w:val="auto"/>
              </w:rPr>
            </w:pPr>
            <w:r>
              <w:rPr>
                <w:rFonts w:ascii="Arial" w:cs="Arial" w:eastAsia="Arial" w:hAnsi="Arial"/>
                <w:sz w:val="12"/>
                <w:szCs w:val="12"/>
                <w:b w:val="1"/>
                <w:bCs w:val="1"/>
                <w:color w:val="auto"/>
                <w:w w:val="93"/>
              </w:rPr>
              <w:t>Nasdaq Global Market</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Investor Presentation</w:t>
      </w:r>
    </w:p>
    <w:p>
      <w:pPr>
        <w:spacing w:after="0" w:line="78"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On May 11, 2021, Larimar Therapeutics, Inc.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Press Release</w:t>
      </w:r>
    </w:p>
    <w:p>
      <w:pPr>
        <w:spacing w:after="0" w:line="78"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On May 11, 2021, the Company issued a press release announcing topline data from the Company’s Phase 1 multiple ascending dose (MAD) clinical trial (n=27) evaluating CTI-1601 as a treatment for Friedreich’s ataxia (FA) and provided additional updates regarding future activities planned for 2021. A copy of this press release is filed as Exhibit 99.2 hereto and incorporated herein by reference.</w:t>
      </w:r>
    </w:p>
    <w:p>
      <w:pPr>
        <w:spacing w:after="0" w:line="217"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Below is a list of exhibits included with this Current Report on Form 8-K.</w:t>
      </w:r>
    </w:p>
    <w:p>
      <w:pPr>
        <w:sectPr>
          <w:pgSz w:w="11900" w:h="16838" w:orient="portrait"/>
          <w:cols w:equalWidth="0" w:num="1">
            <w:col w:w="9019"/>
          </w:cols>
          <w:pgMar w:left="1440" w:top="226" w:right="1440" w:bottom="1440" w:gutter="0" w:footer="0" w:header="0"/>
        </w:sectPr>
      </w:pPr>
    </w:p>
    <w:p>
      <w:pPr>
        <w:spacing w:after="0" w:line="162" w:lineRule="exact"/>
        <w:rPr>
          <w:sz w:val="20"/>
          <w:szCs w:val="20"/>
          <w:color w:val="auto"/>
        </w:rPr>
      </w:pPr>
    </w:p>
    <w:p>
      <w:pPr>
        <w:ind w:left="840"/>
        <w:spacing w:after="0"/>
        <w:rPr>
          <w:sz w:val="20"/>
          <w:szCs w:val="20"/>
          <w:color w:val="auto"/>
        </w:rPr>
      </w:pPr>
      <w:r>
        <w:rPr>
          <w:rFonts w:ascii="Arial" w:cs="Arial" w:eastAsia="Arial" w:hAnsi="Arial"/>
          <w:sz w:val="8"/>
          <w:szCs w:val="8"/>
          <w:b w:val="1"/>
          <w:bCs w:val="1"/>
          <w:color w:val="auto"/>
        </w:rPr>
        <w:t>Exhibit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19050</wp:posOffset>
            </wp:positionV>
            <wp:extent cx="42919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91965" cy="5715"/>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3860" w:space="720"/>
            <w:col w:w="4439"/>
          </w:cols>
          <w:pgMar w:left="1440" w:top="226" w:right="1440" w:bottom="1440" w:gutter="0" w:footer="0" w:header="0"/>
          <w:type w:val="continuous"/>
        </w:sect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Larimar Therapeutics, Inc. Corporate Presentation, dated May 11, 2021*</w:t>
        </w:r>
      </w:hyperlink>
    </w:p>
    <w:p>
      <w:pPr>
        <w:spacing w:after="0" w:line="78"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26">
        <w:r>
          <w:rPr>
            <w:rFonts w:ascii="Arial" w:cs="Arial" w:eastAsia="Arial" w:hAnsi="Arial"/>
            <w:sz w:val="10"/>
            <w:szCs w:val="10"/>
            <w:u w:val="single" w:color="auto"/>
            <w:color w:val="0000EE"/>
          </w:rPr>
          <w:t>Press Release of Larimar Therapeutics, Inc., dated May 11, 2021*</w:t>
        </w:r>
      </w:hyperlink>
    </w:p>
    <w:p>
      <w:pPr>
        <w:spacing w:after="0" w:line="168" w:lineRule="exact"/>
        <w:rPr>
          <w:sz w:val="20"/>
          <w:szCs w:val="20"/>
          <w:color w:val="auto"/>
        </w:rPr>
      </w:pPr>
    </w:p>
    <w:p>
      <w:pPr>
        <w:ind w:left="1120" w:hanging="288"/>
        <w:spacing w:after="0"/>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Filed herewith.</w:t>
      </w:r>
    </w:p>
    <w:p>
      <w:pPr>
        <w:sectPr>
          <w:pgSz w:w="11900" w:h="16838" w:orient="portrait"/>
          <w:cols w:equalWidth="0" w:num="1">
            <w:col w:w="9019"/>
          </w:cols>
          <w:pgMar w:left="1440" w:top="226" w:right="1440"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Larimar Therapeutics, Inc.</w:t>
      </w:r>
    </w:p>
    <w:p>
      <w:pPr>
        <w:spacing w:after="0" w:line="150"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i w:val="1"/>
          <w:iCs w:val="1"/>
          <w:color w:val="auto"/>
        </w:rPr>
        <w:t>Name: Carole S. Ben-Maimon, M.D.</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i w:val="1"/>
          <w:iCs w:val="1"/>
          <w:color w:val="auto"/>
        </w:rPr>
        <w:t>Title:</w:t>
        <w:tab/>
        <w:t>President and Chief Executive Officer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May 11, 2021</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ind w:right="839"/>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114935</wp:posOffset>
            </wp:positionV>
            <wp:extent cx="994410" cy="388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4410"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Larimar Therapeutics Reports Positive Topline Phase 1 Clinical Trial Data Showing Dose-Dependent Increases in Frataxin Levels in Patients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with Friedreich’s Ataxia</w:t>
      </w:r>
    </w:p>
    <w:p>
      <w:pPr>
        <w:spacing w:after="0" w:line="141" w:lineRule="exact"/>
        <w:rPr>
          <w:sz w:val="20"/>
          <w:szCs w:val="20"/>
          <w:color w:val="auto"/>
        </w:rPr>
      </w:pPr>
    </w:p>
    <w:p>
      <w:pPr>
        <w:ind w:left="940" w:hanging="67"/>
        <w:spacing w:after="0"/>
        <w:tabs>
          <w:tab w:leader="none" w:pos="940" w:val="left"/>
        </w:tabs>
        <w:numPr>
          <w:ilvl w:val="0"/>
          <w:numId w:val="3"/>
        </w:numPr>
        <w:rPr>
          <w:rFonts w:ascii="Arial" w:cs="Arial" w:eastAsia="Arial" w:hAnsi="Arial"/>
          <w:sz w:val="10"/>
          <w:szCs w:val="10"/>
          <w:color w:val="auto"/>
        </w:rPr>
      </w:pPr>
      <w:r>
        <w:rPr>
          <w:rFonts w:ascii="Arial" w:cs="Arial" w:eastAsia="Arial" w:hAnsi="Arial"/>
          <w:sz w:val="10"/>
          <w:szCs w:val="10"/>
          <w:i w:val="1"/>
          <w:iCs w:val="1"/>
          <w:color w:val="auto"/>
        </w:rPr>
        <w:t>Data demonstrate proof-of-concept by showing that daily subcutaneous injections of CTI-1601 for up to 13 days resulted in dose-dependent increases</w:t>
      </w:r>
    </w:p>
    <w:p>
      <w:pPr>
        <w:spacing w:after="0" w:line="37" w:lineRule="exact"/>
        <w:rPr>
          <w:rFonts w:ascii="Arial" w:cs="Arial" w:eastAsia="Arial" w:hAnsi="Arial"/>
          <w:sz w:val="10"/>
          <w:szCs w:val="10"/>
          <w:color w:val="auto"/>
        </w:rPr>
      </w:pPr>
    </w:p>
    <w:p>
      <w:pPr>
        <w:ind w:left="2680"/>
        <w:spacing w:after="0"/>
        <w:rPr>
          <w:rFonts w:ascii="Arial" w:cs="Arial" w:eastAsia="Arial" w:hAnsi="Arial"/>
          <w:sz w:val="10"/>
          <w:szCs w:val="10"/>
          <w:color w:val="auto"/>
        </w:rPr>
      </w:pPr>
      <w:r>
        <w:rPr>
          <w:rFonts w:ascii="Arial" w:cs="Arial" w:eastAsia="Arial" w:hAnsi="Arial"/>
          <w:sz w:val="12"/>
          <w:szCs w:val="12"/>
          <w:i w:val="1"/>
          <w:iCs w:val="1"/>
          <w:color w:val="auto"/>
        </w:rPr>
        <w:t>in frataxin levels from baseline compared to placebo in all evaluated tissues</w:t>
      </w:r>
    </w:p>
    <w:p>
      <w:pPr>
        <w:spacing w:after="0" w:line="141" w:lineRule="exact"/>
        <w:rPr>
          <w:rFonts w:ascii="Arial" w:cs="Arial" w:eastAsia="Arial" w:hAnsi="Arial"/>
          <w:sz w:val="10"/>
          <w:szCs w:val="10"/>
          <w:color w:val="auto"/>
        </w:rPr>
      </w:pPr>
    </w:p>
    <w:p>
      <w:pPr>
        <w:jc w:val="center"/>
        <w:ind w:left="2100" w:right="939" w:hanging="1164"/>
        <w:spacing w:after="0" w:line="276" w:lineRule="auto"/>
        <w:tabs>
          <w:tab w:leader="none" w:pos="1001" w:val="left"/>
        </w:tabs>
        <w:numPr>
          <w:ilvl w:val="2"/>
          <w:numId w:val="3"/>
        </w:numPr>
        <w:rPr>
          <w:rFonts w:ascii="Arial" w:cs="Arial" w:eastAsia="Arial" w:hAnsi="Arial"/>
          <w:sz w:val="12"/>
          <w:szCs w:val="12"/>
          <w:color w:val="auto"/>
        </w:rPr>
      </w:pPr>
      <w:r>
        <w:rPr>
          <w:rFonts w:ascii="Arial" w:cs="Arial" w:eastAsia="Arial" w:hAnsi="Arial"/>
          <w:sz w:val="12"/>
          <w:szCs w:val="12"/>
          <w:i w:val="1"/>
          <w:iCs w:val="1"/>
          <w:color w:val="auto"/>
        </w:rPr>
        <w:t>Data show that frataxin levels achieved in peripheral tissues (buccal cells) following daily 50 mg and 100 mg subcutaneous injections of CTI-1601 were at or in excess of those that would be expected in phenotypically normal heterozygous carriers</w:t>
      </w:r>
    </w:p>
    <w:p>
      <w:pPr>
        <w:spacing w:after="0" w:line="114" w:lineRule="exact"/>
        <w:rPr>
          <w:rFonts w:ascii="Arial" w:cs="Arial" w:eastAsia="Arial" w:hAnsi="Arial"/>
          <w:sz w:val="12"/>
          <w:szCs w:val="12"/>
          <w:color w:val="auto"/>
        </w:rPr>
      </w:pPr>
    </w:p>
    <w:p>
      <w:pPr>
        <w:ind w:left="960" w:hanging="76"/>
        <w:spacing w:after="0"/>
        <w:tabs>
          <w:tab w:leader="none" w:pos="960" w:val="left"/>
        </w:tabs>
        <w:numPr>
          <w:ilvl w:val="1"/>
          <w:numId w:val="3"/>
        </w:numPr>
        <w:rPr>
          <w:rFonts w:ascii="Arial" w:cs="Arial" w:eastAsia="Arial" w:hAnsi="Arial"/>
          <w:sz w:val="10"/>
          <w:szCs w:val="10"/>
          <w:color w:val="auto"/>
        </w:rPr>
      </w:pPr>
      <w:r>
        <w:rPr>
          <w:rFonts w:ascii="Arial" w:cs="Arial" w:eastAsia="Arial" w:hAnsi="Arial"/>
          <w:sz w:val="10"/>
          <w:szCs w:val="10"/>
          <w:i w:val="1"/>
          <w:iCs w:val="1"/>
          <w:color w:val="auto"/>
        </w:rPr>
        <w:t>Safety data indicate that repeated subcutaneous injections of CTI-1601 were generally well tolerated at doses up to 100 mg administered daily for 13</w:t>
      </w:r>
    </w:p>
    <w:p>
      <w:pPr>
        <w:spacing w:after="0" w:line="37" w:lineRule="exact"/>
        <w:rPr>
          <w:rFonts w:ascii="Arial" w:cs="Arial" w:eastAsia="Arial" w:hAnsi="Arial"/>
          <w:sz w:val="10"/>
          <w:szCs w:val="10"/>
          <w:color w:val="auto"/>
        </w:rPr>
      </w:pPr>
    </w:p>
    <w:p>
      <w:pPr>
        <w:ind w:left="4400"/>
        <w:spacing w:after="0"/>
        <w:rPr>
          <w:rFonts w:ascii="Arial" w:cs="Arial" w:eastAsia="Arial" w:hAnsi="Arial"/>
          <w:sz w:val="10"/>
          <w:szCs w:val="10"/>
          <w:color w:val="auto"/>
        </w:rPr>
      </w:pPr>
      <w:r>
        <w:rPr>
          <w:rFonts w:ascii="Arial" w:cs="Arial" w:eastAsia="Arial" w:hAnsi="Arial"/>
          <w:sz w:val="12"/>
          <w:szCs w:val="12"/>
          <w:i w:val="1"/>
          <w:iCs w:val="1"/>
          <w:color w:val="auto"/>
        </w:rPr>
        <w:t>days</w:t>
      </w:r>
    </w:p>
    <w:p>
      <w:pPr>
        <w:spacing w:after="0" w:line="141" w:lineRule="exact"/>
        <w:rPr>
          <w:rFonts w:ascii="Arial" w:cs="Arial" w:eastAsia="Arial" w:hAnsi="Arial"/>
          <w:sz w:val="10"/>
          <w:szCs w:val="10"/>
          <w:color w:val="auto"/>
        </w:rPr>
      </w:pPr>
    </w:p>
    <w:p>
      <w:pPr>
        <w:ind w:left="2580" w:hanging="71"/>
        <w:spacing w:after="0"/>
        <w:tabs>
          <w:tab w:leader="none" w:pos="2580" w:val="left"/>
        </w:tabs>
        <w:numPr>
          <w:ilvl w:val="3"/>
          <w:numId w:val="3"/>
        </w:numPr>
        <w:rPr>
          <w:rFonts w:ascii="Arial" w:cs="Arial" w:eastAsia="Arial" w:hAnsi="Arial"/>
          <w:sz w:val="12"/>
          <w:szCs w:val="12"/>
          <w:color w:val="auto"/>
        </w:rPr>
      </w:pPr>
      <w:r>
        <w:rPr>
          <w:rFonts w:ascii="Arial" w:cs="Arial" w:eastAsia="Arial" w:hAnsi="Arial"/>
          <w:sz w:val="12"/>
          <w:szCs w:val="12"/>
          <w:i w:val="1"/>
          <w:iCs w:val="1"/>
          <w:color w:val="auto"/>
        </w:rPr>
        <w:t>Company management to host webcast and conference call today at 8:00 a.m. ET</w:t>
      </w:r>
    </w:p>
    <w:p>
      <w:pPr>
        <w:spacing w:after="0" w:line="146" w:lineRule="exact"/>
        <w:rPr>
          <w:sz w:val="20"/>
          <w:szCs w:val="20"/>
          <w:color w:val="auto"/>
        </w:rPr>
      </w:pPr>
    </w:p>
    <w:p>
      <w:pPr>
        <w:ind w:left="840" w:right="999"/>
        <w:spacing w:after="0" w:line="266" w:lineRule="auto"/>
        <w:rPr>
          <w:sz w:val="20"/>
          <w:szCs w:val="20"/>
          <w:color w:val="auto"/>
        </w:rPr>
      </w:pPr>
      <w:r>
        <w:rPr>
          <w:rFonts w:ascii="Arial" w:cs="Arial" w:eastAsia="Arial" w:hAnsi="Arial"/>
          <w:sz w:val="12"/>
          <w:szCs w:val="12"/>
          <w:b w:val="1"/>
          <w:bCs w:val="1"/>
          <w:color w:val="auto"/>
        </w:rPr>
        <w:t xml:space="preserve">Bala Cynwyd, PA, </w:t>
      </w:r>
      <w:r>
        <w:rPr>
          <w:rFonts w:ascii="Arial" w:cs="Arial" w:eastAsia="Arial" w:hAnsi="Arial"/>
          <w:sz w:val="12"/>
          <w:szCs w:val="12"/>
          <w:color w:val="auto"/>
        </w:rPr>
        <w:t>May 11, 2021 – Larimar Therapeutics, Inc. (“Larimar”) (Nasdaq: LRMR), a clinical-stage biotechnology company focused on</w:t>
      </w:r>
      <w:r>
        <w:rPr>
          <w:rFonts w:ascii="Arial" w:cs="Arial" w:eastAsia="Arial" w:hAnsi="Arial"/>
          <w:sz w:val="12"/>
          <w:szCs w:val="12"/>
          <w:b w:val="1"/>
          <w:bCs w:val="1"/>
          <w:color w:val="auto"/>
        </w:rPr>
        <w:t xml:space="preserve"> </w:t>
      </w:r>
      <w:r>
        <w:rPr>
          <w:rFonts w:ascii="Arial" w:cs="Arial" w:eastAsia="Arial" w:hAnsi="Arial"/>
          <w:sz w:val="12"/>
          <w:szCs w:val="12"/>
          <w:color w:val="auto"/>
        </w:rPr>
        <w:t>developing treatments for Friedreich’s ataxia (FA) and other complex rare diseases, today announced topline data from its Phase 1 multiple ascending dose (MAD) clinical trial (n=27) evaluating CTI-1601 as a treatment for FA.</w:t>
      </w:r>
    </w:p>
    <w:p>
      <w:pPr>
        <w:spacing w:after="0" w:line="121" w:lineRule="exact"/>
        <w:rPr>
          <w:sz w:val="20"/>
          <w:szCs w:val="20"/>
          <w:color w:val="auto"/>
        </w:rPr>
      </w:pPr>
    </w:p>
    <w:p>
      <w:pPr>
        <w:ind w:left="840" w:right="879"/>
        <w:spacing w:after="0" w:line="259" w:lineRule="auto"/>
        <w:rPr>
          <w:sz w:val="20"/>
          <w:szCs w:val="20"/>
          <w:color w:val="auto"/>
        </w:rPr>
      </w:pPr>
      <w:r>
        <w:rPr>
          <w:rFonts w:ascii="Arial" w:cs="Arial" w:eastAsia="Arial" w:hAnsi="Arial"/>
          <w:sz w:val="12"/>
          <w:szCs w:val="12"/>
          <w:color w:val="auto"/>
        </w:rPr>
        <w:t>FA patients participating in the trial received subcutaneous injections of CTI-1601 or placebo at increasing dose levels and frequencies over a 13-day period. Patients in Cohort 1 were dosed with 25 mg of CTI-1601 or placebo daily for four days, and then every third day until Day 13. Cohort 2 patients were dosed with 50 mg of CTI-1601 or placebo daily for seven days, and then once every other day until Day 13. Patients in Cohort 3 received daily injections of 100 mg CTI-1601 or placebo for thirteen days.</w:t>
      </w:r>
    </w:p>
    <w:p>
      <w:pPr>
        <w:spacing w:after="0" w:line="124" w:lineRule="exact"/>
        <w:rPr>
          <w:sz w:val="20"/>
          <w:szCs w:val="20"/>
          <w:color w:val="auto"/>
        </w:rPr>
      </w:pPr>
    </w:p>
    <w:p>
      <w:pPr>
        <w:ind w:left="840" w:right="879"/>
        <w:spacing w:after="0" w:line="340" w:lineRule="auto"/>
        <w:rPr>
          <w:sz w:val="20"/>
          <w:szCs w:val="20"/>
          <w:color w:val="auto"/>
        </w:rPr>
      </w:pPr>
      <w:r>
        <w:rPr>
          <w:rFonts w:ascii="Arial" w:cs="Arial" w:eastAsia="Arial" w:hAnsi="Arial"/>
          <w:sz w:val="10"/>
          <w:szCs w:val="10"/>
          <w:color w:val="auto"/>
        </w:rPr>
        <w:t>Data show that repeated subcutaneous administration of CTI-1601 resulted in dose-dependent increases in frataxin (FXN) levels from baseline compared to placebo controls. These dose-dependent increases in frataxin levels were seen in all evaluated tissues (buccal cells, skin biopsies, and platelets) with daily dosing. The median change from baseline in frataxin levels observed for each dosing group and tissue are shown in the table below.</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FXN Change from Baseline in Buccal Cells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Units: pg FXN / µg total protein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Data presented as: n median (25</w:t>
      </w:r>
      <w:r>
        <w:rPr>
          <w:rFonts w:ascii="Arial" w:cs="Arial" w:eastAsia="Arial" w:hAnsi="Arial"/>
          <w:sz w:val="10"/>
          <w:szCs w:val="10"/>
          <w:color w:val="auto"/>
        </w:rPr>
        <w:t>th</w:t>
      </w:r>
      <w:r>
        <w:rPr>
          <w:rFonts w:ascii="Arial" w:cs="Arial" w:eastAsia="Arial" w:hAnsi="Arial"/>
          <w:sz w:val="12"/>
          <w:szCs w:val="12"/>
          <w:color w:val="auto"/>
        </w:rPr>
        <w:t xml:space="preserve"> percentile, 75</w:t>
      </w:r>
      <w:r>
        <w:rPr>
          <w:rFonts w:ascii="Arial" w:cs="Arial" w:eastAsia="Arial" w:hAnsi="Arial"/>
          <w:sz w:val="10"/>
          <w:szCs w:val="10"/>
          <w:color w:val="auto"/>
        </w:rPr>
        <w:t>th</w:t>
      </w:r>
      <w:r>
        <w:rPr>
          <w:rFonts w:ascii="Arial" w:cs="Arial" w:eastAsia="Arial" w:hAnsi="Arial"/>
          <w:sz w:val="12"/>
          <w:szCs w:val="12"/>
          <w:color w:val="auto"/>
        </w:rPr>
        <w:t xml:space="preserve"> percentile)</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4460" w:type="dxa"/>
            <w:vAlign w:val="bottom"/>
            <w:gridSpan w:val="2"/>
          </w:tcPr>
          <w:p>
            <w:pPr>
              <w:spacing w:after="0"/>
              <w:rPr>
                <w:sz w:val="20"/>
                <w:szCs w:val="20"/>
                <w:color w:val="auto"/>
              </w:rPr>
            </w:pPr>
            <w:r>
              <w:rPr>
                <w:rFonts w:ascii="Arial" w:cs="Arial" w:eastAsia="Arial" w:hAnsi="Arial"/>
                <w:sz w:val="10"/>
                <w:szCs w:val="10"/>
                <w:b w:val="1"/>
                <w:bCs w:val="1"/>
                <w:color w:val="auto"/>
              </w:rPr>
              <w:t>Dose Group</w:t>
            </w:r>
          </w:p>
        </w:tc>
        <w:tc>
          <w:tcPr>
            <w:tcW w:w="320" w:type="dxa"/>
            <w:vAlign w:val="bottom"/>
          </w:tcPr>
          <w:p>
            <w:pPr>
              <w:spacing w:after="0"/>
              <w:rPr>
                <w:sz w:val="10"/>
                <w:szCs w:val="1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7"/>
              </w:rPr>
              <w:t>Day 4/7*</w:t>
            </w:r>
          </w:p>
        </w:tc>
        <w:tc>
          <w:tcPr>
            <w:tcW w:w="320" w:type="dxa"/>
            <w:vAlign w:val="bottom"/>
          </w:tcPr>
          <w:p>
            <w:pPr>
              <w:spacing w:after="0"/>
              <w:rPr>
                <w:sz w:val="10"/>
                <w:szCs w:val="10"/>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9"/>
              </w:rPr>
              <w:t>Day 13</w:t>
            </w:r>
          </w:p>
        </w:tc>
      </w:tr>
      <w:tr>
        <w:trPr>
          <w:trHeight w:val="20"/>
        </w:trPr>
        <w:tc>
          <w:tcPr>
            <w:tcW w:w="50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2"/>
        </w:trPr>
        <w:tc>
          <w:tcPr>
            <w:tcW w:w="446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Placebo (n=7)</w:t>
            </w: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-0.03</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(-0.18, 0.97)</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0.35</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(-0.02, 0.46)</w:t>
            </w:r>
          </w:p>
        </w:tc>
        <w:tc>
          <w:tcPr>
            <w:tcW w:w="80" w:type="dxa"/>
            <w:vAlign w:val="bottom"/>
            <w:shd w:val="clear" w:color="auto" w:fill="CCEEFF"/>
          </w:tcPr>
          <w:p>
            <w:pPr>
              <w:spacing w:after="0"/>
              <w:rPr>
                <w:sz w:val="10"/>
                <w:szCs w:val="10"/>
                <w:color w:val="auto"/>
              </w:rPr>
            </w:pP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w w:val="99"/>
              </w:rPr>
              <w:t>Cohort 1</w:t>
            </w:r>
          </w:p>
        </w:tc>
        <w:tc>
          <w:tcPr>
            <w:tcW w:w="3960" w:type="dxa"/>
            <w:vAlign w:val="bottom"/>
          </w:tcPr>
          <w:p>
            <w:pPr>
              <w:spacing w:after="0"/>
              <w:rPr>
                <w:sz w:val="20"/>
                <w:szCs w:val="20"/>
                <w:color w:val="auto"/>
              </w:rPr>
            </w:pPr>
            <w:r>
              <w:rPr>
                <w:rFonts w:ascii="Arial" w:cs="Arial" w:eastAsia="Arial" w:hAnsi="Arial"/>
                <w:sz w:val="12"/>
                <w:szCs w:val="12"/>
                <w:color w:val="auto"/>
              </w:rPr>
              <w:t>Active (25 mg, n=6)</w:t>
            </w:r>
          </w:p>
        </w:tc>
        <w:tc>
          <w:tcPr>
            <w:tcW w:w="320" w:type="dxa"/>
            <w:vAlign w:val="bottom"/>
          </w:tcPr>
          <w:p>
            <w:pPr>
              <w:jc w:val="right"/>
              <w:spacing w:after="0"/>
              <w:rPr>
                <w:sz w:val="20"/>
                <w:szCs w:val="20"/>
                <w:color w:val="auto"/>
              </w:rPr>
            </w:pPr>
            <w:r>
              <w:rPr>
                <w:rFonts w:ascii="Arial" w:cs="Arial" w:eastAsia="Arial" w:hAnsi="Arial"/>
                <w:sz w:val="12"/>
                <w:szCs w:val="12"/>
                <w:color w:val="auto"/>
              </w:rPr>
              <w:t>0.39</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(0.01, 0.72)</w:t>
            </w:r>
          </w:p>
        </w:tc>
        <w:tc>
          <w:tcPr>
            <w:tcW w:w="320" w:type="dxa"/>
            <w:vAlign w:val="bottom"/>
          </w:tcPr>
          <w:p>
            <w:pPr>
              <w:jc w:val="right"/>
              <w:spacing w:after="0"/>
              <w:rPr>
                <w:sz w:val="20"/>
                <w:szCs w:val="20"/>
                <w:color w:val="auto"/>
              </w:rPr>
            </w:pPr>
            <w:r>
              <w:rPr>
                <w:rFonts w:ascii="Arial" w:cs="Arial" w:eastAsia="Arial" w:hAnsi="Arial"/>
                <w:sz w:val="12"/>
                <w:szCs w:val="12"/>
                <w:color w:val="auto"/>
              </w:rPr>
              <w:t>0.92</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(0.48, 0.94)</w:t>
            </w:r>
          </w:p>
        </w:tc>
      </w:tr>
      <w:tr>
        <w:trPr>
          <w:trHeight w:val="144"/>
        </w:trPr>
        <w:tc>
          <w:tcPr>
            <w:tcW w:w="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99"/>
              </w:rPr>
              <w:t>Cohort 2</w:t>
            </w: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Active (50 mg, n=6)</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(1.09, 1.69)</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(0.35, 1.08)</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w w:val="99"/>
              </w:rPr>
              <w:t>Cohort 3</w:t>
            </w:r>
          </w:p>
        </w:tc>
        <w:tc>
          <w:tcPr>
            <w:tcW w:w="3960" w:type="dxa"/>
            <w:vAlign w:val="bottom"/>
          </w:tcPr>
          <w:p>
            <w:pPr>
              <w:spacing w:after="0"/>
              <w:rPr>
                <w:sz w:val="20"/>
                <w:szCs w:val="20"/>
                <w:color w:val="auto"/>
              </w:rPr>
            </w:pPr>
            <w:r>
              <w:rPr>
                <w:rFonts w:ascii="Arial" w:cs="Arial" w:eastAsia="Arial" w:hAnsi="Arial"/>
                <w:sz w:val="12"/>
                <w:szCs w:val="12"/>
                <w:color w:val="auto"/>
              </w:rPr>
              <w:t>Active (100 mg, n=7)</w:t>
            </w:r>
          </w:p>
        </w:tc>
        <w:tc>
          <w:tcPr>
            <w:tcW w:w="320" w:type="dxa"/>
            <w:vAlign w:val="bottom"/>
          </w:tcPr>
          <w:p>
            <w:pPr>
              <w:jc w:val="right"/>
              <w:spacing w:after="0"/>
              <w:rPr>
                <w:sz w:val="20"/>
                <w:szCs w:val="20"/>
                <w:color w:val="auto"/>
              </w:rPr>
            </w:pPr>
            <w:r>
              <w:rPr>
                <w:rFonts w:ascii="Arial" w:cs="Arial" w:eastAsia="Arial" w:hAnsi="Arial"/>
                <w:sz w:val="12"/>
                <w:szCs w:val="12"/>
                <w:color w:val="auto"/>
              </w:rPr>
              <w:t>3.06</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(1.70, 4.16)</w:t>
            </w:r>
          </w:p>
        </w:tc>
        <w:tc>
          <w:tcPr>
            <w:tcW w:w="320" w:type="dxa"/>
            <w:vAlign w:val="bottom"/>
          </w:tcPr>
          <w:p>
            <w:pPr>
              <w:jc w:val="right"/>
              <w:spacing w:after="0"/>
              <w:rPr>
                <w:sz w:val="20"/>
                <w:szCs w:val="20"/>
                <w:color w:val="auto"/>
              </w:rPr>
            </w:pPr>
            <w:r>
              <w:rPr>
                <w:rFonts w:ascii="Arial" w:cs="Arial" w:eastAsia="Arial" w:hAnsi="Arial"/>
                <w:sz w:val="12"/>
                <w:szCs w:val="12"/>
                <w:color w:val="auto"/>
              </w:rPr>
              <w:t>2.64</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(1.93, 3.99)</w:t>
            </w:r>
          </w:p>
        </w:tc>
      </w:tr>
    </w:tbl>
    <w:p>
      <w:pPr>
        <w:sectPr>
          <w:pgSz w:w="11900" w:h="16838" w:orient="portrait"/>
          <w:cols w:equalWidth="0" w:num="1">
            <w:col w:w="9019"/>
          </w:cols>
          <w:pgMar w:left="1440" w:top="127"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FXN Change from Baseline in Skin Biopsies</w:t>
      </w:r>
      <w:r>
        <w:rPr>
          <w:rFonts w:ascii="Arial" w:cs="Arial" w:eastAsia="Arial" w:hAnsi="Arial"/>
          <w:sz w:val="10"/>
          <w:szCs w:val="10"/>
          <w:b w:val="1"/>
          <w:bCs w:val="1"/>
          <w:color w:val="auto"/>
        </w:rPr>
        <w: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Units: pg FXN / µg total protein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Data presented as: median (25</w:t>
      </w:r>
      <w:r>
        <w:rPr>
          <w:rFonts w:ascii="Arial" w:cs="Arial" w:eastAsia="Arial" w:hAnsi="Arial"/>
          <w:sz w:val="10"/>
          <w:szCs w:val="10"/>
          <w:color w:val="auto"/>
        </w:rPr>
        <w:t>th</w:t>
      </w:r>
      <w:r>
        <w:rPr>
          <w:rFonts w:ascii="Arial" w:cs="Arial" w:eastAsia="Arial" w:hAnsi="Arial"/>
          <w:sz w:val="12"/>
          <w:szCs w:val="12"/>
          <w:color w:val="auto"/>
        </w:rPr>
        <w:t xml:space="preserve"> percentile, 75</w:t>
      </w:r>
      <w:r>
        <w:rPr>
          <w:rFonts w:ascii="Arial" w:cs="Arial" w:eastAsia="Arial" w:hAnsi="Arial"/>
          <w:sz w:val="10"/>
          <w:szCs w:val="10"/>
          <w:color w:val="auto"/>
        </w:rPr>
        <w:t>th</w:t>
      </w:r>
      <w:r>
        <w:rPr>
          <w:rFonts w:ascii="Arial" w:cs="Arial" w:eastAsia="Arial" w:hAnsi="Arial"/>
          <w:sz w:val="12"/>
          <w:szCs w:val="12"/>
          <w:color w:val="auto"/>
        </w:rPr>
        <w:t xml:space="preserve"> percentile)</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300" w:type="dxa"/>
            <w:vAlign w:val="bottom"/>
          </w:tcPr>
          <w:p>
            <w:pPr>
              <w:spacing w:after="0"/>
              <w:rPr>
                <w:sz w:val="11"/>
                <w:szCs w:val="11"/>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3"/>
              </w:rPr>
              <w:t>Dose Group</w:t>
            </w:r>
          </w:p>
        </w:tc>
        <w:tc>
          <w:tcPr>
            <w:tcW w:w="10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7"/>
              </w:rPr>
              <w:t>Day 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Day 13</w:t>
            </w:r>
          </w:p>
        </w:tc>
      </w:tr>
      <w:tr>
        <w:trPr>
          <w:trHeight w:val="122"/>
        </w:trPr>
        <w:tc>
          <w:tcPr>
            <w:tcW w:w="300" w:type="dxa"/>
            <w:vAlign w:val="bottom"/>
          </w:tcPr>
          <w:p>
            <w:pPr>
              <w:spacing w:after="0"/>
              <w:rPr>
                <w:sz w:val="10"/>
                <w:szCs w:val="10"/>
                <w:color w:val="auto"/>
              </w:rPr>
            </w:pPr>
          </w:p>
        </w:tc>
        <w:tc>
          <w:tcPr>
            <w:tcW w:w="1580" w:type="dxa"/>
            <w:vAlign w:val="bottom"/>
            <w:tcBorders>
              <w:top w:val="single" w:sz="8" w:color="CCEEFF"/>
            </w:tcBorders>
            <w:gridSpan w:val="3"/>
            <w:shd w:val="clear" w:color="auto" w:fill="CCEEFF"/>
          </w:tcPr>
          <w:p>
            <w:pPr>
              <w:spacing w:after="0" w:line="122" w:lineRule="exact"/>
              <w:rPr>
                <w:sz w:val="20"/>
                <w:szCs w:val="20"/>
                <w:color w:val="auto"/>
              </w:rPr>
            </w:pPr>
            <w:r>
              <w:rPr>
                <w:rFonts w:ascii="Arial" w:cs="Arial" w:eastAsia="Arial" w:hAnsi="Arial"/>
                <w:sz w:val="12"/>
                <w:szCs w:val="12"/>
                <w:color w:val="auto"/>
              </w:rPr>
              <w:t>Placebo (n=7)</w:t>
            </w:r>
          </w:p>
        </w:tc>
        <w:tc>
          <w:tcPr>
            <w:tcW w:w="25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N/A</w:t>
            </w: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2"/>
                <w:szCs w:val="12"/>
                <w:color w:val="auto"/>
                <w:w w:val="93"/>
              </w:rPr>
              <w:t>0.92</w:t>
            </w:r>
          </w:p>
        </w:tc>
        <w:tc>
          <w:tcPr>
            <w:tcW w:w="82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2"/>
                <w:szCs w:val="12"/>
                <w:color w:val="auto"/>
              </w:rPr>
              <w:t>(0.10, 1.17)</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30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Arial" w:cs="Arial" w:eastAsia="Arial" w:hAnsi="Arial"/>
                <w:sz w:val="12"/>
                <w:szCs w:val="12"/>
                <w:color w:val="auto"/>
              </w:rPr>
              <w:t>Cohort 1 Active (25 mg, n=6)</w:t>
            </w: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N/A</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w w:val="93"/>
              </w:rPr>
              <w:t>0.87</w:t>
            </w: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(-0.07, 1.69)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1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Cohort 2 Active (50 mg, n=6)</w:t>
            </w:r>
          </w:p>
        </w:tc>
        <w:tc>
          <w:tcPr>
            <w:tcW w:w="2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2.82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(1.93, 4.01)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30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Arial" w:cs="Arial" w:eastAsia="Arial" w:hAnsi="Arial"/>
                <w:sz w:val="12"/>
                <w:szCs w:val="12"/>
                <w:color w:val="auto"/>
                <w:w w:val="97"/>
              </w:rPr>
              <w:t>Cohort 3 Active (100 mg, n=7)</w:t>
            </w: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N/A</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w w:val="93"/>
              </w:rPr>
              <w:t>10.6</w:t>
            </w: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(7.20, 18.1)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0"/>
        </w:trPr>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4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0"/>
              </w:rPr>
              <w:t>FXN Change from Baseline in Platelets</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44"/>
        </w:trPr>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2"/>
          </w:tcPr>
          <w:p>
            <w:pPr>
              <w:jc w:val="center"/>
              <w:ind w:left="100"/>
              <w:spacing w:after="0"/>
              <w:rPr>
                <w:sz w:val="20"/>
                <w:szCs w:val="20"/>
                <w:color w:val="auto"/>
              </w:rPr>
            </w:pPr>
            <w:r>
              <w:rPr>
                <w:rFonts w:ascii="Arial" w:cs="Arial" w:eastAsia="Arial" w:hAnsi="Arial"/>
                <w:sz w:val="12"/>
                <w:szCs w:val="12"/>
                <w:color w:val="auto"/>
                <w:w w:val="94"/>
              </w:rPr>
              <w:t>Units: pg FXN / µg total protein</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60" w:type="dxa"/>
            <w:vAlign w:val="bottom"/>
            <w:gridSpan w:val="5"/>
          </w:tcPr>
          <w:p>
            <w:pPr>
              <w:jc w:val="center"/>
              <w:ind w:right="460"/>
              <w:spacing w:after="0"/>
              <w:rPr>
                <w:sz w:val="20"/>
                <w:szCs w:val="20"/>
                <w:color w:val="auto"/>
              </w:rPr>
            </w:pPr>
            <w:r>
              <w:rPr>
                <w:rFonts w:ascii="Arial" w:cs="Arial" w:eastAsia="Arial" w:hAnsi="Arial"/>
                <w:sz w:val="12"/>
                <w:szCs w:val="12"/>
                <w:color w:val="auto"/>
                <w:w w:val="89"/>
              </w:rPr>
              <w:t>Data presented as: median (25</w:t>
            </w:r>
            <w:r>
              <w:rPr>
                <w:rFonts w:ascii="Arial" w:cs="Arial" w:eastAsia="Arial" w:hAnsi="Arial"/>
                <w:sz w:val="10"/>
                <w:szCs w:val="10"/>
                <w:color w:val="auto"/>
                <w:w w:val="89"/>
              </w:rPr>
              <w:t>th</w:t>
            </w:r>
            <w:r>
              <w:rPr>
                <w:rFonts w:ascii="Arial" w:cs="Arial" w:eastAsia="Arial" w:hAnsi="Arial"/>
                <w:sz w:val="12"/>
                <w:szCs w:val="12"/>
                <w:color w:val="auto"/>
                <w:w w:val="89"/>
              </w:rPr>
              <w:t xml:space="preserve"> percentile, 75</w:t>
            </w:r>
            <w:r>
              <w:rPr>
                <w:rFonts w:ascii="Arial" w:cs="Arial" w:eastAsia="Arial" w:hAnsi="Arial"/>
                <w:sz w:val="10"/>
                <w:szCs w:val="10"/>
                <w:color w:val="auto"/>
                <w:w w:val="89"/>
              </w:rPr>
              <w:t>th</w:t>
            </w:r>
            <w:r>
              <w:rPr>
                <w:rFonts w:ascii="Arial" w:cs="Arial" w:eastAsia="Arial" w:hAnsi="Arial"/>
                <w:sz w:val="12"/>
                <w:szCs w:val="12"/>
                <w:color w:val="auto"/>
                <w:w w:val="89"/>
              </w:rPr>
              <w:t xml:space="preserve"> percentile)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61"/>
        </w:trPr>
        <w:tc>
          <w:tcPr>
            <w:tcW w:w="1880" w:type="dxa"/>
            <w:vAlign w:val="bottom"/>
            <w:gridSpan w:val="4"/>
          </w:tcPr>
          <w:p>
            <w:pPr>
              <w:spacing w:after="0"/>
              <w:rPr>
                <w:sz w:val="20"/>
                <w:szCs w:val="20"/>
                <w:color w:val="auto"/>
              </w:rPr>
            </w:pPr>
            <w:r>
              <w:rPr>
                <w:rFonts w:ascii="Arial" w:cs="Arial" w:eastAsia="Arial" w:hAnsi="Arial"/>
                <w:sz w:val="10"/>
                <w:szCs w:val="10"/>
                <w:b w:val="1"/>
                <w:bCs w:val="1"/>
                <w:color w:val="auto"/>
              </w:rPr>
              <w:t>Dose Group</w:t>
            </w:r>
          </w:p>
        </w:tc>
        <w:tc>
          <w:tcPr>
            <w:tcW w:w="2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2"/>
              </w:rPr>
              <w:t>Day 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4"/>
          </w:tcPr>
          <w:p>
            <w:pPr>
              <w:jc w:val="right"/>
              <w:ind w:right="480"/>
              <w:spacing w:after="0"/>
              <w:rPr>
                <w:sz w:val="20"/>
                <w:szCs w:val="20"/>
                <w:color w:val="auto"/>
              </w:rPr>
            </w:pPr>
            <w:r>
              <w:rPr>
                <w:rFonts w:ascii="Arial" w:cs="Arial" w:eastAsia="Arial" w:hAnsi="Arial"/>
                <w:sz w:val="10"/>
                <w:szCs w:val="10"/>
                <w:b w:val="1"/>
                <w:bCs w:val="1"/>
                <w:color w:val="auto"/>
                <w:w w:val="99"/>
              </w:rPr>
              <w:t>Day 13</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2"/>
        </w:trPr>
        <w:tc>
          <w:tcPr>
            <w:tcW w:w="1880" w:type="dxa"/>
            <w:vAlign w:val="bottom"/>
            <w:gridSpan w:val="4"/>
            <w:shd w:val="clear" w:color="auto" w:fill="CCEEFF"/>
          </w:tcPr>
          <w:p>
            <w:pPr>
              <w:spacing w:after="0" w:line="122" w:lineRule="exact"/>
              <w:rPr>
                <w:sz w:val="20"/>
                <w:szCs w:val="20"/>
                <w:color w:val="auto"/>
              </w:rPr>
            </w:pPr>
            <w:r>
              <w:rPr>
                <w:rFonts w:ascii="Arial" w:cs="Arial" w:eastAsia="Arial" w:hAnsi="Arial"/>
                <w:sz w:val="12"/>
                <w:szCs w:val="12"/>
                <w:color w:val="auto"/>
              </w:rPr>
              <w:t>Placebo (n=7)</w:t>
            </w:r>
          </w:p>
        </w:tc>
        <w:tc>
          <w:tcPr>
            <w:tcW w:w="252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w w:val="94"/>
              </w:rPr>
              <w:t>-0.38</w:t>
            </w:r>
          </w:p>
        </w:tc>
        <w:tc>
          <w:tcPr>
            <w:tcW w:w="7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2"/>
                <w:szCs w:val="12"/>
                <w:color w:val="auto"/>
              </w:rPr>
              <w:t>(-1.23, 0.60)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1"/>
              <w:spacing w:after="0" w:line="122" w:lineRule="exact"/>
              <w:rPr>
                <w:sz w:val="20"/>
                <w:szCs w:val="20"/>
                <w:color w:val="auto"/>
              </w:rPr>
            </w:pPr>
            <w:r>
              <w:rPr>
                <w:rFonts w:ascii="Arial" w:cs="Arial" w:eastAsia="Arial" w:hAnsi="Arial"/>
                <w:sz w:val="12"/>
                <w:szCs w:val="12"/>
                <w:color w:val="auto"/>
              </w:rPr>
              <w:t>-0.65</w:t>
            </w:r>
          </w:p>
        </w:tc>
        <w:tc>
          <w:tcPr>
            <w:tcW w:w="74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2"/>
                <w:szCs w:val="12"/>
                <w:color w:val="auto"/>
              </w:rPr>
              <w:t>(-1.71, 1.03)</w:t>
            </w:r>
          </w:p>
        </w:tc>
        <w:tc>
          <w:tcPr>
            <w:tcW w:w="80" w:type="dxa"/>
            <w:vAlign w:val="bottom"/>
            <w:shd w:val="clear" w:color="auto" w:fill="CCEEFF"/>
          </w:tcPr>
          <w:p>
            <w:pPr>
              <w:spacing w:after="0"/>
              <w:rPr>
                <w:sz w:val="10"/>
                <w:szCs w:val="10"/>
                <w:color w:val="auto"/>
              </w:rPr>
            </w:pPr>
          </w:p>
        </w:tc>
      </w:tr>
      <w:tr>
        <w:trPr>
          <w:trHeight w:val="144"/>
        </w:trPr>
        <w:tc>
          <w:tcPr>
            <w:tcW w:w="500" w:type="dxa"/>
            <w:vAlign w:val="bottom"/>
            <w:gridSpan w:val="2"/>
          </w:tcPr>
          <w:p>
            <w:pPr>
              <w:spacing w:after="0"/>
              <w:rPr>
                <w:sz w:val="20"/>
                <w:szCs w:val="20"/>
                <w:color w:val="auto"/>
              </w:rPr>
            </w:pPr>
            <w:r>
              <w:rPr>
                <w:rFonts w:ascii="Arial" w:cs="Arial" w:eastAsia="Arial" w:hAnsi="Arial"/>
                <w:sz w:val="12"/>
                <w:szCs w:val="12"/>
                <w:color w:val="auto"/>
                <w:w w:val="99"/>
              </w:rPr>
              <w:t>Cohort 1</w:t>
            </w:r>
          </w:p>
        </w:tc>
        <w:tc>
          <w:tcPr>
            <w:tcW w:w="1380" w:type="dxa"/>
            <w:vAlign w:val="bottom"/>
            <w:gridSpan w:val="2"/>
          </w:tcPr>
          <w:p>
            <w:pPr>
              <w:spacing w:after="0"/>
              <w:rPr>
                <w:sz w:val="20"/>
                <w:szCs w:val="20"/>
                <w:color w:val="auto"/>
              </w:rPr>
            </w:pPr>
            <w:r>
              <w:rPr>
                <w:rFonts w:ascii="Arial" w:cs="Arial" w:eastAsia="Arial" w:hAnsi="Arial"/>
                <w:sz w:val="12"/>
                <w:szCs w:val="12"/>
                <w:color w:val="auto"/>
              </w:rPr>
              <w:t>Active (25 mg, n=6)</w:t>
            </w:r>
          </w:p>
        </w:tc>
        <w:tc>
          <w:tcPr>
            <w:tcW w:w="2840" w:type="dxa"/>
            <w:vAlign w:val="bottom"/>
            <w:gridSpan w:val="2"/>
          </w:tcPr>
          <w:p>
            <w:pPr>
              <w:jc w:val="right"/>
              <w:spacing w:after="0"/>
              <w:rPr>
                <w:sz w:val="20"/>
                <w:szCs w:val="20"/>
                <w:color w:val="auto"/>
              </w:rPr>
            </w:pPr>
            <w:r>
              <w:rPr>
                <w:rFonts w:ascii="Arial" w:cs="Arial" w:eastAsia="Arial" w:hAnsi="Arial"/>
                <w:sz w:val="12"/>
                <w:szCs w:val="12"/>
                <w:color w:val="auto"/>
              </w:rPr>
              <w:t>-0.15</w:t>
            </w:r>
          </w:p>
        </w:tc>
        <w:tc>
          <w:tcPr>
            <w:tcW w:w="860" w:type="dxa"/>
            <w:vAlign w:val="bottom"/>
            <w:gridSpan w:val="5"/>
          </w:tcPr>
          <w:p>
            <w:pPr>
              <w:jc w:val="right"/>
              <w:ind w:right="80"/>
              <w:spacing w:after="0"/>
              <w:rPr>
                <w:sz w:val="20"/>
                <w:szCs w:val="20"/>
                <w:color w:val="auto"/>
              </w:rPr>
            </w:pPr>
            <w:r>
              <w:rPr>
                <w:rFonts w:ascii="Arial" w:cs="Arial" w:eastAsia="Arial" w:hAnsi="Arial"/>
                <w:sz w:val="12"/>
                <w:szCs w:val="12"/>
                <w:color w:val="auto"/>
              </w:rPr>
              <w:t>(-2.18, 0.60)</w:t>
            </w: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-0.53</w:t>
            </w:r>
          </w:p>
        </w:tc>
        <w:tc>
          <w:tcPr>
            <w:tcW w:w="820" w:type="dxa"/>
            <w:vAlign w:val="bottom"/>
            <w:gridSpan w:val="4"/>
          </w:tcPr>
          <w:p>
            <w:pPr>
              <w:jc w:val="right"/>
              <w:ind w:right="40"/>
              <w:spacing w:after="0"/>
              <w:rPr>
                <w:sz w:val="20"/>
                <w:szCs w:val="20"/>
                <w:color w:val="auto"/>
              </w:rPr>
            </w:pPr>
            <w:r>
              <w:rPr>
                <w:rFonts w:ascii="Arial" w:cs="Arial" w:eastAsia="Arial" w:hAnsi="Arial"/>
                <w:sz w:val="12"/>
                <w:szCs w:val="12"/>
                <w:color w:val="auto"/>
              </w:rPr>
              <w:t>(-1.01, 0.80)</w:t>
            </w:r>
          </w:p>
        </w:tc>
      </w:tr>
      <w:tr>
        <w:trPr>
          <w:trHeight w:val="144"/>
        </w:trPr>
        <w:tc>
          <w:tcPr>
            <w:tcW w:w="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w w:val="99"/>
              </w:rPr>
              <w:t>Cohort 2</w:t>
            </w:r>
          </w:p>
        </w:tc>
        <w:tc>
          <w:tcPr>
            <w:tcW w:w="1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Active (50 mg, n=6)</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(-0.18, 0.75)</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-0.87</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(-1.14, -0.70)</w:t>
            </w:r>
          </w:p>
        </w:tc>
      </w:tr>
      <w:tr>
        <w:trPr>
          <w:trHeight w:val="145"/>
        </w:trPr>
        <w:tc>
          <w:tcPr>
            <w:tcW w:w="500" w:type="dxa"/>
            <w:vAlign w:val="bottom"/>
            <w:gridSpan w:val="2"/>
          </w:tcPr>
          <w:p>
            <w:pPr>
              <w:spacing w:after="0"/>
              <w:rPr>
                <w:sz w:val="20"/>
                <w:szCs w:val="20"/>
                <w:color w:val="auto"/>
              </w:rPr>
            </w:pPr>
            <w:r>
              <w:rPr>
                <w:rFonts w:ascii="Arial" w:cs="Arial" w:eastAsia="Arial" w:hAnsi="Arial"/>
                <w:sz w:val="12"/>
                <w:szCs w:val="12"/>
                <w:color w:val="auto"/>
                <w:w w:val="99"/>
              </w:rPr>
              <w:t>Cohort 3</w:t>
            </w:r>
          </w:p>
        </w:tc>
        <w:tc>
          <w:tcPr>
            <w:tcW w:w="1380" w:type="dxa"/>
            <w:vAlign w:val="bottom"/>
            <w:gridSpan w:val="2"/>
          </w:tcPr>
          <w:p>
            <w:pPr>
              <w:spacing w:after="0"/>
              <w:rPr>
                <w:sz w:val="20"/>
                <w:szCs w:val="20"/>
                <w:color w:val="auto"/>
              </w:rPr>
            </w:pPr>
            <w:r>
              <w:rPr>
                <w:rFonts w:ascii="Arial" w:cs="Arial" w:eastAsia="Arial" w:hAnsi="Arial"/>
                <w:sz w:val="12"/>
                <w:szCs w:val="12"/>
                <w:color w:val="auto"/>
              </w:rPr>
              <w:t>Active (100 mg, n=7)</w:t>
            </w:r>
          </w:p>
        </w:tc>
        <w:tc>
          <w:tcPr>
            <w:tcW w:w="2840" w:type="dxa"/>
            <w:vAlign w:val="bottom"/>
            <w:gridSpan w:val="2"/>
          </w:tcPr>
          <w:p>
            <w:pPr>
              <w:jc w:val="right"/>
              <w:spacing w:after="0"/>
              <w:rPr>
                <w:sz w:val="20"/>
                <w:szCs w:val="20"/>
                <w:color w:val="auto"/>
              </w:rPr>
            </w:pPr>
            <w:r>
              <w:rPr>
                <w:rFonts w:ascii="Arial" w:cs="Arial" w:eastAsia="Arial" w:hAnsi="Arial"/>
                <w:sz w:val="12"/>
                <w:szCs w:val="12"/>
                <w:color w:val="auto"/>
              </w:rPr>
              <w:t>2.54</w:t>
            </w:r>
          </w:p>
        </w:tc>
        <w:tc>
          <w:tcPr>
            <w:tcW w:w="860" w:type="dxa"/>
            <w:vAlign w:val="bottom"/>
            <w:gridSpan w:val="5"/>
          </w:tcPr>
          <w:p>
            <w:pPr>
              <w:jc w:val="right"/>
              <w:ind w:right="80"/>
              <w:spacing w:after="0"/>
              <w:rPr>
                <w:sz w:val="20"/>
                <w:szCs w:val="20"/>
                <w:color w:val="auto"/>
              </w:rPr>
            </w:pPr>
            <w:r>
              <w:rPr>
                <w:rFonts w:ascii="Arial" w:cs="Arial" w:eastAsia="Arial" w:hAnsi="Arial"/>
                <w:sz w:val="12"/>
                <w:szCs w:val="12"/>
                <w:color w:val="auto"/>
              </w:rPr>
              <w:t>(2.27, 2.70)</w:t>
            </w: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3.55</w:t>
            </w:r>
          </w:p>
        </w:tc>
        <w:tc>
          <w:tcPr>
            <w:tcW w:w="820" w:type="dxa"/>
            <w:vAlign w:val="bottom"/>
            <w:gridSpan w:val="4"/>
          </w:tcPr>
          <w:p>
            <w:pPr>
              <w:jc w:val="right"/>
              <w:ind w:right="40"/>
              <w:spacing w:after="0"/>
              <w:rPr>
                <w:sz w:val="20"/>
                <w:szCs w:val="20"/>
                <w:color w:val="auto"/>
              </w:rPr>
            </w:pPr>
            <w:r>
              <w:rPr>
                <w:rFonts w:ascii="Arial" w:cs="Arial" w:eastAsia="Arial" w:hAnsi="Arial"/>
                <w:sz w:val="12"/>
                <w:szCs w:val="12"/>
                <w:color w:val="auto"/>
              </w:rPr>
              <w:t>(2.71, 4.93)</w:t>
            </w:r>
          </w:p>
        </w:tc>
      </w:tr>
    </w:tbl>
    <w:p>
      <w:pPr>
        <w:ind w:left="1120" w:right="899" w:hanging="288"/>
        <w:spacing w:after="0" w:line="271" w:lineRule="auto"/>
        <w:tabs>
          <w:tab w:leader="none" w:pos="1120" w:val="left"/>
        </w:tabs>
        <w:numPr>
          <w:ilvl w:val="0"/>
          <w:numId w:val="4"/>
        </w:numPr>
        <w:rPr>
          <w:rFonts w:ascii="Arial" w:cs="Arial" w:eastAsia="Arial" w:hAnsi="Arial"/>
          <w:sz w:val="11"/>
          <w:szCs w:val="11"/>
          <w:color w:val="auto"/>
        </w:rPr>
      </w:pPr>
      <w:r>
        <w:rPr>
          <w:rFonts w:ascii="Arial" w:cs="Arial" w:eastAsia="Arial" w:hAnsi="Arial"/>
          <w:sz w:val="11"/>
          <w:szCs w:val="11"/>
          <w:color w:val="auto"/>
        </w:rPr>
        <w:t>FXN levels from Day 4 and 13 measurements are shown for data derived from Cohort 1. FXN levels from Day 7 and 13 measurements are shown for data derived from Cohorts 2 and 3. Sample collection days varied in each cohort per the clinical trial protocol.</w:t>
      </w:r>
    </w:p>
    <w:p>
      <w:pPr>
        <w:ind w:left="1120" w:right="919" w:hanging="288"/>
        <w:spacing w:after="0" w:line="262" w:lineRule="auto"/>
        <w:tabs>
          <w:tab w:leader="none" w:pos="1120" w:val="left"/>
        </w:tabs>
        <w:numPr>
          <w:ilvl w:val="0"/>
          <w:numId w:val="5"/>
        </w:numPr>
        <w:rPr>
          <w:rFonts w:ascii="Arial" w:cs="Arial" w:eastAsia="Arial" w:hAnsi="Arial"/>
          <w:sz w:val="10"/>
          <w:szCs w:val="10"/>
          <w:color w:val="auto"/>
        </w:rPr>
      </w:pPr>
      <w:r>
        <w:rPr>
          <w:rFonts w:ascii="Arial" w:cs="Arial" w:eastAsia="Arial" w:hAnsi="Arial"/>
          <w:sz w:val="12"/>
          <w:szCs w:val="12"/>
          <w:color w:val="auto"/>
        </w:rPr>
        <w:t>Skin biopsies were not collected on Day 4 or Day 7 per the clinical trial protocol. Skin biopsies were optional per the protocol and were collected in 5 of the 7 patients in Cohort 3.</w:t>
      </w:r>
    </w:p>
    <w:p>
      <w:pPr>
        <w:spacing w:after="0" w:line="123" w:lineRule="exact"/>
        <w:rPr>
          <w:sz w:val="20"/>
          <w:szCs w:val="20"/>
          <w:color w:val="auto"/>
        </w:rPr>
      </w:pPr>
    </w:p>
    <w:p>
      <w:pPr>
        <w:ind w:left="840" w:right="879"/>
        <w:spacing w:after="0" w:line="279" w:lineRule="auto"/>
        <w:rPr>
          <w:sz w:val="20"/>
          <w:szCs w:val="20"/>
          <w:color w:val="auto"/>
        </w:rPr>
      </w:pPr>
      <w:r>
        <w:rPr>
          <w:rFonts w:ascii="Arial" w:cs="Arial" w:eastAsia="Arial" w:hAnsi="Arial"/>
          <w:sz w:val="11"/>
          <w:szCs w:val="11"/>
          <w:color w:val="auto"/>
        </w:rPr>
        <w:t>“The ability of CTI-1601 to elevate frataxin in the evaluated tissues strongly supports its continued clinical evaluation, as frataxin levels in buccal cells and blood have been shown to be associated with disease severity in FA patients,” said Nancy M. Ruiz, MD, Chief Medical Officer of Larimar. “Notably, daily subcutaneous CTI-1601 administration resulted in median frataxin levels in buccal cells that are similar to, and even exceed, the levels we would expect to see in phenotypically normal heterozygous carriers (who have frataxin levels that are approximately 50% of unaffected healthy persons). These findings are exciting and represent a critical step forward in CTI-1601’s development as a frataxin replacement therapy for patients with FA. We believe CTI-1601 has the potential to address a critical unmet need, as FA is caused by patients’ inability to produce sufficient amounts of frataxin and current treatment options for this progressive and devastating disease are limited to symptom management. It is also important to note that CTI-1601 is the only drug candidate that we are aware of in clinical development that is designed to supplement frataxin levels in patients with FA, thus addressing the root cause of the disease.”</w:t>
      </w:r>
    </w:p>
    <w:p>
      <w:pPr>
        <w:spacing w:after="0" w:line="117"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Safety data from the trial indicate that repeated subcutaneous injections of CTI-1601 were generally well tolerated at doses up to 100 mg administered daily for 13 days. A summary of the safety data, as well as pharmacokinetic data are shown below.</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i w:val="1"/>
          <w:iCs w:val="1"/>
          <w:color w:val="auto"/>
        </w:rPr>
        <w:t>Safety:</w:t>
      </w:r>
    </w:p>
    <w:p>
      <w:pPr>
        <w:spacing w:after="0" w:line="87" w:lineRule="exact"/>
        <w:rPr>
          <w:sz w:val="20"/>
          <w:szCs w:val="20"/>
          <w:color w:val="auto"/>
        </w:rPr>
      </w:pPr>
    </w:p>
    <w:p>
      <w:pPr>
        <w:ind w:left="1780" w:hanging="219"/>
        <w:spacing w:after="0"/>
        <w:tabs>
          <w:tab w:leader="none" w:pos="1780" w:val="left"/>
        </w:tabs>
        <w:numPr>
          <w:ilvl w:val="0"/>
          <w:numId w:val="6"/>
        </w:numPr>
        <w:rPr>
          <w:rFonts w:ascii="Arial" w:cs="Arial" w:eastAsia="Arial" w:hAnsi="Arial"/>
          <w:sz w:val="11"/>
          <w:szCs w:val="11"/>
          <w:color w:val="auto"/>
        </w:rPr>
      </w:pPr>
      <w:r>
        <w:rPr>
          <w:rFonts w:ascii="Arial" w:cs="Arial" w:eastAsia="Arial" w:hAnsi="Arial"/>
          <w:sz w:val="11"/>
          <w:szCs w:val="11"/>
          <w:color w:val="auto"/>
        </w:rPr>
        <w:t>No serious adverse events (SAEs), important medical events, or treatment-related severe adverse events were reported in the trial</w:t>
      </w:r>
    </w:p>
    <w:p>
      <w:pPr>
        <w:spacing w:after="0" w:line="98" w:lineRule="exact"/>
        <w:rPr>
          <w:rFonts w:ascii="Arial" w:cs="Arial" w:eastAsia="Arial" w:hAnsi="Arial"/>
          <w:sz w:val="11"/>
          <w:szCs w:val="11"/>
          <w:color w:val="auto"/>
        </w:rPr>
      </w:pPr>
    </w:p>
    <w:p>
      <w:pPr>
        <w:ind w:left="1780" w:right="1059" w:hanging="219"/>
        <w:spacing w:after="0" w:line="276" w:lineRule="auto"/>
        <w:tabs>
          <w:tab w:leader="none" w:pos="1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most common adverse events were mild and moderate injection site reactions (at least one injection site reaction was seen in 43% of placebo patients and in 100% of CTI-1601 patients)</w:t>
      </w:r>
    </w:p>
    <w:p>
      <w:pPr>
        <w:spacing w:after="0" w:line="51" w:lineRule="exact"/>
        <w:rPr>
          <w:rFonts w:ascii="Arial" w:cs="Arial" w:eastAsia="Arial" w:hAnsi="Arial"/>
          <w:sz w:val="12"/>
          <w:szCs w:val="12"/>
          <w:color w:val="auto"/>
        </w:rPr>
      </w:pPr>
    </w:p>
    <w:p>
      <w:pPr>
        <w:ind w:left="1780" w:hanging="219"/>
        <w:spacing w:after="0"/>
        <w:tabs>
          <w:tab w:leader="none" w:pos="1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number and severity of adverse events did not increase with increasing exposure to CTI-1601</w:t>
      </w:r>
    </w:p>
    <w:p>
      <w:pPr>
        <w:spacing w:after="0" w:line="87" w:lineRule="exact"/>
        <w:rPr>
          <w:rFonts w:ascii="Arial" w:cs="Arial" w:eastAsia="Arial" w:hAnsi="Arial"/>
          <w:sz w:val="12"/>
          <w:szCs w:val="12"/>
          <w:color w:val="auto"/>
        </w:rPr>
      </w:pPr>
    </w:p>
    <w:p>
      <w:pPr>
        <w:ind w:left="1780" w:right="939" w:hanging="219"/>
        <w:spacing w:after="0" w:line="276" w:lineRule="auto"/>
        <w:tabs>
          <w:tab w:leader="none" w:pos="1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Of the 27 patients dosed, 26 completed the trial with one Cohort 2 patient receiving CTI-1601 withdrawing after experiencing mild to moderate nausea and vomiting</w:t>
      </w:r>
    </w:p>
    <w:p>
      <w:pPr>
        <w:sectPr>
          <w:pgSz w:w="11900" w:h="16838" w:orient="portrait"/>
          <w:cols w:equalWidth="0" w:num="1">
            <w:col w:w="9019"/>
          </w:cols>
          <w:pgMar w:left="1440" w:top="226" w:right="1440" w:bottom="1440" w:gutter="0" w:footer="0" w:header="0"/>
        </w:sectPr>
      </w:pPr>
    </w:p>
    <w:bookmarkStart w:id="27" w:name="page28"/>
    <w:bookmarkEnd w:id="27"/>
    <w:p>
      <w:pPr>
        <w:ind w:left="1120"/>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Pharmacokinetics:</w:t>
      </w:r>
    </w:p>
    <w:p>
      <w:pPr>
        <w:spacing w:after="0" w:line="87" w:lineRule="exact"/>
        <w:rPr>
          <w:sz w:val="20"/>
          <w:szCs w:val="20"/>
          <w:color w:val="auto"/>
        </w:rPr>
      </w:pPr>
    </w:p>
    <w:p>
      <w:pPr>
        <w:ind w:left="1780" w:hanging="219"/>
        <w:spacing w:after="0"/>
        <w:tabs>
          <w:tab w:leader="none" w:pos="17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CTI-1601 was quickly absorbed after subcutaneous administration</w:t>
      </w:r>
    </w:p>
    <w:p>
      <w:pPr>
        <w:spacing w:after="0" w:line="87" w:lineRule="exact"/>
        <w:rPr>
          <w:rFonts w:ascii="Arial" w:cs="Arial" w:eastAsia="Arial" w:hAnsi="Arial"/>
          <w:sz w:val="12"/>
          <w:szCs w:val="12"/>
          <w:color w:val="auto"/>
        </w:rPr>
      </w:pPr>
    </w:p>
    <w:p>
      <w:pPr>
        <w:ind w:left="1780" w:hanging="219"/>
        <w:spacing w:after="0"/>
        <w:tabs>
          <w:tab w:leader="none" w:pos="1780" w:val="left"/>
        </w:tabs>
        <w:numPr>
          <w:ilvl w:val="0"/>
          <w:numId w:val="7"/>
        </w:numPr>
        <w:rPr>
          <w:rFonts w:ascii="Arial" w:cs="Arial" w:eastAsia="Arial" w:hAnsi="Arial"/>
          <w:sz w:val="12"/>
          <w:szCs w:val="12"/>
          <w:color w:val="auto"/>
        </w:rPr>
      </w:pPr>
      <w:r>
        <w:rPr>
          <w:rFonts w:ascii="Arial" w:cs="Arial" w:eastAsia="Arial" w:hAnsi="Arial"/>
          <w:sz w:val="12"/>
          <w:szCs w:val="12"/>
          <w:color w:val="auto"/>
        </w:rPr>
        <w:t>Dose-proportional increases in exposure were observed with increasing doses of CTI-1601</w:t>
      </w:r>
    </w:p>
    <w:p>
      <w:pPr>
        <w:spacing w:after="0" w:line="87" w:lineRule="exact"/>
        <w:rPr>
          <w:rFonts w:ascii="Arial" w:cs="Arial" w:eastAsia="Arial" w:hAnsi="Arial"/>
          <w:sz w:val="12"/>
          <w:szCs w:val="12"/>
          <w:color w:val="auto"/>
        </w:rPr>
      </w:pPr>
    </w:p>
    <w:p>
      <w:pPr>
        <w:ind w:left="1780" w:hanging="219"/>
        <w:spacing w:after="0"/>
        <w:tabs>
          <w:tab w:leader="none" w:pos="17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mean half-life of CTI-1601 in plasma was approximately 11 hours</w:t>
      </w:r>
    </w:p>
    <w:p>
      <w:pPr>
        <w:spacing w:after="0" w:line="150" w:lineRule="exact"/>
        <w:rPr>
          <w:sz w:val="20"/>
          <w:szCs w:val="20"/>
          <w:color w:val="auto"/>
        </w:rPr>
      </w:pPr>
    </w:p>
    <w:p>
      <w:pPr>
        <w:ind w:left="840" w:right="859"/>
        <w:spacing w:after="0" w:line="298" w:lineRule="auto"/>
        <w:rPr>
          <w:sz w:val="20"/>
          <w:szCs w:val="20"/>
          <w:color w:val="auto"/>
        </w:rPr>
      </w:pPr>
      <w:r>
        <w:rPr>
          <w:rFonts w:ascii="Arial" w:cs="Arial" w:eastAsia="Arial" w:hAnsi="Arial"/>
          <w:sz w:val="11"/>
          <w:szCs w:val="11"/>
          <w:color w:val="auto"/>
        </w:rPr>
        <w:t>Patients who completed the single ascending dose (SAD) and/or MAD clinical trials are eligible to screen for an open-label extension clinical trial, the Jive study, which Larimar expects to initiate in the second half of 2021. Larimar also expects to initiate a MAD clinical trial in patients under 18 years of age in the second half of 2021. Patients completing this pediatric trial will also be eligible to screen for the Jive study.</w:t>
      </w:r>
    </w:p>
    <w:p>
      <w:pPr>
        <w:spacing w:after="0" w:line="101" w:lineRule="exact"/>
        <w:rPr>
          <w:sz w:val="20"/>
          <w:szCs w:val="20"/>
          <w:color w:val="auto"/>
        </w:rPr>
      </w:pPr>
    </w:p>
    <w:p>
      <w:pPr>
        <w:ind w:left="840" w:right="939"/>
        <w:spacing w:after="0" w:line="255" w:lineRule="auto"/>
        <w:rPr>
          <w:sz w:val="20"/>
          <w:szCs w:val="20"/>
          <w:color w:val="auto"/>
        </w:rPr>
      </w:pPr>
      <w:r>
        <w:rPr>
          <w:rFonts w:ascii="Arial" w:cs="Arial" w:eastAsia="Arial" w:hAnsi="Arial"/>
          <w:sz w:val="12"/>
          <w:szCs w:val="12"/>
          <w:color w:val="auto"/>
        </w:rPr>
        <w:t>Carole Ben-Maimon</w:t>
      </w:r>
      <w:r>
        <w:rPr>
          <w:rFonts w:ascii="Arial" w:cs="Arial" w:eastAsia="Arial" w:hAnsi="Arial"/>
          <w:sz w:val="12"/>
          <w:szCs w:val="12"/>
          <w:b w:val="1"/>
          <w:bCs w:val="1"/>
          <w:color w:val="auto"/>
        </w:rPr>
        <w:t>,</w:t>
      </w:r>
      <w:r>
        <w:rPr>
          <w:rFonts w:ascii="Arial" w:cs="Arial" w:eastAsia="Arial" w:hAnsi="Arial"/>
          <w:sz w:val="12"/>
          <w:szCs w:val="12"/>
          <w:color w:val="auto"/>
        </w:rPr>
        <w:t xml:space="preserve"> MD, President and Chief Executive Officer of Larimar, commented, “We are thrilled with these data, which demonstrate proof-of-concept for CTI-1601 and highlight its safety and tolerability profile. Our ability to generate these results amid the pandemic speaks to the commitment of the patients who participated in the trials and the broader FA community. It is also a testament to the great work being done by the Friedreich’s Ataxia Research Alliance and the talent of our employees, partners, and investigators. We extend our sincerest thanks to all of these individuals for the important roles they have played in CTI-1601’s clinical development to date. We look forward to sharing additional quantitative analyses from our Phase 1 clinical trials at a future scientific meeting. We anticipate this data will inform the design of our planned future clinical trials for CTI-1601.”</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 and Webcast</w:t>
      </w:r>
    </w:p>
    <w:p>
      <w:pPr>
        <w:spacing w:after="0" w:line="82" w:lineRule="exact"/>
        <w:rPr>
          <w:sz w:val="20"/>
          <w:szCs w:val="20"/>
          <w:color w:val="auto"/>
        </w:rPr>
      </w:pPr>
    </w:p>
    <w:p>
      <w:pPr>
        <w:ind w:left="840" w:right="1119"/>
        <w:spacing w:after="0" w:line="263" w:lineRule="auto"/>
        <w:rPr>
          <w:sz w:val="20"/>
          <w:szCs w:val="20"/>
          <w:color w:val="auto"/>
        </w:rPr>
      </w:pPr>
      <w:r>
        <w:rPr>
          <w:rFonts w:ascii="Arial" w:cs="Arial" w:eastAsia="Arial" w:hAnsi="Arial"/>
          <w:sz w:val="12"/>
          <w:szCs w:val="12"/>
          <w:color w:val="auto"/>
        </w:rPr>
        <w:t xml:space="preserve">Larimar will host a conference call and webcast today, May 11, 2021 at 8:00 a.m. ET. To access the webcast, please visit </w:t>
      </w:r>
      <w:r>
        <w:rPr>
          <w:rFonts w:ascii="Arial" w:cs="Arial" w:eastAsia="Arial" w:hAnsi="Arial"/>
          <w:sz w:val="12"/>
          <w:szCs w:val="12"/>
          <w:u w:val="single" w:color="auto"/>
          <w:color w:val="auto"/>
        </w:rPr>
        <w:t>this link to the event</w:t>
      </w:r>
      <w:r>
        <w:rPr>
          <w:rFonts w:ascii="Arial" w:cs="Arial" w:eastAsia="Arial" w:hAnsi="Arial"/>
          <w:sz w:val="12"/>
          <w:szCs w:val="12"/>
          <w:color w:val="auto"/>
        </w:rPr>
        <w:t>. To participate by phone please dial 855-327-6837 (domestic) or 631-891-4304 (international) and refer to conference ID 10014696. Following the live event, the archived webcast will be available for 90 days.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the Phase 1 MAD Clinical Trial</w:t>
      </w:r>
    </w:p>
    <w:p>
      <w:pPr>
        <w:spacing w:after="0" w:line="82" w:lineRule="exact"/>
        <w:rPr>
          <w:sz w:val="20"/>
          <w:szCs w:val="20"/>
          <w:color w:val="auto"/>
        </w:rPr>
      </w:pPr>
    </w:p>
    <w:p>
      <w:pPr>
        <w:ind w:left="840" w:right="839"/>
        <w:spacing w:after="0" w:line="256" w:lineRule="auto"/>
        <w:rPr>
          <w:sz w:val="20"/>
          <w:szCs w:val="20"/>
          <w:color w:val="auto"/>
        </w:rPr>
      </w:pPr>
      <w:r>
        <w:rPr>
          <w:rFonts w:ascii="Arial" w:cs="Arial" w:eastAsia="Arial" w:hAnsi="Arial"/>
          <w:sz w:val="12"/>
          <w:szCs w:val="12"/>
          <w:color w:val="auto"/>
        </w:rPr>
        <w:t>The Phase 1 MAD clinical trial was a double-blind, placebo-controlled, randomized clinical trial designed to assess the safety of subcutaneously administered CTI-1601 versus placebo in adult subjects with FA. The primary objective was to assess the safety and tolerability of multiple ascending doses of CTI-1601 in subjects with FA. Key secondary endpoints included pharmacokinetic and pharmacodynamic analyses following increasing multiple doses of subcutaneously administered CTI-1601. Patients from the MAD clinical trial are eligible to screen for an open-label extension trial that Larimar expects to initiate in the second half of 2021.</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CTI-1601</w:t>
      </w:r>
    </w:p>
    <w:p>
      <w:pPr>
        <w:spacing w:after="0" w:line="82"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CTI-1601 is a recombinant fusion protein intended to deliver human frataxin into the mitochondria of patients with Friedreich’s ataxia who are unable to produce enough of this essential protein. Currently in Phase 1 clinical trials in the U.S., CTI-1601 has been granted Rare Pediatric Disease designation, Fast Track designation and Orphan Drug designation by the U.S. Food and Drug Administration (FDA) and orphan drug designation by the European Commission.</w:t>
      </w:r>
    </w:p>
    <w:p>
      <w:pPr>
        <w:sectPr>
          <w:pgSz w:w="11900" w:h="16838" w:orient="portrait"/>
          <w:cols w:equalWidth="0" w:num="1">
            <w:col w:w="9019"/>
          </w:cols>
          <w:pgMar w:left="1440" w:top="230" w:right="1440" w:bottom="1440" w:gutter="0" w:footer="0" w:header="0"/>
        </w:sectPr>
      </w:pPr>
    </w:p>
    <w:bookmarkStart w:id="28" w:name="page29"/>
    <w:bookmarkEnd w:id="28"/>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About Larimar Therapeutics</w:t>
      </w:r>
    </w:p>
    <w:p>
      <w:pPr>
        <w:spacing w:after="0" w:line="82"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 xml:space="preserve">Larimar Therapeutics, Inc. (Nasdaq: LRMR), is a clinical-stage biotechnology company focused on developing treatments for complex rare diseases. Larimar’s lead compound, CTI-1601, is currently being evaluated in a Phase 1 clinical program in the U.S. as a potential treatment for FA.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2"/>
          <w:szCs w:val="12"/>
          <w:u w:val="single" w:color="auto"/>
          <w:color w:val="auto"/>
        </w:rPr>
        <w:t>https://larimartx.com</w:t>
      </w:r>
      <w:r>
        <w:rPr>
          <w:rFonts w:ascii="Arial" w:cs="Arial" w:eastAsia="Arial" w:hAnsi="Arial"/>
          <w:sz w:val="12"/>
          <w:szCs w:val="12"/>
          <w:color w:val="auto"/>
        </w:rPr>
        <w:t>.</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jc w:val="both"/>
        <w:ind w:left="840" w:right="899"/>
        <w:spacing w:after="0" w:line="256" w:lineRule="auto"/>
        <w:rPr>
          <w:sz w:val="20"/>
          <w:szCs w:val="20"/>
          <w:color w:val="auto"/>
        </w:rPr>
      </w:pPr>
      <w:r>
        <w:rPr>
          <w:rFonts w:ascii="Arial" w:cs="Arial" w:eastAsia="Arial" w:hAnsi="Arial"/>
          <w:sz w:val="12"/>
          <w:szCs w:val="12"/>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28" w:lineRule="exact"/>
        <w:rPr>
          <w:sz w:val="20"/>
          <w:szCs w:val="20"/>
          <w:color w:val="auto"/>
        </w:rPr>
      </w:pPr>
    </w:p>
    <w:p>
      <w:pPr>
        <w:ind w:left="840" w:right="859"/>
        <w:spacing w:after="0" w:line="276" w:lineRule="auto"/>
        <w:rPr>
          <w:sz w:val="20"/>
          <w:szCs w:val="20"/>
          <w:color w:val="auto"/>
        </w:rPr>
      </w:pPr>
      <w:r>
        <w:rPr>
          <w:rFonts w:ascii="Arial" w:cs="Arial" w:eastAsia="Arial" w:hAnsi="Arial"/>
          <w:sz w:val="11"/>
          <w:szCs w:val="11"/>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CTI-1601 clinical milestones; that clinical trial results may differ from final clinical trial results, that earlier non-clinical and clinical data and testing of CTI-1601 may not be predictive of the results or success of clinical trials, and assessments; the ongoing impact of the COVID-19 pandemic on Larimar’s future clinical trials, manufacturing, regulatory and nonclinical study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the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133" w:lineRule="exact"/>
        <w:rPr>
          <w:sz w:val="20"/>
          <w:szCs w:val="20"/>
          <w:color w:val="auto"/>
        </w:rPr>
      </w:pPr>
    </w:p>
    <w:tbl>
      <w:tblPr>
        <w:tblLayout w:type="fixed"/>
        <w:tblInd w:w="840" w:type="dxa"/>
        <w:tblCellMar>
          <w:top w:w="0" w:type="dxa"/>
          <w:left w:w="0" w:type="dxa"/>
          <w:bottom w:w="0" w:type="dxa"/>
          <w:right w:w="0" w:type="dxa"/>
        </w:tblCellMar>
      </w:tblPr>
      <w:tr>
        <w:trPr>
          <w:trHeight w:val="148"/>
        </w:trPr>
        <w:tc>
          <w:tcPr>
            <w:tcW w:w="3820" w:type="dxa"/>
            <w:vAlign w:val="bottom"/>
            <w:gridSpan w:val="2"/>
          </w:tcPr>
          <w:p>
            <w:pPr>
              <w:spacing w:after="0"/>
              <w:rPr>
                <w:sz w:val="20"/>
                <w:szCs w:val="20"/>
                <w:color w:val="auto"/>
              </w:rPr>
            </w:pPr>
            <w:r>
              <w:rPr>
                <w:rFonts w:ascii="Arial" w:cs="Arial" w:eastAsia="Arial" w:hAnsi="Arial"/>
                <w:sz w:val="12"/>
                <w:szCs w:val="12"/>
                <w:b w:val="1"/>
                <w:bCs w:val="1"/>
                <w:color w:val="auto"/>
              </w:rPr>
              <w:t>Investor Contact:</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Company Contact:</w:t>
            </w:r>
          </w:p>
        </w:tc>
      </w:tr>
      <w:tr>
        <w:trPr>
          <w:trHeight w:val="144"/>
        </w:trPr>
        <w:tc>
          <w:tcPr>
            <w:tcW w:w="3820" w:type="dxa"/>
            <w:vAlign w:val="bottom"/>
            <w:gridSpan w:val="2"/>
          </w:tcPr>
          <w:p>
            <w:pPr>
              <w:spacing w:after="0"/>
              <w:rPr>
                <w:sz w:val="20"/>
                <w:szCs w:val="20"/>
                <w:color w:val="auto"/>
              </w:rPr>
            </w:pPr>
            <w:r>
              <w:rPr>
                <w:rFonts w:ascii="Arial" w:cs="Arial" w:eastAsia="Arial" w:hAnsi="Arial"/>
                <w:sz w:val="12"/>
                <w:szCs w:val="12"/>
                <w:color w:val="auto"/>
              </w:rPr>
              <w:t>Joyce Allaire</w:t>
            </w:r>
          </w:p>
        </w:tc>
        <w:tc>
          <w:tcPr>
            <w:tcW w:w="1200" w:type="dxa"/>
            <w:vAlign w:val="bottom"/>
            <w:gridSpan w:val="2"/>
          </w:tcPr>
          <w:p>
            <w:pPr>
              <w:spacing w:after="0"/>
              <w:rPr>
                <w:sz w:val="20"/>
                <w:szCs w:val="20"/>
                <w:color w:val="auto"/>
              </w:rPr>
            </w:pPr>
            <w:r>
              <w:rPr>
                <w:rFonts w:ascii="Arial" w:cs="Arial" w:eastAsia="Arial" w:hAnsi="Arial"/>
                <w:sz w:val="12"/>
                <w:szCs w:val="12"/>
                <w:color w:val="auto"/>
              </w:rPr>
              <w:t>Michael Celano</w:t>
            </w:r>
          </w:p>
        </w:tc>
      </w:tr>
      <w:tr>
        <w:trPr>
          <w:trHeight w:val="144"/>
        </w:trPr>
        <w:tc>
          <w:tcPr>
            <w:tcW w:w="3820" w:type="dxa"/>
            <w:vAlign w:val="bottom"/>
            <w:gridSpan w:val="2"/>
          </w:tcPr>
          <w:p>
            <w:pPr>
              <w:spacing w:after="0"/>
              <w:rPr>
                <w:sz w:val="20"/>
                <w:szCs w:val="20"/>
                <w:color w:val="auto"/>
              </w:rPr>
            </w:pPr>
            <w:r>
              <w:rPr>
                <w:rFonts w:ascii="Arial" w:cs="Arial" w:eastAsia="Arial" w:hAnsi="Arial"/>
                <w:sz w:val="12"/>
                <w:szCs w:val="12"/>
                <w:color w:val="auto"/>
              </w:rPr>
              <w:t>LifeSci Advisors</w:t>
            </w:r>
          </w:p>
        </w:tc>
        <w:tc>
          <w:tcPr>
            <w:tcW w:w="1200" w:type="dxa"/>
            <w:vAlign w:val="bottom"/>
            <w:gridSpan w:val="2"/>
          </w:tcPr>
          <w:p>
            <w:pPr>
              <w:spacing w:after="0"/>
              <w:rPr>
                <w:sz w:val="20"/>
                <w:szCs w:val="20"/>
                <w:color w:val="auto"/>
              </w:rPr>
            </w:pPr>
            <w:r>
              <w:rPr>
                <w:rFonts w:ascii="Arial" w:cs="Arial" w:eastAsia="Arial" w:hAnsi="Arial"/>
                <w:sz w:val="12"/>
                <w:szCs w:val="12"/>
                <w:color w:val="auto"/>
                <w:w w:val="99"/>
              </w:rPr>
              <w:t>Chief Financial Officer</w:t>
            </w:r>
          </w:p>
        </w:tc>
      </w:tr>
      <w:tr>
        <w:trPr>
          <w:trHeight w:val="126"/>
        </w:trPr>
        <w:tc>
          <w:tcPr>
            <w:tcW w:w="3820" w:type="dxa"/>
            <w:vAlign w:val="bottom"/>
            <w:gridSpan w:val="2"/>
          </w:tcPr>
          <w:p>
            <w:pPr>
              <w:spacing w:after="0" w:line="126" w:lineRule="exact"/>
              <w:rPr>
                <w:sz w:val="20"/>
                <w:szCs w:val="20"/>
                <w:color w:val="auto"/>
              </w:rPr>
            </w:pPr>
            <w:r>
              <w:rPr>
                <w:rFonts w:ascii="Arial" w:cs="Arial" w:eastAsia="Arial" w:hAnsi="Arial"/>
                <w:sz w:val="12"/>
                <w:szCs w:val="12"/>
                <w:color w:val="auto"/>
              </w:rPr>
              <w:t>jallaire@lifesciadvisors.com</w:t>
            </w:r>
          </w:p>
        </w:tc>
        <w:tc>
          <w:tcPr>
            <w:tcW w:w="1200" w:type="dxa"/>
            <w:vAlign w:val="bottom"/>
            <w:gridSpan w:val="2"/>
          </w:tcPr>
          <w:p>
            <w:pPr>
              <w:spacing w:after="0" w:line="126" w:lineRule="exact"/>
              <w:rPr>
                <w:sz w:val="20"/>
                <w:szCs w:val="20"/>
                <w:color w:val="auto"/>
              </w:rPr>
            </w:pPr>
            <w:r>
              <w:rPr>
                <w:rFonts w:ascii="Arial" w:cs="Arial" w:eastAsia="Arial" w:hAnsi="Arial"/>
                <w:sz w:val="12"/>
                <w:szCs w:val="12"/>
                <w:color w:val="auto"/>
                <w:w w:val="91"/>
              </w:rPr>
              <w:t>mcelano@larimartx.com</w:t>
            </w:r>
          </w:p>
        </w:tc>
      </w:tr>
      <w:tr>
        <w:trPr>
          <w:trHeight w:val="151"/>
        </w:trPr>
        <w:tc>
          <w:tcPr>
            <w:tcW w:w="13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(212) 915-2569</w:t>
            </w:r>
          </w:p>
        </w:tc>
        <w:tc>
          <w:tcPr>
            <w:tcW w:w="2460" w:type="dxa"/>
            <w:vAlign w:val="bottom"/>
          </w:tcPr>
          <w:p>
            <w:pPr>
              <w:spacing w:after="0"/>
              <w:rPr>
                <w:sz w:val="13"/>
                <w:szCs w:val="13"/>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(484) 414-2715</w:t>
            </w:r>
          </w:p>
        </w:tc>
        <w:tc>
          <w:tcPr>
            <w:tcW w:w="20" w:type="dxa"/>
            <w:vAlign w:val="bottom"/>
          </w:tcPr>
          <w:p>
            <w:pPr>
              <w:spacing w:after="0"/>
              <w:rPr>
                <w:sz w:val="13"/>
                <w:szCs w:val="13"/>
                <w:color w:val="auto"/>
              </w:rPr>
            </w:pPr>
          </w:p>
        </w:tc>
      </w:tr>
    </w:tbl>
    <w:p>
      <w:pPr>
        <w:spacing w:after="0" w:line="1" w:lineRule="exact"/>
        <w:rPr>
          <w:sz w:val="20"/>
          <w:szCs w:val="20"/>
          <w:color w:val="auto"/>
        </w:rPr>
      </w:pPr>
    </w:p>
    <w:sectPr>
      <w:pgSz w:w="11900" w:h="16838" w:orient="portrait"/>
      <w:cols w:equalWidth="0" w:num="1">
        <w:col w:w="9019"/>
      </w:cols>
      <w:pgMar w:left="1440" w:top="2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2021-05-11T07:35:56Z</dcterms:created>
  <dcterms:modified xsi:type="dcterms:W3CDTF">2021-05-11T07:35:56Z</dcterms:modified>
</cp:coreProperties>
</file>