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0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98885E103</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Zafgen,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98885E103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00" w:right="9780" w:firstLine="4"/>
        <w:spacing w:after="0" w:line="227" w:lineRule="exact"/>
        <w:tabs>
          <w:tab w:leader="none" w:pos="6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spacing w:after="0"/>
              <w:rPr>
                <w:sz w:val="20"/>
                <w:szCs w:val="20"/>
                <w:color w:val="auto"/>
              </w:rPr>
            </w:pPr>
            <w:r>
              <w:rPr>
                <w:rFonts w:ascii="Arial" w:cs="Arial" w:eastAsia="Arial" w:hAnsi="Arial"/>
                <w:sz w:val="18"/>
                <w:szCs w:val="18"/>
                <w:color w:val="auto"/>
              </w:rPr>
              <w:t>CUSIP No. 98885E103</w:t>
            </w:r>
          </w:p>
        </w:tc>
        <w:tc>
          <w:tcPr>
            <w:tcW w:w="6800" w:type="dxa"/>
            <w:vAlign w:val="bottom"/>
          </w:tcPr>
          <w:p>
            <w:pPr>
              <w:ind w:left="56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1.</w:t>
            </w:r>
          </w:p>
        </w:tc>
        <w:tc>
          <w:tcPr>
            <w:tcW w:w="4200" w:type="dxa"/>
            <w:vAlign w:val="bottom"/>
          </w:tcPr>
          <w:p>
            <w:pPr>
              <w:ind w:left="280"/>
              <w:spacing w:after="0"/>
              <w:rPr>
                <w:sz w:val="20"/>
                <w:szCs w:val="20"/>
                <w:color w:val="auto"/>
              </w:rPr>
            </w:pPr>
            <w:r>
              <w:rPr>
                <w:rFonts w:ascii="Arial" w:cs="Arial" w:eastAsia="Arial" w:hAnsi="Arial"/>
                <w:sz w:val="18"/>
                <w:szCs w:val="18"/>
                <w:color w:val="auto"/>
              </w:rPr>
              <w:t>Names of Reporting Person</w:t>
            </w:r>
          </w:p>
        </w:tc>
        <w:tc>
          <w:tcPr>
            <w:tcW w:w="6800" w:type="dxa"/>
            <w:vAlign w:val="bottom"/>
          </w:tcPr>
          <w:p>
            <w:pPr>
              <w:ind w:left="1900"/>
              <w:spacing w:after="0"/>
              <w:rPr>
                <w:sz w:val="20"/>
                <w:szCs w:val="20"/>
                <w:color w:val="auto"/>
              </w:rPr>
            </w:pPr>
            <w:r>
              <w:rPr>
                <w:rFonts w:ascii="Arial" w:cs="Arial" w:eastAsia="Arial" w:hAnsi="Arial"/>
                <w:sz w:val="18"/>
                <w:szCs w:val="18"/>
                <w:color w:val="auto"/>
              </w:rPr>
              <w:t>Sio Capital Management, LLC</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I.R.S. Identification Nos. of</w:t>
            </w:r>
          </w:p>
        </w:tc>
        <w:tc>
          <w:tcPr>
            <w:tcW w:w="6800" w:type="dxa"/>
            <w:vAlign w:val="bottom"/>
          </w:tcPr>
          <w:p>
            <w:pPr>
              <w:ind w:left="1900"/>
              <w:spacing w:after="0"/>
              <w:rPr>
                <w:sz w:val="20"/>
                <w:szCs w:val="20"/>
                <w:color w:val="auto"/>
              </w:rPr>
            </w:pPr>
            <w:r>
              <w:rPr>
                <w:rFonts w:ascii="Arial" w:cs="Arial" w:eastAsia="Arial" w:hAnsi="Arial"/>
                <w:sz w:val="18"/>
                <w:szCs w:val="18"/>
                <w:color w:val="auto"/>
              </w:rPr>
              <w:t>20-4586565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Above Persons (entities</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only)</w:t>
            </w: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00" w:type="dxa"/>
            <w:vAlign w:val="bottom"/>
          </w:tcPr>
          <w:p>
            <w:pPr>
              <w:spacing w:after="0" w:line="163" w:lineRule="exact"/>
              <w:rPr>
                <w:sz w:val="20"/>
                <w:szCs w:val="20"/>
                <w:color w:val="auto"/>
              </w:rPr>
            </w:pPr>
            <w:r>
              <w:rPr>
                <w:rFonts w:ascii="Arial" w:cs="Arial" w:eastAsia="Arial" w:hAnsi="Arial"/>
                <w:sz w:val="18"/>
                <w:szCs w:val="18"/>
                <w:color w:val="auto"/>
              </w:rPr>
              <w:t>2.</w:t>
            </w:r>
          </w:p>
        </w:tc>
        <w:tc>
          <w:tcPr>
            <w:tcW w:w="4200" w:type="dxa"/>
            <w:vAlign w:val="bottom"/>
          </w:tcPr>
          <w:p>
            <w:pPr>
              <w:ind w:left="280"/>
              <w:spacing w:after="0" w:line="163" w:lineRule="exact"/>
              <w:rPr>
                <w:sz w:val="20"/>
                <w:szCs w:val="20"/>
                <w:color w:val="auto"/>
              </w:rPr>
            </w:pPr>
            <w:r>
              <w:rPr>
                <w:rFonts w:ascii="Arial" w:cs="Arial" w:eastAsia="Arial" w:hAnsi="Arial"/>
                <w:sz w:val="18"/>
                <w:szCs w:val="18"/>
                <w:color w:val="auto"/>
              </w:rPr>
              <w:t>Check the Appropriate Box</w:t>
            </w:r>
          </w:p>
        </w:tc>
        <w:tc>
          <w:tcPr>
            <w:tcW w:w="6800" w:type="dxa"/>
            <w:vAlign w:val="bottom"/>
          </w:tcPr>
          <w:p>
            <w:pPr>
              <w:ind w:left="19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if a Member of a Group</w:t>
            </w:r>
          </w:p>
        </w:tc>
        <w:tc>
          <w:tcPr>
            <w:tcW w:w="6800" w:type="dxa"/>
            <w:vAlign w:val="bottom"/>
          </w:tcPr>
          <w:p>
            <w:pPr>
              <w:ind w:left="19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4.</w:t>
            </w:r>
          </w:p>
        </w:tc>
        <w:tc>
          <w:tcPr>
            <w:tcW w:w="4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Citizenship or Place</w:t>
            </w:r>
          </w:p>
        </w:tc>
        <w:tc>
          <w:tcPr>
            <w:tcW w:w="42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Delaware</w:t>
            </w:r>
          </w:p>
        </w:tc>
        <w:tc>
          <w:tcPr>
            <w:tcW w:w="2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of Organization</w:t>
            </w:r>
          </w:p>
        </w:tc>
        <w:tc>
          <w:tcPr>
            <w:tcW w:w="4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bottom w:val="single" w:sz="8" w:color="auto"/>
            </w:tcBorders>
            <w:gridSpan w:val="2"/>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360" w:type="dxa"/>
            <w:vAlign w:val="bottom"/>
            <w:gridSpan w:val="2"/>
          </w:tcPr>
          <w:p>
            <w:pPr>
              <w:spacing w:after="0" w:line="195" w:lineRule="exact"/>
              <w:rPr>
                <w:sz w:val="20"/>
                <w:szCs w:val="20"/>
                <w:color w:val="auto"/>
              </w:rPr>
            </w:pPr>
            <w:r>
              <w:rPr>
                <w:rFonts w:ascii="Arial" w:cs="Arial" w:eastAsia="Arial" w:hAnsi="Arial"/>
                <w:sz w:val="18"/>
                <w:szCs w:val="18"/>
                <w:color w:val="auto"/>
              </w:rPr>
              <w:t>Number of Shares Beneficially</w:t>
            </w:r>
          </w:p>
        </w:tc>
        <w:tc>
          <w:tcPr>
            <w:tcW w:w="42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79"/>
              </w:rPr>
              <w:t>5.</w:t>
            </w:r>
          </w:p>
        </w:tc>
        <w:tc>
          <w:tcPr>
            <w:tcW w:w="3520" w:type="dxa"/>
            <w:vAlign w:val="bottom"/>
          </w:tcPr>
          <w:p>
            <w:pPr>
              <w:ind w:left="280"/>
              <w:spacing w:after="0" w:line="195" w:lineRule="exact"/>
              <w:rPr>
                <w:sz w:val="20"/>
                <w:szCs w:val="20"/>
                <w:color w:val="auto"/>
              </w:rPr>
            </w:pPr>
            <w:r>
              <w:rPr>
                <w:rFonts w:ascii="Arial" w:cs="Arial" w:eastAsia="Arial" w:hAnsi="Arial"/>
                <w:sz w:val="18"/>
                <w:szCs w:val="18"/>
                <w:color w:val="auto"/>
              </w:rPr>
              <w:t>Sole Voting Power</w:t>
            </w:r>
          </w:p>
        </w:tc>
        <w:tc>
          <w:tcPr>
            <w:tcW w:w="2100" w:type="dxa"/>
            <w:vAlign w:val="bottom"/>
          </w:tcPr>
          <w:p>
            <w:pPr>
              <w:jc w:val="right"/>
              <w:spacing w:after="0" w:line="195" w:lineRule="exact"/>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Owned by Each Reporting</w:t>
            </w:r>
          </w:p>
        </w:tc>
        <w:tc>
          <w:tcPr>
            <w:tcW w:w="4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5380" w:type="dxa"/>
            <w:vAlign w:val="bottom"/>
            <w:gridSpan w:val="3"/>
          </w:tcPr>
          <w:p>
            <w:pPr>
              <w:spacing w:after="0"/>
              <w:rPr>
                <w:sz w:val="20"/>
                <w:szCs w:val="20"/>
                <w:color w:val="auto"/>
              </w:rPr>
            </w:pPr>
            <w:r>
              <w:rPr>
                <w:rFonts w:ascii="Arial" w:cs="Arial" w:eastAsia="Arial" w:hAnsi="Arial"/>
                <w:sz w:val="18"/>
                <w:szCs w:val="18"/>
                <w:color w:val="auto"/>
              </w:rPr>
              <w:t>Person With</w:t>
            </w:r>
            <w:r>
              <w:rPr>
                <w:rFonts w:ascii="Arial" w:cs="Arial" w:eastAsia="Arial" w:hAnsi="Arial"/>
                <w:sz w:val="30"/>
                <w:szCs w:val="30"/>
                <w:color w:val="auto"/>
                <w:vertAlign w:val="superscript"/>
              </w:rPr>
              <w:t>1</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6.</w:t>
            </w:r>
          </w:p>
        </w:tc>
        <w:tc>
          <w:tcPr>
            <w:tcW w:w="3520" w:type="dxa"/>
            <w:vAlign w:val="bottom"/>
          </w:tcPr>
          <w:p>
            <w:pPr>
              <w:ind w:left="280"/>
              <w:spacing w:after="0"/>
              <w:rPr>
                <w:sz w:val="20"/>
                <w:szCs w:val="20"/>
                <w:color w:val="auto"/>
              </w:rPr>
            </w:pPr>
            <w:r>
              <w:rPr>
                <w:rFonts w:ascii="Arial" w:cs="Arial" w:eastAsia="Arial" w:hAnsi="Arial"/>
                <w:sz w:val="18"/>
                <w:szCs w:val="18"/>
                <w:color w:val="auto"/>
              </w:rPr>
              <w:t>Shared Voting Power</w:t>
            </w:r>
          </w:p>
        </w:tc>
        <w:tc>
          <w:tcPr>
            <w:tcW w:w="2100" w:type="dxa"/>
            <w:vAlign w:val="bottom"/>
          </w:tcPr>
          <w:p>
            <w:pPr>
              <w:jc w:val="right"/>
              <w:spacing w:after="0"/>
              <w:rPr>
                <w:sz w:val="20"/>
                <w:szCs w:val="20"/>
                <w:color w:val="auto"/>
              </w:rPr>
            </w:pPr>
            <w:r>
              <w:rPr>
                <w:rFonts w:ascii="Arial" w:cs="Arial" w:eastAsia="Arial" w:hAnsi="Arial"/>
                <w:sz w:val="18"/>
                <w:szCs w:val="18"/>
                <w:color w:val="auto"/>
              </w:rPr>
              <w:t>2,283,164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7.</w:t>
            </w:r>
          </w:p>
        </w:tc>
        <w:tc>
          <w:tcPr>
            <w:tcW w:w="3520" w:type="dxa"/>
            <w:vAlign w:val="bottom"/>
          </w:tcPr>
          <w:p>
            <w:pPr>
              <w:ind w:left="280"/>
              <w:spacing w:after="0"/>
              <w:rPr>
                <w:sz w:val="20"/>
                <w:szCs w:val="20"/>
                <w:color w:val="auto"/>
              </w:rPr>
            </w:pPr>
            <w:r>
              <w:rPr>
                <w:rFonts w:ascii="Arial" w:cs="Arial" w:eastAsia="Arial" w:hAnsi="Arial"/>
                <w:sz w:val="18"/>
                <w:szCs w:val="18"/>
                <w:color w:val="auto"/>
              </w:rPr>
              <w:t>Sole Dispositive Power</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8.</w:t>
            </w:r>
          </w:p>
        </w:tc>
        <w:tc>
          <w:tcPr>
            <w:tcW w:w="352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2,283,164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Reporting Person</w:t>
            </w:r>
          </w:p>
        </w:tc>
        <w:tc>
          <w:tcPr>
            <w:tcW w:w="5100" w:type="dxa"/>
            <w:vAlign w:val="bottom"/>
          </w:tcPr>
          <w:p>
            <w:pPr>
              <w:jc w:val="right"/>
              <w:spacing w:after="0"/>
              <w:rPr>
                <w:sz w:val="20"/>
                <w:szCs w:val="20"/>
                <w:color w:val="auto"/>
              </w:rPr>
            </w:pPr>
            <w:r>
              <w:rPr>
                <w:rFonts w:ascii="Arial" w:cs="Arial" w:eastAsia="Arial" w:hAnsi="Arial"/>
                <w:sz w:val="18"/>
                <w:szCs w:val="18"/>
                <w:color w:val="auto"/>
              </w:rPr>
              <w:t>2,283,164</w:t>
            </w:r>
          </w:p>
        </w:tc>
      </w:tr>
    </w:tbl>
    <w:p>
      <w:pPr>
        <w:spacing w:after="0" w:line="201" w:lineRule="exact"/>
        <w:rPr>
          <w:sz w:val="20"/>
          <w:szCs w:val="20"/>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00"/>
        <w:spacing w:after="0" w:line="205" w:lineRule="exact"/>
        <w:tabs>
          <w:tab w:leader="none" w:pos="11240" w:val="left"/>
        </w:tabs>
        <w:rPr>
          <w:sz w:val="20"/>
          <w:szCs w:val="20"/>
          <w:color w:val="auto"/>
        </w:rPr>
      </w:pPr>
      <w:r>
        <w:rPr>
          <w:rFonts w:ascii="Arial" w:cs="Arial" w:eastAsia="Arial" w:hAnsi="Arial"/>
          <w:sz w:val="18"/>
          <w:szCs w:val="18"/>
          <w:color w:val="auto"/>
        </w:rPr>
        <w:t>Excludes Certain Shares</w:t>
      </w:r>
      <w:r>
        <w:rPr>
          <w:sz w:val="20"/>
          <w:szCs w:val="20"/>
          <w:color w:val="auto"/>
        </w:rPr>
        <w:tab/>
      </w:r>
      <w:r>
        <w:rPr>
          <w:rFonts w:ascii="MS PGothic" w:cs="MS PGothic" w:eastAsia="MS PGothic" w:hAnsi="MS PGothic"/>
          <w:sz w:val="16"/>
          <w:szCs w:val="16"/>
          <w:color w:val="auto"/>
        </w:rPr>
        <w:t>☐</w:t>
      </w:r>
    </w:p>
    <w:p>
      <w:pPr>
        <w:spacing w:after="0" w:line="229" w:lineRule="exact"/>
        <w:rPr>
          <w:sz w:val="20"/>
          <w:szCs w:val="20"/>
          <w:color w:val="auto"/>
        </w:rPr>
      </w:pP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Row (9)</w:t>
            </w:r>
          </w:p>
        </w:tc>
        <w:tc>
          <w:tcPr>
            <w:tcW w:w="4700" w:type="dxa"/>
            <w:vAlign w:val="bottom"/>
          </w:tcPr>
          <w:p>
            <w:pPr>
              <w:jc w:val="right"/>
              <w:spacing w:after="0"/>
              <w:rPr>
                <w:sz w:val="20"/>
                <w:szCs w:val="20"/>
                <w:color w:val="auto"/>
              </w:rPr>
            </w:pPr>
            <w:r>
              <w:rPr>
                <w:rFonts w:ascii="Arial" w:cs="Arial" w:eastAsia="Arial" w:hAnsi="Arial"/>
                <w:sz w:val="18"/>
                <w:szCs w:val="18"/>
                <w:color w:val="auto"/>
              </w:rPr>
              <w:t>6.11%</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79"/>
              </w:rPr>
              <w:t>12.</w:t>
            </w:r>
          </w:p>
        </w:tc>
        <w:tc>
          <w:tcPr>
            <w:tcW w:w="6260" w:type="dxa"/>
            <w:vAlign w:val="bottom"/>
          </w:tcPr>
          <w:p>
            <w:pPr>
              <w:ind w:left="240"/>
              <w:spacing w:after="0"/>
              <w:rPr>
                <w:sz w:val="20"/>
                <w:szCs w:val="20"/>
                <w:color w:val="auto"/>
              </w:rPr>
            </w:pPr>
            <w:r>
              <w:rPr>
                <w:rFonts w:ascii="Arial" w:cs="Arial" w:eastAsia="Arial" w:hAnsi="Arial"/>
                <w:sz w:val="18"/>
                <w:szCs w:val="18"/>
                <w:color w:val="auto"/>
              </w:rPr>
              <w:t>Type of Reporting Person</w:t>
            </w:r>
          </w:p>
        </w:tc>
        <w:tc>
          <w:tcPr>
            <w:tcW w:w="4700" w:type="dxa"/>
            <w:vAlign w:val="bottom"/>
          </w:tcPr>
          <w:p>
            <w:pPr>
              <w:jc w:val="right"/>
              <w:spacing w:after="0"/>
              <w:rPr>
                <w:sz w:val="20"/>
                <w:szCs w:val="20"/>
                <w:color w:val="auto"/>
              </w:rPr>
            </w:pPr>
            <w:r>
              <w:rPr>
                <w:rFonts w:ascii="Arial" w:cs="Arial" w:eastAsia="Arial" w:hAnsi="Arial"/>
                <w:sz w:val="18"/>
                <w:szCs w:val="18"/>
                <w:color w:val="auto"/>
              </w:rPr>
              <w:t>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0" w:firstLine="8"/>
        <w:spacing w:after="0" w:line="211" w:lineRule="auto"/>
        <w:tabs>
          <w:tab w:leader="none" w:pos="110" w:val="left"/>
        </w:tabs>
        <w:numPr>
          <w:ilvl w:val="0"/>
          <w:numId w:val="6"/>
        </w:numPr>
        <w:rPr>
          <w:rFonts w:ascii="Arial" w:cs="Arial" w:eastAsia="Arial" w:hAnsi="Arial"/>
          <w:sz w:val="27"/>
          <w:szCs w:val="27"/>
          <w:color w:val="auto"/>
          <w:vertAlign w:val="superscript"/>
        </w:rPr>
      </w:pPr>
      <w:r>
        <w:rPr>
          <w:rFonts w:ascii="Arial" w:cs="Arial" w:eastAsia="Arial" w:hAnsi="Arial"/>
          <w:sz w:val="17"/>
          <w:szCs w:val="17"/>
          <w:color w:val="auto"/>
        </w:rPr>
        <w:t>As of December 31, 2019, Sio Capital Management, LLC beneficially owned 2,283,164 shares of Common Stock with shared voting power and shared dispositive power. The ownership information reported in this Schedule 13G is as of December 31, 2019.</w:t>
      </w:r>
    </w:p>
    <w:p>
      <w:pPr>
        <w:spacing w:after="0" w:line="28" w:lineRule="exact"/>
        <w:rPr>
          <w:sz w:val="20"/>
          <w:szCs w:val="20"/>
          <w:color w:val="auto"/>
        </w:rPr>
      </w:pPr>
    </w:p>
    <w:p>
      <w:pPr>
        <w:ind w:right="40" w:firstLine="8"/>
        <w:spacing w:after="0" w:line="194" w:lineRule="auto"/>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Based on 37,374,118 shares of common stock outstanding as of October 31, 2019, as reported in the Issuer’s Form 10-Q filed with the SEC on November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spacing w:after="0"/>
              <w:rPr>
                <w:sz w:val="20"/>
                <w:szCs w:val="20"/>
                <w:color w:val="auto"/>
              </w:rPr>
            </w:pPr>
            <w:r>
              <w:rPr>
                <w:rFonts w:ascii="Arial" w:cs="Arial" w:eastAsia="Arial" w:hAnsi="Arial"/>
                <w:sz w:val="18"/>
                <w:szCs w:val="18"/>
                <w:color w:val="auto"/>
              </w:rPr>
              <w:t>CUSIP No. 98885E103</w:t>
            </w: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60" w:type="dxa"/>
            <w:vAlign w:val="bottom"/>
          </w:tcPr>
          <w:p>
            <w:pPr>
              <w:ind w:left="404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3</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6</w:t>
            </w:r>
          </w:p>
        </w:tc>
      </w:tr>
      <w:tr>
        <w:trPr>
          <w:trHeight w:val="392"/>
        </w:trPr>
        <w:tc>
          <w:tcPr>
            <w:tcW w:w="10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40" w:type="dxa"/>
            <w:vAlign w:val="bottom"/>
            <w:gridSpan w:val="3"/>
          </w:tcPr>
          <w:p>
            <w:pPr>
              <w:ind w:left="1320"/>
              <w:spacing w:after="0"/>
              <w:rPr>
                <w:sz w:val="20"/>
                <w:szCs w:val="20"/>
                <w:color w:val="auto"/>
              </w:rPr>
            </w:pPr>
            <w:r>
              <w:rPr>
                <w:rFonts w:ascii="Arial" w:cs="Arial" w:eastAsia="Arial" w:hAnsi="Arial"/>
                <w:sz w:val="18"/>
                <w:szCs w:val="18"/>
                <w:b w:val="1"/>
                <w:bCs w:val="1"/>
                <w:color w:val="auto"/>
              </w:rPr>
              <w:t>Schedule 13G</w:t>
            </w:r>
          </w:p>
        </w:tc>
      </w:tr>
      <w:tr>
        <w:trPr>
          <w:trHeight w:val="453"/>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82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c>
          <w:tcPr>
            <w:tcW w:w="13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860" w:type="dxa"/>
            <w:vAlign w:val="bottom"/>
          </w:tcPr>
          <w:p>
            <w:pPr>
              <w:spacing w:after="0"/>
              <w:rPr>
                <w:sz w:val="24"/>
                <w:szCs w:val="24"/>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Zafgen,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Center Plaza, Suite 610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Massachusetts 02108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Statement is filed on behalf of Sio Capital Management, LLC (the “Reporting Person” or “Sio”)</w:t>
      </w:r>
    </w:p>
    <w:p>
      <w:pPr>
        <w:spacing w:after="0" w:line="225"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Sio is a registered investment adviser to certain affiliated funds that directly hold the shares of Common Stock to which this statement relates for the benefit of their respective investors, and in such capacity Sio has voting and dispositive power over such shares.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535 Fifth Avenue, Suite 910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10017</w:t>
      </w:r>
    </w:p>
    <w:p>
      <w:pPr>
        <w:spacing w:after="0" w:line="200" w:lineRule="exact"/>
        <w:rPr>
          <w:sz w:val="20"/>
          <w:szCs w:val="20"/>
          <w:color w:val="auto"/>
        </w:rPr>
      </w:pP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Sio is a Delaware limited liability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$0.001 par value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98885E103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37" w:right="259" w:bottom="1440" w:gutter="0" w:footer="0" w:header="0"/>
        </w:sectPr>
      </w:pPr>
    </w:p>
    <w:bookmarkStart w:id="3" w:name="page4"/>
    <w:bookmarkEnd w:id="3"/>
    <w:p>
      <w:pPr>
        <w:spacing w:after="0"/>
        <w:tabs>
          <w:tab w:leader="none" w:pos="10260" w:val="left"/>
        </w:tabs>
        <w:rPr>
          <w:sz w:val="20"/>
          <w:szCs w:val="20"/>
          <w:color w:val="auto"/>
        </w:rPr>
      </w:pPr>
      <w:r>
        <w:rPr>
          <w:rFonts w:ascii="Arial" w:cs="Arial" w:eastAsia="Arial" w:hAnsi="Arial"/>
          <w:sz w:val="18"/>
          <w:szCs w:val="18"/>
          <w:color w:val="auto"/>
        </w:rPr>
        <w:t>CUSIP No. 98885E103</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7" w:lineRule="exact"/>
        <w:rPr>
          <w:sz w:val="20"/>
          <w:szCs w:val="20"/>
          <w:color w:val="auto"/>
        </w:rPr>
      </w:pPr>
    </w:p>
    <w:p>
      <w:pPr>
        <w:ind w:left="920" w:hanging="912"/>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920" w:hanging="912"/>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73c).</w:t>
      </w:r>
    </w:p>
    <w:p>
      <w:pPr>
        <w:spacing w:after="0" w:line="9" w:lineRule="exact"/>
        <w:rPr>
          <w:rFonts w:ascii="Arial" w:cs="Arial" w:eastAsia="Arial" w:hAnsi="Arial"/>
          <w:sz w:val="18"/>
          <w:szCs w:val="18"/>
          <w:color w:val="auto"/>
        </w:rPr>
      </w:pPr>
    </w:p>
    <w:p>
      <w:pPr>
        <w:ind w:left="920" w:hanging="912"/>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U.S.C.78c).</w:t>
      </w:r>
    </w:p>
    <w:p>
      <w:pPr>
        <w:spacing w:after="0" w:line="9" w:lineRule="exact"/>
        <w:rPr>
          <w:rFonts w:ascii="Arial" w:cs="Arial" w:eastAsia="Arial" w:hAnsi="Arial"/>
          <w:sz w:val="18"/>
          <w:szCs w:val="18"/>
          <w:color w:val="auto"/>
        </w:rPr>
      </w:pPr>
    </w:p>
    <w:p>
      <w:pPr>
        <w:ind w:left="920" w:hanging="912"/>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920" w:hanging="912"/>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§13d-1(b)(1)(ii)(E).</w:t>
      </w:r>
    </w:p>
    <w:p>
      <w:pPr>
        <w:spacing w:after="0" w:line="9" w:lineRule="exact"/>
        <w:rPr>
          <w:rFonts w:ascii="Arial" w:cs="Arial" w:eastAsia="Arial" w:hAnsi="Arial"/>
          <w:sz w:val="18"/>
          <w:szCs w:val="18"/>
          <w:color w:val="auto"/>
        </w:rPr>
      </w:pPr>
    </w:p>
    <w:p>
      <w:pPr>
        <w:ind w:left="920" w:hanging="912"/>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9" w:lineRule="exact"/>
        <w:rPr>
          <w:rFonts w:ascii="Arial" w:cs="Arial" w:eastAsia="Arial" w:hAnsi="Arial"/>
          <w:sz w:val="18"/>
          <w:szCs w:val="18"/>
          <w:color w:val="auto"/>
        </w:rPr>
      </w:pPr>
    </w:p>
    <w:p>
      <w:pPr>
        <w:ind w:left="920" w:hanging="912"/>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9" w:lineRule="exact"/>
        <w:rPr>
          <w:rFonts w:ascii="Arial" w:cs="Arial" w:eastAsia="Arial" w:hAnsi="Arial"/>
          <w:sz w:val="18"/>
          <w:szCs w:val="18"/>
          <w:color w:val="auto"/>
        </w:rPr>
      </w:pPr>
    </w:p>
    <w:p>
      <w:pPr>
        <w:ind w:left="920" w:hanging="912"/>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620" w:hanging="1612"/>
        <w:spacing w:after="0" w:line="215" w:lineRule="exact"/>
        <w:tabs>
          <w:tab w:leader="none" w:pos="931"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ind w:left="920" w:hanging="912"/>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§240.13d-1(b)(1)(ii)(J).</w:t>
      </w:r>
    </w:p>
    <w:p>
      <w:pPr>
        <w:spacing w:after="0" w:line="211" w:lineRule="exact"/>
        <w:rPr>
          <w:sz w:val="20"/>
          <w:szCs w:val="20"/>
          <w:color w:val="auto"/>
        </w:rPr>
      </w:pPr>
    </w:p>
    <w:p>
      <w:pPr>
        <w:ind w:left="920" w:hanging="912"/>
        <w:spacing w:after="0"/>
        <w:tabs>
          <w:tab w:leader="none" w:pos="9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If this statement is filed pursuant to §240.13d-1(c), check this box.</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through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5 through 9 and 11 of the cover pages to this Schedule 13G is incorporated herein by reference.</w:t>
      </w:r>
      <w:r>
        <w:rPr>
          <w:rFonts w:ascii="Arial" w:cs="Arial" w:eastAsia="Arial" w:hAnsi="Arial"/>
          <w:sz w:val="30"/>
          <w:szCs w:val="30"/>
          <w:color w:val="auto"/>
          <w:vertAlign w:val="superscript"/>
        </w:rPr>
        <w:t>3</w:t>
      </w:r>
    </w:p>
    <w:p>
      <w:pPr>
        <w:spacing w:after="0" w:line="3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jc w:val="both"/>
        <w:ind w:left="980" w:right="180"/>
        <w:spacing w:after="0" w:line="264" w:lineRule="auto"/>
        <w:rPr>
          <w:sz w:val="20"/>
          <w:szCs w:val="20"/>
          <w:color w:val="auto"/>
        </w:rPr>
      </w:pPr>
      <w:r>
        <w:rPr>
          <w:rFonts w:ascii="Arial" w:cs="Arial" w:eastAsia="Arial" w:hAnsi="Arial"/>
          <w:sz w:val="18"/>
          <w:szCs w:val="18"/>
          <w:color w:val="auto"/>
        </w:rPr>
        <w:t>Various advisory clients of the Reporting Person have the right to receive or the power to direct the receipt of dividends from, or the proceeds from the sale of, the Common Stock of Zafgen, Inc. in their accounts with the Reporting Person. No such person has such interest relating to more than 5% of the outstanding shares of Common Stock of Zafgen, Inc.</w:t>
      </w:r>
    </w:p>
    <w:p>
      <w:pPr>
        <w:spacing w:after="0" w:line="3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263525</wp:posOffset>
            </wp:positionV>
            <wp:extent cx="1714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00" w:firstLine="8"/>
        <w:spacing w:after="0" w:line="245" w:lineRule="auto"/>
        <w:tabs>
          <w:tab w:leader="none" w:pos="12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37" w:right="299" w:bottom="1440" w:gutter="0" w:footer="0" w:header="0"/>
        </w:sectPr>
      </w:pPr>
    </w:p>
    <w:bookmarkStart w:id="4" w:name="page5"/>
    <w:bookmarkEnd w:id="4"/>
    <w:p>
      <w:pPr>
        <w:spacing w:after="0"/>
        <w:tabs>
          <w:tab w:leader="none" w:pos="10260" w:val="left"/>
        </w:tabs>
        <w:rPr>
          <w:sz w:val="20"/>
          <w:szCs w:val="20"/>
          <w:color w:val="auto"/>
        </w:rPr>
      </w:pPr>
      <w:r>
        <w:rPr>
          <w:rFonts w:ascii="Arial" w:cs="Arial" w:eastAsia="Arial" w:hAnsi="Arial"/>
          <w:sz w:val="18"/>
          <w:szCs w:val="18"/>
          <w:color w:val="auto"/>
        </w:rPr>
        <w:t>CUSIP No. 98885E103</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herein were acquired and are held in the ordinary course of business and were not acquired and are not held for the purpose of or with the effect of changing or influencing the control of the Issuer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5" w:name="page6"/>
    <w:bookmarkEnd w:id="5"/>
    <w:p>
      <w:pPr>
        <w:spacing w:after="0"/>
        <w:tabs>
          <w:tab w:leader="none" w:pos="10260" w:val="left"/>
        </w:tabs>
        <w:rPr>
          <w:sz w:val="20"/>
          <w:szCs w:val="20"/>
          <w:color w:val="auto"/>
        </w:rPr>
      </w:pPr>
      <w:r>
        <w:rPr>
          <w:rFonts w:ascii="Arial" w:cs="Arial" w:eastAsia="Arial" w:hAnsi="Arial"/>
          <w:sz w:val="18"/>
          <w:szCs w:val="18"/>
          <w:color w:val="auto"/>
        </w:rPr>
        <w:t>CUSIP No. 98885E103</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2020</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SIO CAPITAL MANAGEMENT, LLC</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1217930" cy="4629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7930" cy="462915"/>
                    </a:xfrm>
                    <a:prstGeom prst="rect">
                      <a:avLst/>
                    </a:prstGeom>
                    <a:noFill/>
                    <a:ln>
                      <a:noFill/>
                    </a:ln>
                  </pic:spPr>
                </pic:pic>
              </a:graphicData>
            </a:graphic>
          </wp:inline>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Judah Drillick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100"/>
      </w:cols>
      <w:pgMar w:left="240" w:top="83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3"/>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2020-02-14T15:04:35Z</dcterms:created>
  <dcterms:modified xsi:type="dcterms:W3CDTF">2020-02-14T15:04:35Z</dcterms:modified>
</cp:coreProperties>
</file>