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left="5" w:right="160"/>
        <w:spacing w:after="0" w:line="281" w:lineRule="auto"/>
        <w:rPr>
          <w:sz w:val="20"/>
          <w:szCs w:val="20"/>
          <w:color w:val="auto"/>
        </w:rPr>
      </w:pPr>
      <w:r>
        <w:rPr>
          <w:rFonts w:ascii="Times New Roman" w:cs="Times New Roman" w:eastAsia="Times New Roman" w:hAnsi="Times New Roman"/>
          <w:sz w:val="16"/>
          <w:szCs w:val="16"/>
          <w:color w:val="auto"/>
        </w:rPr>
        <w:t>On August 14, 2025,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second quarter ended June 30, 2025. A copy of the press release is being furnished as Exhibit 99.1 to this Current Report on Form 8-K and is incorporated herein by reference.</w:t>
      </w:r>
    </w:p>
    <w:p>
      <w:pPr>
        <w:spacing w:after="0" w:line="141" w:lineRule="exact"/>
        <w:rPr>
          <w:sz w:val="20"/>
          <w:szCs w:val="20"/>
          <w:color w:val="auto"/>
        </w:rPr>
      </w:pPr>
    </w:p>
    <w:p>
      <w:pPr>
        <w:ind w:left="5"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140"/>
        <w:spacing w:after="0" w:line="276" w:lineRule="auto"/>
        <w:rPr>
          <w:sz w:val="20"/>
          <w:szCs w:val="20"/>
          <w:color w:val="auto"/>
        </w:rPr>
      </w:pPr>
      <w:r>
        <w:rPr>
          <w:rFonts w:ascii="Times New Roman" w:cs="Times New Roman" w:eastAsia="Times New Roman" w:hAnsi="Times New Roman"/>
          <w:sz w:val="16"/>
          <w:szCs w:val="16"/>
          <w:color w:val="auto"/>
        </w:rPr>
        <w:t>On August 14, 2025,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456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7"/>
              </w:rPr>
              <w:t>Press Release issued by Larimar Therapeutics, Inc. on August 14, 2025*</w:t>
            </w:r>
          </w:p>
        </w:tc>
        <w:tc>
          <w:tcPr>
            <w:tcW w:w="20" w:type="dxa"/>
            <w:vAlign w:val="bottom"/>
            <w:tcBorders>
              <w:bottom w:val="single" w:sz="8" w:color="0000EE"/>
            </w:tcBorders>
          </w:tcPr>
          <w:p>
            <w:pPr>
              <w:spacing w:after="0"/>
              <w:rPr>
                <w:sz w:val="12"/>
                <w:szCs w:val="12"/>
                <w:color w:val="auto"/>
              </w:rPr>
            </w:pPr>
          </w:p>
        </w:tc>
        <w:tc>
          <w:tcPr>
            <w:tcW w:w="5200" w:type="dxa"/>
            <w:vAlign w:val="bottom"/>
            <w:gridSpan w:val="2"/>
          </w:tcPr>
          <w:p>
            <w:pPr>
              <w:spacing w:after="0"/>
              <w:rPr>
                <w:sz w:val="12"/>
                <w:szCs w:val="12"/>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14"/>
                <w:szCs w:val="14"/>
                <w:color w:val="auto"/>
              </w:rPr>
            </w:pPr>
          </w:p>
        </w:tc>
        <w:tc>
          <w:tcPr>
            <w:tcW w:w="978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Larimar Therapeutics, Inc. Corporate Presentation, dated August 14, 2025</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7" w:lineRule="exact"/>
        <w:rPr>
          <w:sz w:val="20"/>
          <w:szCs w:val="20"/>
          <w:color w:val="auto"/>
        </w:rPr>
      </w:pPr>
    </w:p>
    <w:p>
      <w:pPr>
        <w:ind w:left="5" w:right="4740" w:hanging="5"/>
        <w:spacing w:after="0" w:line="399" w:lineRule="auto"/>
        <w:tabs>
          <w:tab w:leader="none" w:pos="147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14,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Larimar Therapeutics Reports Second Quarter 2025 Financial Results</w:t>
      </w:r>
    </w:p>
    <w:p>
      <w:pPr>
        <w:spacing w:after="0" w:line="390"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Initial data from the 50 mg dose in the open label study and the adolescent PK run-in study planned for program update in September 2025</w:t>
      </w:r>
    </w:p>
    <w:p>
      <w:pPr>
        <w:spacing w:after="0" w:line="200" w:lineRule="exact"/>
        <w:rPr>
          <w:rFonts w:ascii="Times New Roman" w:cs="Times New Roman" w:eastAsia="Times New Roman" w:hAnsi="Times New Roman"/>
          <w:sz w:val="16"/>
          <w:szCs w:val="16"/>
          <w:color w:val="auto"/>
        </w:rPr>
      </w:pPr>
    </w:p>
    <w:p>
      <w:pPr>
        <w:spacing w:after="0" w:line="206" w:lineRule="exact"/>
        <w:rPr>
          <w:rFonts w:ascii="Times New Roman" w:cs="Times New Roman" w:eastAsia="Times New Roman" w:hAnsi="Times New Roman"/>
          <w:sz w:val="16"/>
          <w:szCs w:val="16"/>
          <w:color w:val="auto"/>
        </w:rPr>
      </w:pPr>
    </w:p>
    <w:p>
      <w:pPr>
        <w:ind w:left="740" w:right="38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Adolescent participants from the PK run-in study and patients with FA who have not participated in prior nomlabofusp clinical studies are currently screening and enrolling in the open label study; planning to enroll children (2 to 11 years of age) directly into the open label study</w:t>
      </w:r>
    </w:p>
    <w:p>
      <w:pPr>
        <w:spacing w:after="0" w:line="357"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recommended that the safety database include at least 30 participants with continuous study drug exposure for 6 months, and a subset of at least 10 participants for 1-year; large majority of safety data should be from participants receiving 50 mg nomlabofusp</w:t>
      </w:r>
    </w:p>
    <w:p>
      <w:pPr>
        <w:spacing w:after="0" w:line="357" w:lineRule="exact"/>
        <w:rPr>
          <w:rFonts w:ascii="Times New Roman" w:cs="Times New Roman" w:eastAsia="Times New Roman" w:hAnsi="Times New Roman"/>
          <w:sz w:val="16"/>
          <w:szCs w:val="16"/>
          <w:color w:val="auto"/>
        </w:rPr>
      </w:pPr>
    </w:p>
    <w:p>
      <w:pPr>
        <w:ind w:left="740" w:right="8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Published two peer-reviewed articles; the nonclinical data included in the publications were part of the data submitted to FDA to support the mechanism of action of nomlabofusp and the potential use of skin FXN concentrations as a reasonably likely surrogate endpoint</w:t>
      </w:r>
    </w:p>
    <w:p>
      <w:pPr>
        <w:spacing w:after="0" w:line="357"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BLA seeking accelerated approval on track to be submitted in the second quarter of 2026</w:t>
      </w:r>
    </w:p>
    <w:p>
      <w:pPr>
        <w:spacing w:after="0" w:line="200" w:lineRule="exact"/>
        <w:rPr>
          <w:rFonts w:ascii="Times New Roman" w:cs="Times New Roman" w:eastAsia="Times New Roman" w:hAnsi="Times New Roman"/>
          <w:sz w:val="16"/>
          <w:szCs w:val="16"/>
          <w:color w:val="auto"/>
        </w:rPr>
      </w:pPr>
    </w:p>
    <w:p>
      <w:pPr>
        <w:spacing w:after="0" w:line="206"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Global Phase 3 study activities ongoing including qualification of identified sites with patient recruitment expected to initiate later this year</w:t>
      </w:r>
    </w:p>
    <w:p>
      <w:pPr>
        <w:spacing w:after="0" w:line="170" w:lineRule="exact"/>
        <w:rPr>
          <w:rFonts w:ascii="Times New Roman" w:cs="Times New Roman" w:eastAsia="Times New Roman" w:hAnsi="Times New Roman"/>
          <w:sz w:val="16"/>
          <w:szCs w:val="16"/>
          <w:color w:val="auto"/>
        </w:rPr>
      </w:pPr>
    </w:p>
    <w:p>
      <w:pPr>
        <w:ind w:left="740" w:right="1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$203.6 million in pro forma* cash, cash equivalents and marketable securities as of June 30, 2025, with projected cash runway into the fourth quarter of 2026</w:t>
      </w:r>
    </w:p>
    <w:p>
      <w:pPr>
        <w:spacing w:after="0" w:line="357" w:lineRule="exact"/>
        <w:rPr>
          <w:sz w:val="20"/>
          <w:szCs w:val="20"/>
          <w:color w:val="auto"/>
        </w:rPr>
      </w:pPr>
    </w:p>
    <w:p>
      <w:pPr>
        <w:ind w:left="360" w:right="340"/>
        <w:spacing w:after="0" w:line="238"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4"/>
          <w:szCs w:val="14"/>
          <w:i w:val="1"/>
          <w:iCs w:val="1"/>
          <w:color w:val="auto"/>
        </w:rPr>
        <w:t>Pro forma cash, cash equivalents, and marketable securities of $203.6 million reflects $138.5 million of cash, cash equivalents and marketable securities as of June 30,</w:t>
      </w:r>
      <w:r>
        <w:rPr>
          <w:rFonts w:ascii="Arial" w:cs="Arial" w:eastAsia="Arial" w:hAnsi="Arial"/>
          <w:sz w:val="16"/>
          <w:szCs w:val="16"/>
          <w:i w:val="1"/>
          <w:iCs w:val="1"/>
          <w:color w:val="auto"/>
        </w:rPr>
        <w:t xml:space="preserve"> </w:t>
      </w:r>
      <w:r>
        <w:rPr>
          <w:rFonts w:ascii="Arial" w:cs="Arial" w:eastAsia="Arial" w:hAnsi="Arial"/>
          <w:sz w:val="14"/>
          <w:szCs w:val="14"/>
          <w:i w:val="1"/>
          <w:iCs w:val="1"/>
          <w:color w:val="auto"/>
        </w:rPr>
        <w:t>2025 combined with the $65.1 million in net proceeds from the recently completed July 2025 public offering.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August 14, 2025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second quarter 2025 operating and financial results.</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are pleased with our continued strong execution as we further advance our nomlabofusp program towards potential registration. Importantly, we have written communications in hand from the Food and Drug Administration (FDA) for key elements of our Biologics License Application (BLA) submission including safety database recommendations and a potential accelerated approval pathway based on the use of skin frataxin levels as a novel surrogate endpoint. We also recently published two peer-reviewed papers, including nonclinical data contributing to the FDA’s openness to using skin frataxin (FXN) concentrations as a reasonably likely surrogate endpoint (RLSE),” said Carole Ben-Maimon, MD, President, and Chief Executive Officer of Larimar. “Enrollment in our open label study is ongoing, and new study participants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72" w:right="319" w:bottom="1440" w:gutter="0" w:footer="0" w:header="0"/>
        </w:sectPr>
      </w:pPr>
    </w:p>
    <w:bookmarkStart w:id="4" w:name="page5"/>
    <w:bookmarkEnd w:id="4"/>
    <w:p>
      <w:pPr>
        <w:jc w:val="both"/>
        <w:spacing w:after="0" w:line="239" w:lineRule="auto"/>
        <w:rPr>
          <w:sz w:val="20"/>
          <w:szCs w:val="20"/>
          <w:color w:val="auto"/>
        </w:rPr>
      </w:pPr>
      <w:r>
        <w:rPr>
          <w:rFonts w:ascii="Arial" w:cs="Arial" w:eastAsia="Arial" w:hAnsi="Arial"/>
          <w:sz w:val="16"/>
          <w:szCs w:val="16"/>
          <w:color w:val="auto"/>
        </w:rPr>
        <w:t>now receiving the lyophilized formulation of nomlabofusp. We have several important near-term catalysts ahead including initial data from the 50 mg dose of our open label study and data from the adolescent pharmacokinetic (PK) run-in study expected in September 2025. Global sites have been identified for our Phase 3 trial, and we expect to initiate patient recruitment later this year. With our balance sheet strengthened through our recent capital raise, key clinical data approaching, and a clear regulatory path in place, we are well-positioned to submit our BLA for nomlabofusp in the second quarter of 2026 as the first potential disease modifying therapy for Friedreich’s ataxia (FA).”</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171" w:lineRule="exact"/>
        <w:rPr>
          <w:sz w:val="20"/>
          <w:szCs w:val="20"/>
          <w:color w:val="auto"/>
        </w:rPr>
      </w:pPr>
    </w:p>
    <w:p>
      <w:pPr>
        <w:ind w:left="740" w:right="8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Initial 50 mg Open Label Study Data Expected in September 2025: </w:t>
      </w:r>
      <w:r>
        <w:rPr>
          <w:rFonts w:ascii="Arial" w:cs="Arial" w:eastAsia="Arial" w:hAnsi="Arial"/>
          <w:sz w:val="16"/>
          <w:szCs w:val="16"/>
          <w:color w:val="auto"/>
        </w:rPr>
        <w:t>The ongoing open label study continues to enroll, and active study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are currently receiving the 50 mg dose of nomlabofusp. Larimar plans to provide an update on open label data on at least 30 to 40 study participants who received at least one dose of nomlabofusp in September 2025.</w:t>
      </w:r>
    </w:p>
    <w:p>
      <w:pPr>
        <w:spacing w:after="0" w:line="176" w:lineRule="exact"/>
        <w:rPr>
          <w:rFonts w:ascii="Times New Roman" w:cs="Times New Roman" w:eastAsia="Times New Roman" w:hAnsi="Times New Roman"/>
          <w:sz w:val="16"/>
          <w:szCs w:val="16"/>
          <w:color w:val="auto"/>
        </w:rPr>
      </w:pPr>
    </w:p>
    <w:p>
      <w:pPr>
        <w:jc w:val="both"/>
        <w:ind w:left="740" w:right="10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Adolescent PK Run-In Data in September 2025: </w:t>
      </w:r>
      <w:r>
        <w:rPr>
          <w:rFonts w:ascii="Arial" w:cs="Arial" w:eastAsia="Arial" w:hAnsi="Arial"/>
          <w:sz w:val="16"/>
          <w:szCs w:val="16"/>
          <w:color w:val="auto"/>
        </w:rPr>
        <w:t>Larimar completed dosing of 14 adolescents (12-17 years of age) in a PK run-in study for pediatric</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FA in March 2025. Adolescents received a weight-based dose expected to match the PK of adults receiving the 50 mg dose or placebo. The safety and PK data from this study are expected during the nomlabofusp program update in September 2025.</w:t>
      </w:r>
    </w:p>
    <w:p>
      <w:pPr>
        <w:spacing w:after="0" w:line="176"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Recent Expansion of Open Label Study Participants</w:t>
      </w:r>
      <w:r>
        <w:rPr>
          <w:rFonts w:ascii="Arial" w:cs="Arial" w:eastAsia="Arial" w:hAnsi="Arial"/>
          <w:sz w:val="16"/>
          <w:szCs w:val="16"/>
          <w:color w:val="auto"/>
        </w:rPr>
        <w:t>: Adolescent participants from the PK</w:t>
      </w:r>
    </w:p>
    <w:p>
      <w:pPr>
        <w:spacing w:after="0" w:line="8" w:lineRule="exact"/>
        <w:rPr>
          <w:rFonts w:ascii="Times New Roman" w:cs="Times New Roman" w:eastAsia="Times New Roman" w:hAnsi="Times New Roman"/>
          <w:sz w:val="16"/>
          <w:szCs w:val="16"/>
          <w:color w:val="auto"/>
        </w:rPr>
      </w:pPr>
    </w:p>
    <w:p>
      <w:pPr>
        <w:ind w:left="740" w:right="200"/>
        <w:spacing w:after="0" w:line="238" w:lineRule="auto"/>
        <w:rPr>
          <w:rFonts w:ascii="Times New Roman" w:cs="Times New Roman" w:eastAsia="Times New Roman" w:hAnsi="Times New Roman"/>
          <w:sz w:val="16"/>
          <w:szCs w:val="16"/>
          <w:color w:val="auto"/>
        </w:rPr>
      </w:pPr>
      <w:r>
        <w:rPr>
          <w:rFonts w:ascii="Arial" w:cs="Arial" w:eastAsia="Arial" w:hAnsi="Arial"/>
          <w:sz w:val="16"/>
          <w:szCs w:val="16"/>
          <w:color w:val="auto"/>
        </w:rPr>
        <w:t>run-in study are currently being screened and enrolled in the open label study. Also, patients with FA who have not participated in prior nomlabofusp clinical studies are being screened and enrolled into the open label study. In addition, Larimar plans to enroll children (2 to 11 years of age) directly into the open label study.</w:t>
      </w:r>
    </w:p>
    <w:p>
      <w:pPr>
        <w:spacing w:after="0" w:line="181" w:lineRule="exact"/>
        <w:rPr>
          <w:rFonts w:ascii="Times New Roman" w:cs="Times New Roman" w:eastAsia="Times New Roman" w:hAnsi="Times New Roman"/>
          <w:sz w:val="16"/>
          <w:szCs w:val="16"/>
          <w:color w:val="auto"/>
        </w:rPr>
      </w:pPr>
    </w:p>
    <w:p>
      <w:pPr>
        <w:ind w:left="740" w:right="6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Announced FDA Safety Database Recommendations: </w:t>
      </w:r>
      <w:r>
        <w:rPr>
          <w:rFonts w:ascii="Arial" w:cs="Arial" w:eastAsia="Arial" w:hAnsi="Arial"/>
          <w:sz w:val="16"/>
          <w:szCs w:val="16"/>
          <w:color w:val="auto"/>
        </w:rPr>
        <w:t>In June 2025, Larimar announced that the FDA recommended evaluating safety in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30 participants with continuous study drug exposure for 6-months, with a subset of at least 10 of those participants on continuous study drug exposure for 1-year. The FDA also recommended that the large majority of safety data should be from participants receiving the 50 mg dose.</w:t>
      </w:r>
    </w:p>
    <w:p>
      <w:pPr>
        <w:spacing w:after="0" w:line="176" w:lineRule="exact"/>
        <w:rPr>
          <w:rFonts w:ascii="Times New Roman" w:cs="Times New Roman" w:eastAsia="Times New Roman" w:hAnsi="Times New Roman"/>
          <w:sz w:val="16"/>
          <w:szCs w:val="16"/>
          <w:color w:val="auto"/>
        </w:rPr>
      </w:pPr>
    </w:p>
    <w:p>
      <w:pPr>
        <w:jc w:val="both"/>
        <w:ind w:left="740" w:right="60" w:hanging="370"/>
        <w:spacing w:after="0" w:line="241"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Published Nonclinical Data on Nomlabofusp in Two Peer-Reviewed Articles: </w:t>
      </w:r>
      <w:r>
        <w:rPr>
          <w:rFonts w:ascii="Arial" w:cs="Arial" w:eastAsia="Arial" w:hAnsi="Arial"/>
          <w:sz w:val="16"/>
          <w:szCs w:val="16"/>
          <w:color w:val="auto"/>
        </w:rPr>
        <w:t>In July 2025, Larimar announced the publication of nonclinical data</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evaluating the mechanism of action, pharmacodynamics, and pharmacology of nomlabofusp as a novel FXN protein replacement therapy designed to address the underlying cause of FA in two peer-reviewed articles. These data were included in the briefing package reviewed by the FDA in support of using skin FXN concentrations as a RLSE for Larimar’s registrational program seeking accelerated approval for nomlabofusp.</w:t>
      </w:r>
    </w:p>
    <w:p>
      <w:pPr>
        <w:spacing w:after="0" w:line="182"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BLA Submission on Track: </w:t>
      </w:r>
      <w:r>
        <w:rPr>
          <w:rFonts w:ascii="Arial" w:cs="Arial" w:eastAsia="Arial" w:hAnsi="Arial"/>
          <w:sz w:val="16"/>
          <w:szCs w:val="16"/>
          <w:color w:val="auto"/>
        </w:rPr>
        <w:t>In the second quarter of 2026, Larimar plans to submit a BLA seeking accelerated approval.</w:t>
      </w:r>
    </w:p>
    <w:p>
      <w:pPr>
        <w:spacing w:after="0" w:line="170" w:lineRule="exact"/>
        <w:rPr>
          <w:rFonts w:ascii="Times New Roman" w:cs="Times New Roman" w:eastAsia="Times New Roman" w:hAnsi="Times New Roman"/>
          <w:sz w:val="16"/>
          <w:szCs w:val="16"/>
          <w:color w:val="auto"/>
        </w:rPr>
      </w:pPr>
    </w:p>
    <w:p>
      <w:pPr>
        <w:ind w:left="740" w:right="160" w:hanging="370"/>
        <w:spacing w:after="0" w:line="24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Identified Global Phase 3 Sites: </w:t>
      </w:r>
      <w:r>
        <w:rPr>
          <w:rFonts w:ascii="Arial" w:cs="Arial" w:eastAsia="Arial" w:hAnsi="Arial"/>
          <w:sz w:val="16"/>
          <w:szCs w:val="16"/>
          <w:color w:val="auto"/>
        </w:rPr>
        <w:t>Following feedback from FDA and European Medicines Agency (EMA) on the study protocol, global Phase 3 study</w:t>
      </w:r>
      <w:r>
        <w:rPr>
          <w:rFonts w:ascii="Arial" w:cs="Arial" w:eastAsia="Arial" w:hAnsi="Arial"/>
          <w:sz w:val="16"/>
          <w:szCs w:val="16"/>
          <w:b w:val="1"/>
          <w:bCs w:val="1"/>
          <w:color w:val="auto"/>
        </w:rPr>
        <w:t xml:space="preserve"> </w:t>
      </w:r>
      <w:r>
        <w:rPr>
          <w:rFonts w:ascii="Arial" w:cs="Arial" w:eastAsia="Arial" w:hAnsi="Arial"/>
          <w:sz w:val="16"/>
          <w:szCs w:val="16"/>
          <w:color w:val="auto"/>
        </w:rPr>
        <w:t>sites in the U.S., E.U., U.K., Canada, and Australia were identified and are currently being qualified and initiated. Larimar expects to begin patient recruitment later this year.</w:t>
      </w:r>
    </w:p>
    <w:p>
      <w:pPr>
        <w:spacing w:after="0" w:line="176" w:lineRule="exact"/>
        <w:rPr>
          <w:rFonts w:ascii="Times New Roman" w:cs="Times New Roman" w:eastAsia="Times New Roman" w:hAnsi="Times New Roman"/>
          <w:sz w:val="16"/>
          <w:szCs w:val="16"/>
          <w:color w:val="auto"/>
        </w:rPr>
      </w:pPr>
    </w:p>
    <w:p>
      <w:pPr>
        <w:ind w:left="740" w:right="80" w:hanging="370"/>
        <w:spacing w:after="0" w:line="262"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Initiated Transition to Lyophilized Form of Nomlabofusp: </w:t>
      </w:r>
      <w:r>
        <w:rPr>
          <w:rFonts w:ascii="Arial" w:cs="Arial" w:eastAsia="Arial" w:hAnsi="Arial"/>
          <w:sz w:val="16"/>
          <w:szCs w:val="16"/>
          <w:color w:val="auto"/>
        </w:rPr>
        <w:t>In May 2025, Larimar began to introduce the lyophilized product formulation intended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into the open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748665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ind w:left="740"/>
        <w:spacing w:after="0"/>
        <w:rPr>
          <w:sz w:val="20"/>
          <w:szCs w:val="20"/>
          <w:color w:val="auto"/>
        </w:rPr>
      </w:pPr>
      <w:r>
        <w:rPr>
          <w:rFonts w:ascii="Arial" w:cs="Arial" w:eastAsia="Arial" w:hAnsi="Arial"/>
          <w:sz w:val="16"/>
          <w:szCs w:val="16"/>
          <w:color w:val="auto"/>
        </w:rPr>
        <w:t>study.</w:t>
      </w:r>
    </w:p>
    <w:p>
      <w:pPr>
        <w:spacing w:after="0" w:line="169" w:lineRule="exact"/>
        <w:rPr>
          <w:sz w:val="20"/>
          <w:szCs w:val="20"/>
          <w:color w:val="auto"/>
        </w:rPr>
      </w:pPr>
    </w:p>
    <w:p>
      <w:pPr>
        <w:ind w:left="740" w:right="140" w:hanging="370"/>
        <w:spacing w:after="0" w:line="24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Strengthened Balance Sheet With $65.1 Million Public Offering: </w:t>
      </w:r>
      <w:r>
        <w:rPr>
          <w:rFonts w:ascii="Arial" w:cs="Arial" w:eastAsia="Arial" w:hAnsi="Arial"/>
          <w:sz w:val="16"/>
          <w:szCs w:val="16"/>
          <w:color w:val="auto"/>
        </w:rPr>
        <w:t>In July 2025, Larimar announced a public offering of common stock with net</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of $65.1 million supported by existing and new leading healthcare investors that extends its projected cash runway into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2025 Financial Results</w:t>
      </w:r>
    </w:p>
    <w:p>
      <w:pPr>
        <w:spacing w:after="0" w:line="17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June 30, 2025, the Company had cash, cash equivalents and marketable securities totaling $138.5 million. Together with net proceeds of approximately $65.1 million from the July 2025 public offering, the company has projected cash runway into the fourth quarter of 2026.</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Second quarter of 2025 compared to the second quarter of 2024</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second quarter of 2025 of $26.2 million, or $0.41 per share, compared to a net loss of $21.6 million, or $0.34 per share, for the second quarter of 2024.</w:t>
      </w:r>
    </w:p>
    <w:p>
      <w:pPr>
        <w:spacing w:after="0" w:line="5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Research and development expenses for the second quarter of 2025 were $23.4 million compared to $19.7 million for the second quarter of 2024. The increase in research and development expenses was primarily attributable to an increase of $2.4 million in professional consulting fees related to ongoing clinical trial activity, an increase of $1.3 million in personnel costs associated with increased headcount as BLA activities expand, and an increase of $0.6 million in clinical costs primarily associated with initial activities related to the design and initial activities associated with the Company’s planned confirmatory study required as part of the planned BLA filing.</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General and administrative expenses were $4.4 million in the second quarter of 2025 compared to $4.9 million in the second quarter of 2024. The decrease in general and administrative expenses was primarily due to a decrease of $0.4 million in noncash stock compensation costs and a decrease of $0.3 million in professional services primarily related to legal services performed.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Six months ended June 30, 2025, compared to the six months ended June 30, 2024</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first six months of 2025 of $55.5 million, or $0.87 per share, compared to a net loss of $36.3 million, or $0.62 per share, for the first six months of 2024.</w:t>
      </w:r>
    </w:p>
    <w:p>
      <w:pPr>
        <w:spacing w:after="0" w:line="5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Research and development expenses for the six months ended June 30, 2025, were $49.9 million compared to $32.6 million for the six months ended June 30, 2024. The increase in research and development expenses was primarily attributable to an increase of $7.1 million in nomlabofusp clinical trial material manufacturing costs, an increase of $3.5 million in professional consulting fees related to ongoing clinical trials, an increase of $3.4 million in clinical costs</w:t>
      </w:r>
    </w:p>
    <w:p>
      <w:pPr>
        <w:jc w:val="both"/>
        <w:spacing w:after="0" w:line="269" w:lineRule="auto"/>
        <w:rPr>
          <w:sz w:val="20"/>
          <w:szCs w:val="20"/>
          <w:color w:val="auto"/>
        </w:rPr>
      </w:pPr>
      <w:r>
        <w:rPr>
          <w:rFonts w:ascii="Arial" w:cs="Arial" w:eastAsia="Arial" w:hAnsi="Arial"/>
          <w:sz w:val="16"/>
          <w:szCs w:val="16"/>
          <w:color w:val="auto"/>
        </w:rPr>
        <w:t>primarily associated with initial activities related to the design and initial activities associated with the Company’s planned confirmatory study, and an increase of $2.9 million in personnel costs associated with increased headcount.</w:t>
      </w:r>
    </w:p>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General and administrative expenses were $9.1 million for the first six months of 2025 compared to $8.7 million for the six months ended June 30, 2024. The increase in general and administrative expenses was primarily due to an increase of $0.8 million in personnel costs associated with an increased headcount and an increase of $0.3 million in professional services primarily related to pre-marketing-related consulting fees, partially offset by a decrease of $0.7 million in stock compensation costs.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6" w:name="page7"/>
    <w:bookmarkEnd w:id="6"/>
    <w:p>
      <w:pPr>
        <w:spacing w:after="0" w:line="260" w:lineRule="auto"/>
        <w:rPr>
          <w:sz w:val="20"/>
          <w:szCs w:val="20"/>
          <w:color w:val="auto"/>
        </w:rPr>
      </w:pPr>
      <w:r>
        <w:rPr>
          <w:rFonts w:ascii="Arial" w:cs="Arial" w:eastAsia="Arial" w:hAnsi="Arial"/>
          <w:sz w:val="16"/>
          <w:szCs w:val="16"/>
          <w:color w:val="auto"/>
        </w:rPr>
        <w:t>platform to design other fusion proteins to target additional rare diseases characterized by deficiencies in intracellular bioactive compounds. For more information, please visit: https://larimartx.com.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plans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620" w:type="dxa"/>
            <w:vAlign w:val="bottom"/>
            <w:tcBorders>
              <w:top w:val="single" w:sz="8" w:color="auto"/>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b w:val="1"/>
                <w:bCs w:val="1"/>
                <w:color w:val="auto"/>
              </w:rPr>
              <w:t>Investor Contact:</w:t>
            </w:r>
          </w:p>
        </w:tc>
        <w:tc>
          <w:tcPr>
            <w:tcW w:w="5640" w:type="dxa"/>
            <w:vAlign w:val="bottom"/>
            <w:tcBorders>
              <w:top w:val="single" w:sz="8" w:color="auto"/>
              <w:right w:val="single" w:sz="8" w:color="auto"/>
            </w:tcBorders>
          </w:tcPr>
          <w:p>
            <w:pPr>
              <w:ind w:left="80"/>
              <w:spacing w:after="0" w:line="178" w:lineRule="exact"/>
              <w:rPr>
                <w:sz w:val="20"/>
                <w:szCs w:val="20"/>
                <w:color w:val="auto"/>
              </w:rPr>
            </w:pPr>
            <w:r>
              <w:rPr>
                <w:rFonts w:ascii="Arial" w:cs="Arial" w:eastAsia="Arial" w:hAnsi="Arial"/>
                <w:sz w:val="16"/>
                <w:szCs w:val="16"/>
                <w:b w:val="1"/>
                <w:bCs w:val="1"/>
                <w:color w:val="auto"/>
              </w:rPr>
              <w:t>Company Contact:</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Joyce Allaire</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Michael Celano</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LifeSci Advisors</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Chief Financial Officer</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jallaire@lifesciadvisors.com</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mcelano@larimartx.com</w:t>
            </w:r>
          </w:p>
        </w:tc>
      </w:tr>
      <w:tr>
        <w:trPr>
          <w:trHeight w:val="188"/>
        </w:trPr>
        <w:tc>
          <w:tcPr>
            <w:tcW w:w="5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(212) 915-2569</w:t>
            </w: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(484) 414-2715</w:t>
            </w:r>
          </w:p>
        </w:tc>
      </w:tr>
      <w:tr>
        <w:trPr>
          <w:trHeight w:val="1419"/>
        </w:trPr>
        <w:tc>
          <w:tcPr>
            <w:tcW w:w="56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7" w:name="page8"/>
    <w:bookmarkEnd w:id="7"/>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Consolidated Balance Sheet</w:t>
      </w:r>
    </w:p>
    <w:p>
      <w:pPr>
        <w:spacing w:after="0" w:line="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7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7"/>
        </w:trPr>
        <w:tc>
          <w:tcPr>
            <w:tcW w:w="7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20,587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33,218</w:t>
            </w: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5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117,937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150,236</w:t>
            </w:r>
          </w:p>
        </w:tc>
        <w:tc>
          <w:tcPr>
            <w:tcW w:w="0" w:type="dxa"/>
            <w:vAlign w:val="bottom"/>
          </w:tcPr>
          <w:p>
            <w:pPr>
              <w:spacing w:after="0"/>
              <w:rPr>
                <w:sz w:val="1"/>
                <w:szCs w:val="1"/>
                <w:color w:val="auto"/>
              </w:rPr>
            </w:pPr>
          </w:p>
        </w:tc>
      </w:tr>
      <w:tr>
        <w:trPr>
          <w:trHeight w:val="189"/>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7,032</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11,850</w:t>
            </w:r>
          </w:p>
        </w:tc>
        <w:tc>
          <w:tcPr>
            <w:tcW w:w="0" w:type="dxa"/>
            <w:vAlign w:val="bottom"/>
          </w:tcPr>
          <w:p>
            <w:pPr>
              <w:spacing w:after="0"/>
              <w:rPr>
                <w:sz w:val="1"/>
                <w:szCs w:val="1"/>
                <w:color w:val="auto"/>
              </w:rPr>
            </w:pPr>
          </w:p>
        </w:tc>
      </w:tr>
      <w:tr>
        <w:trPr>
          <w:trHeight w:val="193"/>
        </w:trPr>
        <w:tc>
          <w:tcPr>
            <w:tcW w:w="75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5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145,556</w:t>
            </w: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195,304</w:t>
            </w:r>
          </w:p>
        </w:tc>
        <w:tc>
          <w:tcPr>
            <w:tcW w:w="0" w:type="dxa"/>
            <w:vAlign w:val="bottom"/>
          </w:tcPr>
          <w:p>
            <w:pPr>
              <w:spacing w:after="0"/>
              <w:rPr>
                <w:sz w:val="1"/>
                <w:szCs w:val="1"/>
                <w:color w:val="auto"/>
              </w:rPr>
            </w:pPr>
          </w:p>
        </w:tc>
      </w:tr>
      <w:tr>
        <w:trPr>
          <w:trHeight w:val="201"/>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797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2,468</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2,838</w:t>
            </w:r>
          </w:p>
        </w:tc>
        <w:tc>
          <w:tcPr>
            <w:tcW w:w="0" w:type="dxa"/>
            <w:vAlign w:val="bottom"/>
          </w:tcPr>
          <w:p>
            <w:pPr>
              <w:spacing w:after="0"/>
              <w:rPr>
                <w:sz w:val="1"/>
                <w:szCs w:val="1"/>
                <w:color w:val="auto"/>
              </w:rPr>
            </w:pPr>
          </w:p>
        </w:tc>
      </w:tr>
      <w:tr>
        <w:trPr>
          <w:trHeight w:val="201"/>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561</w:t>
            </w:r>
          </w:p>
        </w:tc>
        <w:tc>
          <w:tcPr>
            <w:tcW w:w="24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181"/>
        </w:trPr>
        <w:tc>
          <w:tcPr>
            <w:tcW w:w="7540" w:type="dxa"/>
            <w:vAlign w:val="bottom"/>
          </w:tcPr>
          <w:p>
            <w:pPr>
              <w:ind w:left="34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149,988</w:t>
            </w:r>
          </w:p>
        </w:tc>
        <w:tc>
          <w:tcPr>
            <w:tcW w:w="24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63"/>
              <w:spacing w:after="0" w:line="181" w:lineRule="exact"/>
              <w:rPr>
                <w:sz w:val="20"/>
                <w:szCs w:val="20"/>
                <w:color w:val="auto"/>
              </w:rPr>
            </w:pPr>
            <w:r>
              <w:rPr>
                <w:rFonts w:ascii="Times New Roman" w:cs="Times New Roman" w:eastAsia="Times New Roman" w:hAnsi="Times New Roman"/>
                <w:sz w:val="16"/>
                <w:szCs w:val="16"/>
                <w:color w:val="auto"/>
              </w:rPr>
              <w:t>200,225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4,169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01"/>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21,351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20,872</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5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1,129</w:t>
            </w:r>
          </w:p>
        </w:tc>
        <w:tc>
          <w:tcPr>
            <w:tcW w:w="2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193"/>
        </w:trPr>
        <w:tc>
          <w:tcPr>
            <w:tcW w:w="75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20" w:type="dxa"/>
            <w:vAlign w:val="bottom"/>
          </w:tcPr>
          <w:p>
            <w:pPr>
              <w:spacing w:after="0"/>
              <w:rPr>
                <w:sz w:val="16"/>
                <w:szCs w:val="16"/>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26,649</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24,356</w:t>
            </w: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3,485</w:t>
            </w:r>
          </w:p>
        </w:tc>
        <w:tc>
          <w:tcPr>
            <w:tcW w:w="24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4,057</w:t>
            </w:r>
          </w:p>
        </w:tc>
        <w:tc>
          <w:tcPr>
            <w:tcW w:w="0" w:type="dxa"/>
            <w:vAlign w:val="bottom"/>
          </w:tcPr>
          <w:p>
            <w:pPr>
              <w:spacing w:after="0"/>
              <w:rPr>
                <w:sz w:val="1"/>
                <w:szCs w:val="1"/>
                <w:color w:val="auto"/>
              </w:rPr>
            </w:pPr>
          </w:p>
        </w:tc>
      </w:tr>
      <w:tr>
        <w:trPr>
          <w:trHeight w:val="181"/>
        </w:trPr>
        <w:tc>
          <w:tcPr>
            <w:tcW w:w="7540" w:type="dxa"/>
            <w:vAlign w:val="bottom"/>
          </w:tcPr>
          <w:p>
            <w:pPr>
              <w:ind w:left="60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30,134</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
              <w:spacing w:after="0" w:line="181" w:lineRule="exact"/>
              <w:rPr>
                <w:sz w:val="20"/>
                <w:szCs w:val="20"/>
                <w:color w:val="auto"/>
              </w:rPr>
            </w:pPr>
            <w:r>
              <w:rPr>
                <w:rFonts w:ascii="Times New Roman" w:cs="Times New Roman" w:eastAsia="Times New Roman" w:hAnsi="Times New Roman"/>
                <w:sz w:val="16"/>
                <w:szCs w:val="16"/>
                <w:color w:val="auto"/>
              </w:rPr>
              <w:t>28,413</w:t>
            </w:r>
          </w:p>
        </w:tc>
        <w:tc>
          <w:tcPr>
            <w:tcW w:w="0" w:type="dxa"/>
            <w:vAlign w:val="bottom"/>
          </w:tcPr>
          <w:p>
            <w:pPr>
              <w:spacing w:after="0"/>
              <w:rPr>
                <w:sz w:val="1"/>
                <w:szCs w:val="1"/>
                <w:color w:val="auto"/>
              </w:rPr>
            </w:pPr>
          </w:p>
        </w:tc>
      </w:tr>
      <w:tr>
        <w:trPr>
          <w:trHeight w:val="19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5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Stockholders’ equity:</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540" w:type="dxa"/>
            <w:vAlign w:val="bottom"/>
            <w:shd w:val="clear" w:color="auto" w:fill="CFF0FC"/>
          </w:tcPr>
          <w:p>
            <w:pPr>
              <w:ind w:left="340"/>
              <w:spacing w:after="0" w:line="173" w:lineRule="exact"/>
              <w:rPr>
                <w:sz w:val="20"/>
                <w:szCs w:val="20"/>
                <w:color w:val="auto"/>
              </w:rPr>
            </w:pPr>
            <w:r>
              <w:rPr>
                <w:rFonts w:ascii="Times New Roman" w:cs="Times New Roman" w:eastAsia="Times New Roman" w:hAnsi="Times New Roman"/>
                <w:sz w:val="16"/>
                <w:szCs w:val="16"/>
                <w:color w:val="auto"/>
              </w:rPr>
              <w:t>Preferred stock; $0.001 par value per share; 5,000,000 shares authorized as of June 30, 2025 and December</w:t>
            </w:r>
          </w:p>
        </w:tc>
        <w:tc>
          <w:tcPr>
            <w:tcW w:w="5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31, 2024; no shares issued and outstanding as of June 30, 2025 and December 31, 2024</w:t>
            </w:r>
          </w:p>
        </w:tc>
        <w:tc>
          <w:tcPr>
            <w:tcW w:w="5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3"/>
        </w:trPr>
        <w:tc>
          <w:tcPr>
            <w:tcW w:w="7540" w:type="dxa"/>
            <w:vAlign w:val="bottom"/>
          </w:tcPr>
          <w:p>
            <w:pPr>
              <w:ind w:left="340"/>
              <w:spacing w:after="0" w:line="173" w:lineRule="exact"/>
              <w:rPr>
                <w:sz w:val="20"/>
                <w:szCs w:val="20"/>
                <w:color w:val="auto"/>
              </w:rPr>
            </w:pPr>
            <w:r>
              <w:rPr>
                <w:rFonts w:ascii="Times New Roman" w:cs="Times New Roman" w:eastAsia="Times New Roman" w:hAnsi="Times New Roman"/>
                <w:sz w:val="16"/>
                <w:szCs w:val="16"/>
                <w:color w:val="auto"/>
              </w:rPr>
              <w:t>Common stock, $0.001 par value per share; 115,000,000 shares authorized as of June 30, 2025 and</w:t>
            </w: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2024; 64,027,892 and 63,815,065 shares issued and outstanding as of June 30, 2025 and</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1"/>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444,420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440,758</w:t>
            </w:r>
          </w:p>
        </w:tc>
        <w:tc>
          <w:tcPr>
            <w:tcW w:w="0" w:type="dxa"/>
            <w:vAlign w:val="bottom"/>
          </w:tcPr>
          <w:p>
            <w:pPr>
              <w:spacing w:after="0"/>
              <w:rPr>
                <w:sz w:val="1"/>
                <w:szCs w:val="1"/>
                <w:color w:val="auto"/>
              </w:rPr>
            </w:pPr>
          </w:p>
        </w:tc>
      </w:tr>
      <w:tr>
        <w:trPr>
          <w:trHeight w:val="1234"/>
        </w:trPr>
        <w:tc>
          <w:tcPr>
            <w:tcW w:w="7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-2470150</wp:posOffset>
            </wp:positionV>
            <wp:extent cx="157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-2219960</wp:posOffset>
            </wp:positionV>
            <wp:extent cx="182880" cy="160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880" cy="1606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8"/>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7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(324,621)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(269,158)</w:t>
            </w:r>
          </w:p>
        </w:tc>
      </w:tr>
      <w:tr>
        <w:trPr>
          <w:trHeight w:val="189"/>
        </w:trPr>
        <w:tc>
          <w:tcPr>
            <w:tcW w:w="7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7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148</w:t>
            </w:r>
          </w:p>
        </w:tc>
      </w:tr>
      <w:tr>
        <w:trPr>
          <w:trHeight w:val="193"/>
        </w:trPr>
        <w:tc>
          <w:tcPr>
            <w:tcW w:w="75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119,854</w:t>
            </w:r>
          </w:p>
        </w:tc>
        <w:tc>
          <w:tcPr>
            <w:tcW w:w="24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171,812</w:t>
            </w:r>
          </w:p>
        </w:tc>
      </w:tr>
      <w:tr>
        <w:trPr>
          <w:trHeight w:val="221"/>
        </w:trPr>
        <w:tc>
          <w:tcPr>
            <w:tcW w:w="7540" w:type="dxa"/>
            <w:vAlign w:val="bottom"/>
            <w:tcBorders>
              <w:bottom w:val="single" w:sz="8" w:color="CFF0FC"/>
            </w:tcBorders>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720" w:type="dxa"/>
            <w:vAlign w:val="bottom"/>
            <w:tcBorders>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149,988</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200,225</w:t>
            </w:r>
          </w:p>
        </w:tc>
      </w:tr>
      <w:tr>
        <w:trPr>
          <w:trHeight w:val="1588"/>
        </w:trPr>
        <w:tc>
          <w:tcPr>
            <w:tcW w:w="7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-1320800</wp:posOffset>
            </wp:positionV>
            <wp:extent cx="1574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-1058545</wp:posOffset>
            </wp:positionV>
            <wp:extent cx="157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-1043305</wp:posOffset>
            </wp:positionV>
            <wp:extent cx="157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-1186180</wp:posOffset>
            </wp:positionV>
            <wp:extent cx="157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48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0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w w:val="96"/>
              </w:rPr>
              <w:t>Three Months Ended June 30,</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Six Months Ended June 30,</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left="36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23,368</w:t>
            </w:r>
          </w:p>
        </w:tc>
        <w:tc>
          <w:tcPr>
            <w:tcW w:w="22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19,682</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32,621</w:t>
            </w:r>
          </w:p>
        </w:tc>
        <w:tc>
          <w:tcPr>
            <w:tcW w:w="0" w:type="dxa"/>
            <w:vAlign w:val="bottom"/>
          </w:tcPr>
          <w:p>
            <w:pPr>
              <w:spacing w:after="0"/>
              <w:rPr>
                <w:sz w:val="1"/>
                <w:szCs w:val="1"/>
                <w:color w:val="auto"/>
              </w:rPr>
            </w:pPr>
          </w:p>
        </w:tc>
      </w:tr>
      <w:tr>
        <w:trPr>
          <w:trHeight w:val="173"/>
        </w:trPr>
        <w:tc>
          <w:tcPr>
            <w:tcW w:w="4020" w:type="dxa"/>
            <w:vAlign w:val="bottom"/>
            <w:shd w:val="clear" w:color="auto" w:fill="CFF0FC"/>
          </w:tcPr>
          <w:p>
            <w:pPr>
              <w:ind w:left="220"/>
              <w:spacing w:after="0" w:line="173" w:lineRule="exact"/>
              <w:rPr>
                <w:sz w:val="20"/>
                <w:szCs w:val="20"/>
                <w:color w:val="auto"/>
              </w:rPr>
            </w:pPr>
            <w:r>
              <w:rPr>
                <w:rFonts w:ascii="Times New Roman" w:cs="Times New Roman" w:eastAsia="Times New Roman" w:hAnsi="Times New Roman"/>
                <w:sz w:val="16"/>
                <w:szCs w:val="16"/>
                <w:color w:val="auto"/>
              </w:rPr>
              <w:t>General and administrative</w:t>
            </w:r>
          </w:p>
        </w:tc>
        <w:tc>
          <w:tcPr>
            <w:tcW w:w="7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line="173" w:lineRule="exact"/>
              <w:rPr>
                <w:sz w:val="20"/>
                <w:szCs w:val="20"/>
                <w:color w:val="auto"/>
              </w:rPr>
            </w:pPr>
            <w:r>
              <w:rPr>
                <w:rFonts w:ascii="Times New Roman" w:cs="Times New Roman" w:eastAsia="Times New Roman" w:hAnsi="Times New Roman"/>
                <w:sz w:val="16"/>
                <w:szCs w:val="16"/>
                <w:color w:val="auto"/>
              </w:rPr>
              <w:t>4,91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4,424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9,060</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8,712</w:t>
            </w:r>
          </w:p>
        </w:tc>
        <w:tc>
          <w:tcPr>
            <w:tcW w:w="0" w:type="dxa"/>
            <w:vAlign w:val="bottom"/>
          </w:tcPr>
          <w:p>
            <w:pPr>
              <w:spacing w:after="0"/>
              <w:rPr>
                <w:sz w:val="1"/>
                <w:szCs w:val="1"/>
                <w:color w:val="auto"/>
              </w:rPr>
            </w:pPr>
          </w:p>
        </w:tc>
      </w:tr>
      <w:tr>
        <w:trPr>
          <w:trHeight w:val="165"/>
        </w:trPr>
        <w:tc>
          <w:tcPr>
            <w:tcW w:w="4020" w:type="dxa"/>
            <w:vAlign w:val="bottom"/>
          </w:tcPr>
          <w:p>
            <w:pPr>
              <w:ind w:left="340"/>
              <w:spacing w:after="0" w:line="165" w:lineRule="exact"/>
              <w:rPr>
                <w:sz w:val="20"/>
                <w:szCs w:val="20"/>
                <w:color w:val="auto"/>
              </w:rPr>
            </w:pPr>
            <w:r>
              <w:rPr>
                <w:rFonts w:ascii="Times New Roman" w:cs="Times New Roman" w:eastAsia="Times New Roman" w:hAnsi="Times New Roman"/>
                <w:sz w:val="16"/>
                <w:szCs w:val="16"/>
                <w:color w:val="auto"/>
              </w:rPr>
              <w:t>Total operating expenses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24,59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27,792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58,979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41,333</w:t>
            </w:r>
          </w:p>
        </w:tc>
        <w:tc>
          <w:tcPr>
            <w:tcW w:w="0" w:type="dxa"/>
            <w:vAlign w:val="bottom"/>
          </w:tcPr>
          <w:p>
            <w:pPr>
              <w:spacing w:after="0"/>
              <w:rPr>
                <w:sz w:val="1"/>
                <w:szCs w:val="1"/>
                <w:color w:val="auto"/>
              </w:rPr>
            </w:pPr>
          </w:p>
        </w:tc>
      </w:tr>
      <w:tr>
        <w:trPr>
          <w:trHeight w:val="165"/>
        </w:trPr>
        <w:tc>
          <w:tcPr>
            <w:tcW w:w="4020" w:type="dxa"/>
            <w:vAlign w:val="bottom"/>
            <w:shd w:val="clear" w:color="auto" w:fill="CFF0FC"/>
          </w:tcPr>
          <w:p>
            <w:pPr>
              <w:ind w:left="80"/>
              <w:spacing w:after="0" w:line="165" w:lineRule="exact"/>
              <w:rPr>
                <w:sz w:val="20"/>
                <w:szCs w:val="20"/>
                <w:color w:val="auto"/>
              </w:rPr>
            </w:pPr>
            <w:r>
              <w:rPr>
                <w:rFonts w:ascii="Times New Roman" w:cs="Times New Roman" w:eastAsia="Times New Roman" w:hAnsi="Times New Roman"/>
                <w:sz w:val="16"/>
                <w:szCs w:val="16"/>
                <w:color w:val="auto"/>
              </w:rPr>
              <w:t>Loss from operations</w:t>
            </w:r>
          </w:p>
        </w:tc>
        <w:tc>
          <w:tcPr>
            <w:tcW w:w="7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(24,599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(27,792)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8"/>
              </w:rPr>
              <w:t>(58,979)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8"/>
              </w:rPr>
              <w:t>(41,333)</w:t>
            </w:r>
          </w:p>
        </w:tc>
        <w:tc>
          <w:tcPr>
            <w:tcW w:w="0" w:type="dxa"/>
            <w:vAlign w:val="bottom"/>
          </w:tcPr>
          <w:p>
            <w:pPr>
              <w:spacing w:after="0"/>
              <w:rPr>
                <w:sz w:val="1"/>
                <w:szCs w:val="1"/>
                <w:color w:val="auto"/>
              </w:rPr>
            </w:pPr>
          </w:p>
        </w:tc>
      </w:tr>
      <w:tr>
        <w:trPr>
          <w:trHeight w:val="189"/>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7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3,516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5,052</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(26,182)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(21,627)</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center"/>
              <w:ind w:lef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w w:val="98"/>
              </w:rPr>
              <w:t>(55,463)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center"/>
              <w:ind w:right="43"/>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98"/>
              </w:rPr>
              <w:t>(36,281)</w:t>
            </w:r>
          </w:p>
        </w:tc>
        <w:tc>
          <w:tcPr>
            <w:tcW w:w="0" w:type="dxa"/>
            <w:vAlign w:val="bottom"/>
          </w:tcPr>
          <w:p>
            <w:pPr>
              <w:spacing w:after="0"/>
              <w:rPr>
                <w:sz w:val="1"/>
                <w:szCs w:val="1"/>
                <w:color w:val="auto"/>
              </w:rPr>
            </w:pPr>
          </w:p>
        </w:tc>
      </w:tr>
      <w:tr>
        <w:trPr>
          <w:trHeight w:val="165"/>
        </w:trPr>
        <w:tc>
          <w:tcPr>
            <w:tcW w:w="402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Net loss per share, basic and diluted</w:t>
            </w:r>
          </w:p>
        </w:tc>
        <w:tc>
          <w:tcPr>
            <w:tcW w:w="7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(0.41)</w:t>
            </w:r>
          </w:p>
        </w:tc>
        <w:tc>
          <w:tcPr>
            <w:tcW w:w="220" w:type="dxa"/>
            <w:vAlign w:val="bottom"/>
          </w:tcPr>
          <w:p>
            <w:pPr>
              <w:spacing w:after="0"/>
              <w:rPr>
                <w:sz w:val="14"/>
                <w:szCs w:val="14"/>
                <w:color w:val="auto"/>
              </w:rPr>
            </w:pPr>
          </w:p>
        </w:tc>
        <w:tc>
          <w:tcPr>
            <w:tcW w:w="880" w:type="dxa"/>
            <w:vAlign w:val="bottom"/>
            <w:gridSpan w:val="2"/>
          </w:tcPr>
          <w:p>
            <w:pPr>
              <w:jc w:val="right"/>
              <w:ind w:right="1"/>
              <w:spacing w:after="0" w:line="165"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(0.34)</w:t>
            </w:r>
          </w:p>
        </w:tc>
        <w:tc>
          <w:tcPr>
            <w:tcW w:w="200" w:type="dxa"/>
            <w:vAlign w:val="bottom"/>
          </w:tcPr>
          <w:p>
            <w:pPr>
              <w:spacing w:after="0"/>
              <w:rPr>
                <w:sz w:val="14"/>
                <w:szCs w:val="14"/>
                <w:color w:val="auto"/>
              </w:rPr>
            </w:pPr>
          </w:p>
        </w:tc>
        <w:tc>
          <w:tcPr>
            <w:tcW w:w="1020" w:type="dxa"/>
            <w:vAlign w:val="bottom"/>
            <w:gridSpan w:val="2"/>
          </w:tcPr>
          <w:p>
            <w:pPr>
              <w:jc w:val="center"/>
              <w:ind w:left="344"/>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(0.87)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center"/>
              <w:ind w:right="43"/>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20" w:type="dxa"/>
            <w:vAlign w:val="bottom"/>
            <w:shd w:val="clear" w:color="auto" w:fill="CFF0FC"/>
          </w:tcPr>
          <w:p>
            <w:pPr>
              <w:ind w:left="80"/>
              <w:spacing w:after="0" w:line="148" w:lineRule="exact"/>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48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64,027,892</w:t>
            </w:r>
          </w:p>
        </w:tc>
        <w:tc>
          <w:tcPr>
            <w:tcW w:w="220" w:type="dxa"/>
            <w:vAlign w:val="bottom"/>
            <w:shd w:val="clear" w:color="auto" w:fill="CFF0FC"/>
          </w:tcPr>
          <w:p>
            <w:pPr>
              <w:spacing w:after="0"/>
              <w:rPr>
                <w:sz w:val="12"/>
                <w:szCs w:val="12"/>
                <w:color w:val="auto"/>
              </w:rPr>
            </w:pPr>
          </w:p>
        </w:tc>
        <w:tc>
          <w:tcPr>
            <w:tcW w:w="1580" w:type="dxa"/>
            <w:vAlign w:val="bottom"/>
            <w:gridSpan w:val="4"/>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63,801,792</w:t>
            </w:r>
          </w:p>
        </w:tc>
        <w:tc>
          <w:tcPr>
            <w:tcW w:w="200" w:type="dxa"/>
            <w:vAlign w:val="bottom"/>
            <w:shd w:val="clear" w:color="auto" w:fill="CFF0FC"/>
          </w:tcPr>
          <w:p>
            <w:pPr>
              <w:spacing w:after="0"/>
              <w:rPr>
                <w:sz w:val="12"/>
                <w:szCs w:val="12"/>
                <w:color w:val="auto"/>
              </w:rPr>
            </w:pPr>
          </w:p>
        </w:tc>
        <w:tc>
          <w:tcPr>
            <w:tcW w:w="1660" w:type="dxa"/>
            <w:vAlign w:val="bottom"/>
            <w:gridSpan w:val="4"/>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63,996,126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58,677,749</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ind w:left="80"/>
              <w:spacing w:after="0" w:line="171" w:lineRule="exact"/>
              <w:rPr>
                <w:sz w:val="20"/>
                <w:szCs w:val="20"/>
                <w:color w:val="auto"/>
              </w:rPr>
            </w:pPr>
            <w:r>
              <w:rPr>
                <w:rFonts w:ascii="Times New Roman" w:cs="Times New Roman" w:eastAsia="Times New Roman" w:hAnsi="Times New Roman"/>
                <w:sz w:val="16"/>
                <w:szCs w:val="16"/>
                <w:color w:val="auto"/>
              </w:rPr>
              <w:t>and diluted</w:t>
            </w:r>
          </w:p>
        </w:tc>
        <w:tc>
          <w:tcPr>
            <w:tcW w:w="1480" w:type="dxa"/>
            <w:vAlign w:val="bottom"/>
            <w:gridSpan w:val="3"/>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4"/>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20" w:type="dxa"/>
            <w:vAlign w:val="bottom"/>
            <w:tcBorders>
              <w:top w:val="single" w:sz="8" w:color="CFF0FC"/>
            </w:tcBorders>
          </w:tcPr>
          <w:p>
            <w:pPr>
              <w:ind w:left="80"/>
              <w:spacing w:after="0" w:line="177" w:lineRule="exact"/>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(26,182)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(21,627)</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center"/>
              <w:ind w:left="3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8"/>
              </w:rPr>
              <w:t>(55,463)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jc w:val="center"/>
              <w:ind w:right="4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8"/>
              </w:rPr>
              <w:t>(36,281)</w:t>
            </w:r>
          </w:p>
        </w:tc>
        <w:tc>
          <w:tcPr>
            <w:tcW w:w="0" w:type="dxa"/>
            <w:vAlign w:val="bottom"/>
          </w:tcPr>
          <w:p>
            <w:pPr>
              <w:spacing w:after="0"/>
              <w:rPr>
                <w:sz w:val="1"/>
                <w:szCs w:val="1"/>
                <w:color w:val="auto"/>
              </w:rPr>
            </w:pPr>
          </w:p>
        </w:tc>
      </w:tr>
      <w:tr>
        <w:trPr>
          <w:trHeight w:val="201"/>
        </w:trPr>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20" w:type="dxa"/>
            <w:vAlign w:val="bottom"/>
            <w:shd w:val="clear" w:color="auto" w:fill="CFF0FC"/>
          </w:tcPr>
          <w:p>
            <w:pPr>
              <w:ind w:left="220"/>
              <w:spacing w:after="0" w:line="173" w:lineRule="exact"/>
              <w:rPr>
                <w:sz w:val="20"/>
                <w:szCs w:val="20"/>
                <w:color w:val="auto"/>
              </w:rPr>
            </w:pPr>
            <w:r>
              <w:rPr>
                <w:rFonts w:ascii="Times New Roman" w:cs="Times New Roman" w:eastAsia="Times New Roman" w:hAnsi="Times New Roman"/>
                <w:sz w:val="16"/>
                <w:szCs w:val="16"/>
                <w:color w:val="auto"/>
              </w:rPr>
              <w:t>Unrealized loss on marketable securities</w:t>
            </w:r>
          </w:p>
        </w:tc>
        <w:tc>
          <w:tcPr>
            <w:tcW w:w="7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line="173"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65"/>
        </w:trPr>
        <w:tc>
          <w:tcPr>
            <w:tcW w:w="4020" w:type="dxa"/>
            <w:vAlign w:val="bottom"/>
          </w:tcPr>
          <w:p>
            <w:pPr>
              <w:ind w:left="340"/>
              <w:spacing w:after="0" w:line="165" w:lineRule="exact"/>
              <w:rPr>
                <w:sz w:val="20"/>
                <w:szCs w:val="20"/>
                <w:color w:val="auto"/>
              </w:rPr>
            </w:pPr>
            <w:r>
              <w:rPr>
                <w:rFonts w:ascii="Times New Roman" w:cs="Times New Roman" w:eastAsia="Times New Roman" w:hAnsi="Times New Roman"/>
                <w:sz w:val="16"/>
                <w:szCs w:val="16"/>
                <w:color w:val="auto"/>
              </w:rPr>
              <w:t>Total other comprehensive loss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21"/>
        </w:trPr>
        <w:tc>
          <w:tcPr>
            <w:tcW w:w="402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comprehensive loss</w:t>
            </w:r>
          </w:p>
        </w:tc>
        <w:tc>
          <w:tcPr>
            <w:tcW w:w="7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(26,245)</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(21,752)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left="344"/>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w w:val="98"/>
              </w:rPr>
              <w:t>(55,620)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43"/>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98"/>
              </w:rPr>
              <w:t>(36,512)</w:t>
            </w:r>
          </w:p>
        </w:tc>
        <w:tc>
          <w:tcPr>
            <w:tcW w:w="0" w:type="dxa"/>
            <w:vAlign w:val="bottom"/>
          </w:tcPr>
          <w:p>
            <w:pPr>
              <w:spacing w:after="0"/>
              <w:rPr>
                <w:sz w:val="1"/>
                <w:szCs w:val="1"/>
                <w:color w:val="auto"/>
              </w:rPr>
            </w:pPr>
          </w:p>
        </w:tc>
      </w:tr>
      <w:tr>
        <w:trPr>
          <w:trHeight w:val="1398"/>
        </w:trPr>
        <w:tc>
          <w:tcPr>
            <w:tcW w:w="4020" w:type="dxa"/>
            <w:vAlign w:val="bottom"/>
            <w:tcBorders>
              <w:top w:val="single" w:sz="8" w:color="CFF0FC"/>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-3086100</wp:posOffset>
            </wp:positionV>
            <wp:extent cx="2781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-3086100</wp:posOffset>
            </wp:positionV>
            <wp:extent cx="2628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-3086100</wp:posOffset>
            </wp:positionV>
            <wp:extent cx="2628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-2342515</wp:posOffset>
            </wp:positionV>
            <wp:extent cx="2781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-2327275</wp:posOffset>
            </wp:positionV>
            <wp:extent cx="2781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-2342515</wp:posOffset>
            </wp:positionV>
            <wp:extent cx="2628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-2327275</wp:posOffset>
            </wp:positionV>
            <wp:extent cx="2628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-2342515</wp:posOffset>
            </wp:positionV>
            <wp:extent cx="2628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-2327275</wp:posOffset>
            </wp:positionV>
            <wp:extent cx="2628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-1959610</wp:posOffset>
            </wp:positionV>
            <wp:extent cx="2781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-1944370</wp:posOffset>
            </wp:positionV>
            <wp:extent cx="2781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-1959610</wp:posOffset>
            </wp:positionV>
            <wp:extent cx="2628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-1944370</wp:posOffset>
            </wp:positionV>
            <wp:extent cx="2628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-1959610</wp:posOffset>
            </wp:positionV>
            <wp:extent cx="2628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-1944370</wp:posOffset>
            </wp:positionV>
            <wp:extent cx="2628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-1326515</wp:posOffset>
            </wp:positionV>
            <wp:extent cx="303530" cy="280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530" cy="280670"/>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-1326515</wp:posOffset>
            </wp:positionV>
            <wp:extent cx="288290" cy="28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290" cy="28067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-1326515</wp:posOffset>
            </wp:positionV>
            <wp:extent cx="288290" cy="280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290" cy="28067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-937895</wp:posOffset>
            </wp:positionV>
            <wp:extent cx="2781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-923290</wp:posOffset>
            </wp:positionV>
            <wp:extent cx="2781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1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-937895</wp:posOffset>
            </wp:positionV>
            <wp:extent cx="2628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-923290</wp:posOffset>
            </wp:positionV>
            <wp:extent cx="2628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-937895</wp:posOffset>
            </wp:positionV>
            <wp:extent cx="2628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890" cy="7620"/>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-923290</wp:posOffset>
            </wp:positionV>
            <wp:extent cx="26289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2890" cy="7620"/>
                    </a:xfrm>
                    <a:prstGeom prst="rect">
                      <a:avLst/>
                    </a:prstGeom>
                    <a:noFill/>
                  </pic:spPr>
                </pic:pic>
              </a:graphicData>
            </a:graphic>
          </wp:anchor>
        </w:drawing>
      </w:r>
    </w:p>
    <w:p>
      <w:pPr>
        <w:sectPr>
          <w:pgSz w:w="11900" w:h="16838" w:orient="portrait"/>
          <w:cols w:equalWidth="0" w:num="1">
            <w:col w:w="11260"/>
          </w:cols>
          <w:pgMar w:left="320" w:top="1366"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2025-08-14T06:08:29Z</dcterms:created>
  <dcterms:modified xsi:type="dcterms:W3CDTF">2025-08-14T06:08:29Z</dcterms:modified>
</cp:coreProperties>
</file>