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submitted confidentially to the Securities and Exchange Commission on March 14, 2014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Amendment No. 1 to the confidential submission</w:t>
      </w:r>
    </w:p>
    <w:p>
      <w:pPr>
        <w:spacing w:after="0" w:line="19"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8" w:lineRule="exact"/>
        <w:rPr>
          <w:sz w:val="24"/>
          <w:szCs w:val="24"/>
          <w:color w:val="auto"/>
        </w:rPr>
      </w:pPr>
    </w:p>
    <w:tbl>
      <w:tblPr>
        <w:tblLayout w:type="fixed"/>
        <w:tblInd w:w="1120" w:type="dxa"/>
        <w:tblCellMar>
          <w:top w:w="0" w:type="dxa"/>
          <w:left w:w="0" w:type="dxa"/>
          <w:bottom w:w="0" w:type="dxa"/>
          <w:right w:w="0" w:type="dxa"/>
        </w:tblCellMar>
      </w:tblPr>
      <w:tr>
        <w:trPr>
          <w:trHeight w:val="198"/>
        </w:trPr>
        <w:tc>
          <w:tcPr>
            <w:tcW w:w="2780" w:type="dxa"/>
            <w:vAlign w:val="bottom"/>
          </w:tcPr>
          <w:p>
            <w:pPr>
              <w:jc w:val="center"/>
              <w:ind w:right="1051"/>
              <w:spacing w:after="0"/>
              <w:rPr>
                <w:sz w:val="20"/>
                <w:szCs w:val="20"/>
                <w:color w:val="auto"/>
              </w:rPr>
            </w:pPr>
            <w:r>
              <w:rPr>
                <w:rFonts w:ascii="Arial" w:cs="Arial" w:eastAsia="Arial" w:hAnsi="Arial"/>
                <w:sz w:val="16"/>
                <w:szCs w:val="16"/>
                <w:b w:val="1"/>
                <w:bCs w:val="1"/>
                <w:color w:val="auto"/>
                <w:w w:val="93"/>
              </w:rPr>
              <w:t>Delaware</w:t>
            </w:r>
          </w:p>
        </w:tc>
        <w:tc>
          <w:tcPr>
            <w:tcW w:w="398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2834</w:t>
            </w:r>
          </w:p>
        </w:tc>
        <w:tc>
          <w:tcPr>
            <w:tcW w:w="2220" w:type="dxa"/>
            <w:vAlign w:val="bottom"/>
          </w:tcPr>
          <w:p>
            <w:pPr>
              <w:jc w:val="center"/>
              <w:ind w:left="1131"/>
              <w:spacing w:after="0"/>
              <w:rPr>
                <w:sz w:val="20"/>
                <w:szCs w:val="20"/>
                <w:color w:val="auto"/>
              </w:rPr>
            </w:pPr>
            <w:r>
              <w:rPr>
                <w:rFonts w:ascii="Arial" w:cs="Arial" w:eastAsia="Arial" w:hAnsi="Arial"/>
                <w:sz w:val="16"/>
                <w:szCs w:val="16"/>
                <w:b w:val="1"/>
                <w:bCs w:val="1"/>
                <w:color w:val="auto"/>
                <w:w w:val="91"/>
              </w:rPr>
              <w:t>20-3857670</w:t>
            </w:r>
          </w:p>
        </w:tc>
      </w:tr>
      <w:tr>
        <w:trPr>
          <w:trHeight w:val="135"/>
        </w:trPr>
        <w:tc>
          <w:tcPr>
            <w:tcW w:w="2780" w:type="dxa"/>
            <w:vAlign w:val="bottom"/>
          </w:tcPr>
          <w:p>
            <w:pPr>
              <w:jc w:val="center"/>
              <w:ind w:right="105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220" w:type="dxa"/>
            <w:vAlign w:val="bottom"/>
          </w:tcPr>
          <w:p>
            <w:pPr>
              <w:jc w:val="center"/>
              <w:ind w:left="1151"/>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1"/>
              <w:spacing w:after="0"/>
              <w:rPr>
                <w:sz w:val="20"/>
                <w:szCs w:val="20"/>
                <w:color w:val="auto"/>
              </w:rPr>
            </w:pPr>
            <w:r>
              <w:rPr>
                <w:rFonts w:ascii="Arial" w:cs="Arial" w:eastAsia="Arial" w:hAnsi="Arial"/>
                <w:sz w:val="13"/>
                <w:szCs w:val="13"/>
                <w:b w:val="1"/>
                <w:bCs w:val="1"/>
                <w:color w:val="auto"/>
                <w:w w:val="88"/>
              </w:rPr>
              <w:t>incorporation or organization)</w:t>
            </w:r>
          </w:p>
        </w:tc>
        <w:tc>
          <w:tcPr>
            <w:tcW w:w="3980" w:type="dxa"/>
            <w:vAlign w:val="bottom"/>
          </w:tcPr>
          <w:p>
            <w:pPr>
              <w:jc w:val="center"/>
              <w:ind w:right="31"/>
              <w:spacing w:after="0"/>
              <w:rPr>
                <w:sz w:val="20"/>
                <w:szCs w:val="20"/>
                <w:color w:val="auto"/>
              </w:rPr>
            </w:pPr>
            <w:r>
              <w:rPr>
                <w:rFonts w:ascii="Arial" w:cs="Arial" w:eastAsia="Arial" w:hAnsi="Arial"/>
                <w:sz w:val="13"/>
                <w:szCs w:val="13"/>
                <w:b w:val="1"/>
                <w:bCs w:val="1"/>
                <w:color w:val="auto"/>
                <w:w w:val="87"/>
              </w:rPr>
              <w:t>Classification Code Number)</w:t>
            </w:r>
          </w:p>
        </w:tc>
        <w:tc>
          <w:tcPr>
            <w:tcW w:w="2220" w:type="dxa"/>
            <w:vAlign w:val="bottom"/>
          </w:tcPr>
          <w:p>
            <w:pPr>
              <w:jc w:val="center"/>
              <w:ind w:left="1151"/>
              <w:spacing w:after="0"/>
              <w:rPr>
                <w:sz w:val="20"/>
                <w:szCs w:val="20"/>
                <w:color w:val="auto"/>
              </w:rPr>
            </w:pPr>
            <w:r>
              <w:rPr>
                <w:rFonts w:ascii="Arial" w:cs="Arial" w:eastAsia="Arial" w:hAnsi="Arial"/>
                <w:sz w:val="13"/>
                <w:szCs w:val="13"/>
                <w:b w:val="1"/>
                <w:bCs w:val="1"/>
                <w:color w:val="auto"/>
                <w:w w:val="91"/>
              </w:rPr>
              <w:t>Identification No.)</w:t>
            </w:r>
          </w:p>
        </w:tc>
      </w:tr>
    </w:tbl>
    <w:p>
      <w:pPr>
        <w:jc w:val="center"/>
        <w:spacing w:after="0" w:line="213" w:lineRule="auto"/>
        <w:rPr>
          <w:sz w:val="20"/>
          <w:szCs w:val="20"/>
          <w:color w:val="auto"/>
        </w:rPr>
      </w:pPr>
      <w:r>
        <w:rPr>
          <w:rFonts w:ascii="Arial" w:cs="Arial" w:eastAsia="Arial" w:hAnsi="Arial"/>
          <w:sz w:val="16"/>
          <w:szCs w:val="16"/>
          <w:b w:val="1"/>
          <w:bCs w:val="1"/>
          <w:color w:val="auto"/>
        </w:rPr>
        <w:t>One Broadway, 8</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Cambridge, Massachusetts 02142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401-3041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Thomas E. Hughes, Ph.D.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Zafgen,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Broadway, 8th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Cambridge, Massachusetts 02142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401-3041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tbl>
      <w:tblPr>
        <w:tblLayout w:type="fixed"/>
        <w:tblInd w:w="94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4140" w:type="dxa"/>
            <w:vAlign w:val="bottom"/>
          </w:tcPr>
          <w:p>
            <w:pPr>
              <w:ind w:left="1640"/>
              <w:spacing w:after="0"/>
              <w:rPr>
                <w:sz w:val="20"/>
                <w:szCs w:val="20"/>
                <w:color w:val="auto"/>
              </w:rPr>
            </w:pPr>
            <w:r>
              <w:rPr>
                <w:rFonts w:ascii="Arial" w:cs="Arial" w:eastAsia="Arial" w:hAnsi="Arial"/>
                <w:sz w:val="16"/>
                <w:szCs w:val="16"/>
                <w:b w:val="1"/>
                <w:bCs w:val="1"/>
                <w:i w:val="1"/>
                <w:iCs w:val="1"/>
                <w:color w:val="auto"/>
              </w:rPr>
              <w:t>Copies to:</w:t>
            </w:r>
          </w:p>
        </w:tc>
        <w:tc>
          <w:tcPr>
            <w:tcW w:w="2720" w:type="dxa"/>
            <w:vAlign w:val="bottom"/>
          </w:tcPr>
          <w:p>
            <w:pPr>
              <w:spacing w:after="0"/>
              <w:rPr>
                <w:sz w:val="17"/>
                <w:szCs w:val="17"/>
                <w:color w:val="auto"/>
              </w:rPr>
            </w:pPr>
          </w:p>
        </w:tc>
      </w:tr>
      <w:tr>
        <w:trPr>
          <w:trHeight w:val="276"/>
        </w:trPr>
        <w:tc>
          <w:tcPr>
            <w:tcW w:w="2800" w:type="dxa"/>
            <w:vAlign w:val="bottom"/>
          </w:tcPr>
          <w:p>
            <w:pPr>
              <w:jc w:val="center"/>
              <w:ind w:right="699"/>
              <w:spacing w:after="0"/>
              <w:rPr>
                <w:sz w:val="20"/>
                <w:szCs w:val="20"/>
                <w:color w:val="auto"/>
              </w:rPr>
            </w:pPr>
            <w:r>
              <w:rPr>
                <w:rFonts w:ascii="Arial" w:cs="Arial" w:eastAsia="Arial" w:hAnsi="Arial"/>
                <w:sz w:val="16"/>
                <w:szCs w:val="16"/>
                <w:b w:val="1"/>
                <w:bCs w:val="1"/>
                <w:color w:val="auto"/>
                <w:w w:val="91"/>
              </w:rPr>
              <w:t>Mitchell S. Bloom, Esq.</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1"/>
              </w:rPr>
              <w:t>Thomas E. Hughes, Ph.D.</w:t>
            </w:r>
          </w:p>
        </w:tc>
        <w:tc>
          <w:tcPr>
            <w:tcW w:w="2720" w:type="dxa"/>
            <w:vAlign w:val="bottom"/>
          </w:tcPr>
          <w:p>
            <w:pPr>
              <w:jc w:val="center"/>
              <w:ind w:left="619"/>
              <w:spacing w:after="0"/>
              <w:rPr>
                <w:sz w:val="20"/>
                <w:szCs w:val="20"/>
                <w:color w:val="auto"/>
              </w:rPr>
            </w:pPr>
            <w:r>
              <w:rPr>
                <w:rFonts w:ascii="Arial" w:cs="Arial" w:eastAsia="Arial" w:hAnsi="Arial"/>
                <w:sz w:val="16"/>
                <w:szCs w:val="16"/>
                <w:b w:val="1"/>
                <w:bCs w:val="1"/>
                <w:color w:val="auto"/>
                <w:w w:val="94"/>
              </w:rPr>
              <w:t>Patrick O’Brien, Esq.</w:t>
            </w:r>
          </w:p>
        </w:tc>
      </w:tr>
      <w:tr>
        <w:trPr>
          <w:trHeight w:val="203"/>
        </w:trPr>
        <w:tc>
          <w:tcPr>
            <w:tcW w:w="2800" w:type="dxa"/>
            <w:vAlign w:val="bottom"/>
          </w:tcPr>
          <w:p>
            <w:pPr>
              <w:jc w:val="center"/>
              <w:ind w:right="699"/>
              <w:spacing w:after="0"/>
              <w:rPr>
                <w:sz w:val="20"/>
                <w:szCs w:val="20"/>
                <w:color w:val="auto"/>
              </w:rPr>
            </w:pPr>
            <w:r>
              <w:rPr>
                <w:rFonts w:ascii="Arial" w:cs="Arial" w:eastAsia="Arial" w:hAnsi="Arial"/>
                <w:sz w:val="16"/>
                <w:szCs w:val="16"/>
                <w:b w:val="1"/>
                <w:bCs w:val="1"/>
                <w:color w:val="auto"/>
                <w:w w:val="94"/>
              </w:rPr>
              <w:t>Michael J. Minahan, Esq.</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2"/>
              </w:rPr>
              <w:t>President and Chief Executive Officer</w:t>
            </w:r>
          </w:p>
        </w:tc>
        <w:tc>
          <w:tcPr>
            <w:tcW w:w="2720" w:type="dxa"/>
            <w:vAlign w:val="bottom"/>
          </w:tcPr>
          <w:p>
            <w:pPr>
              <w:jc w:val="center"/>
              <w:ind w:left="639"/>
              <w:spacing w:after="0"/>
              <w:rPr>
                <w:sz w:val="20"/>
                <w:szCs w:val="20"/>
                <w:color w:val="auto"/>
              </w:rPr>
            </w:pPr>
            <w:r>
              <w:rPr>
                <w:rFonts w:ascii="Arial" w:cs="Arial" w:eastAsia="Arial" w:hAnsi="Arial"/>
                <w:sz w:val="16"/>
                <w:szCs w:val="16"/>
                <w:b w:val="1"/>
                <w:bCs w:val="1"/>
                <w:color w:val="auto"/>
                <w:w w:val="96"/>
              </w:rPr>
              <w:t>Ropes &amp; Gray LLP</w:t>
            </w:r>
          </w:p>
        </w:tc>
      </w:tr>
      <w:tr>
        <w:trPr>
          <w:trHeight w:val="203"/>
        </w:trPr>
        <w:tc>
          <w:tcPr>
            <w:tcW w:w="2800" w:type="dxa"/>
            <w:vAlign w:val="bottom"/>
          </w:tcPr>
          <w:p>
            <w:pPr>
              <w:jc w:val="center"/>
              <w:ind w:right="699"/>
              <w:spacing w:after="0"/>
              <w:rPr>
                <w:sz w:val="20"/>
                <w:szCs w:val="20"/>
                <w:color w:val="auto"/>
              </w:rPr>
            </w:pPr>
            <w:r>
              <w:rPr>
                <w:rFonts w:ascii="Arial" w:cs="Arial" w:eastAsia="Arial" w:hAnsi="Arial"/>
                <w:sz w:val="16"/>
                <w:szCs w:val="16"/>
                <w:b w:val="1"/>
                <w:bCs w:val="1"/>
                <w:color w:val="auto"/>
                <w:w w:val="94"/>
              </w:rPr>
              <w:t>Goodwin Procter LLP</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4"/>
              </w:rPr>
              <w:t>Zafgen, Inc.</w:t>
            </w:r>
          </w:p>
        </w:tc>
        <w:tc>
          <w:tcPr>
            <w:tcW w:w="2720" w:type="dxa"/>
            <w:vAlign w:val="bottom"/>
          </w:tcPr>
          <w:p>
            <w:pPr>
              <w:jc w:val="center"/>
              <w:ind w:left="619"/>
              <w:spacing w:after="0"/>
              <w:rPr>
                <w:sz w:val="20"/>
                <w:szCs w:val="20"/>
                <w:color w:val="auto"/>
              </w:rPr>
            </w:pPr>
            <w:r>
              <w:rPr>
                <w:rFonts w:ascii="Arial" w:cs="Arial" w:eastAsia="Arial" w:hAnsi="Arial"/>
                <w:sz w:val="16"/>
                <w:szCs w:val="16"/>
                <w:b w:val="1"/>
                <w:bCs w:val="1"/>
                <w:color w:val="auto"/>
                <w:w w:val="93"/>
              </w:rPr>
              <w:t>Prudential Tower</w:t>
            </w:r>
          </w:p>
        </w:tc>
      </w:tr>
      <w:tr>
        <w:trPr>
          <w:trHeight w:val="203"/>
        </w:trPr>
        <w:tc>
          <w:tcPr>
            <w:tcW w:w="2800" w:type="dxa"/>
            <w:vAlign w:val="bottom"/>
          </w:tcPr>
          <w:p>
            <w:pPr>
              <w:jc w:val="center"/>
              <w:ind w:right="719"/>
              <w:spacing w:after="0"/>
              <w:rPr>
                <w:sz w:val="20"/>
                <w:szCs w:val="20"/>
                <w:color w:val="auto"/>
              </w:rPr>
            </w:pPr>
            <w:r>
              <w:rPr>
                <w:rFonts w:ascii="Arial" w:cs="Arial" w:eastAsia="Arial" w:hAnsi="Arial"/>
                <w:sz w:val="16"/>
                <w:szCs w:val="16"/>
                <w:b w:val="1"/>
                <w:bCs w:val="1"/>
                <w:color w:val="auto"/>
                <w:w w:val="88"/>
              </w:rPr>
              <w:t>Exchange Place</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2"/>
              </w:rPr>
              <w:t>One Broadway, 8th Floor</w:t>
            </w:r>
          </w:p>
        </w:tc>
        <w:tc>
          <w:tcPr>
            <w:tcW w:w="2720" w:type="dxa"/>
            <w:vAlign w:val="bottom"/>
          </w:tcPr>
          <w:p>
            <w:pPr>
              <w:jc w:val="center"/>
              <w:ind w:left="639"/>
              <w:spacing w:after="0"/>
              <w:rPr>
                <w:sz w:val="20"/>
                <w:szCs w:val="20"/>
                <w:color w:val="auto"/>
              </w:rPr>
            </w:pPr>
            <w:r>
              <w:rPr>
                <w:rFonts w:ascii="Arial" w:cs="Arial" w:eastAsia="Arial" w:hAnsi="Arial"/>
                <w:sz w:val="16"/>
                <w:szCs w:val="16"/>
                <w:b w:val="1"/>
                <w:bCs w:val="1"/>
                <w:color w:val="auto"/>
                <w:w w:val="87"/>
              </w:rPr>
              <w:t>Boston, Massachusetts 02199</w:t>
            </w:r>
          </w:p>
        </w:tc>
      </w:tr>
      <w:tr>
        <w:trPr>
          <w:trHeight w:val="203"/>
        </w:trPr>
        <w:tc>
          <w:tcPr>
            <w:tcW w:w="2800" w:type="dxa"/>
            <w:vAlign w:val="bottom"/>
          </w:tcPr>
          <w:p>
            <w:pPr>
              <w:jc w:val="center"/>
              <w:ind w:right="719"/>
              <w:spacing w:after="0"/>
              <w:rPr>
                <w:sz w:val="20"/>
                <w:szCs w:val="20"/>
                <w:color w:val="auto"/>
              </w:rPr>
            </w:pPr>
            <w:r>
              <w:rPr>
                <w:rFonts w:ascii="Arial" w:cs="Arial" w:eastAsia="Arial" w:hAnsi="Arial"/>
                <w:sz w:val="16"/>
                <w:szCs w:val="16"/>
                <w:b w:val="1"/>
                <w:bCs w:val="1"/>
                <w:color w:val="auto"/>
                <w:w w:val="87"/>
              </w:rPr>
              <w:t>Boston, Massachusetts 02109</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0"/>
              </w:rPr>
              <w:t>Cambridge, Massachusetts 02142</w:t>
            </w:r>
          </w:p>
        </w:tc>
        <w:tc>
          <w:tcPr>
            <w:tcW w:w="272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(617) 951-7000</w:t>
            </w:r>
          </w:p>
        </w:tc>
      </w:tr>
      <w:tr>
        <w:trPr>
          <w:trHeight w:val="210"/>
        </w:trPr>
        <w:tc>
          <w:tcPr>
            <w:tcW w:w="280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(617) 570-1000</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w w:val="91"/>
              </w:rPr>
              <w:t>(617) 401-3041</w:t>
            </w:r>
          </w:p>
        </w:tc>
        <w:tc>
          <w:tcPr>
            <w:tcW w:w="27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9"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public: </w:t>
      </w:r>
      <w:r>
        <w:rPr>
          <w:rFonts w:ascii="Arial" w:cs="Arial" w:eastAsia="Arial" w:hAnsi="Arial"/>
          <w:sz w:val="16"/>
          <w:szCs w:val="16"/>
          <w:color w:val="auto"/>
        </w:rPr>
        <w:t>As soon as practicable after this Registration Statement becomes effective.</w:t>
      </w:r>
    </w:p>
    <w:p>
      <w:pPr>
        <w:spacing w:after="0" w:line="90"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ind w:right="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66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6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Large Accelerated Filer</w:t>
            </w:r>
          </w:p>
        </w:tc>
        <w:tc>
          <w:tcPr>
            <w:tcW w:w="6520" w:type="dxa"/>
            <w:vAlign w:val="bottom"/>
            <w:gridSpan w:val="3"/>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1840" w:type="dxa"/>
            <w:vAlign w:val="bottom"/>
            <w:gridSpan w:val="2"/>
          </w:tcPr>
          <w:p>
            <w:pPr>
              <w:ind w:left="620"/>
              <w:spacing w:after="0"/>
              <w:rPr>
                <w:sz w:val="20"/>
                <w:szCs w:val="20"/>
                <w:color w:val="auto"/>
              </w:rPr>
            </w:pPr>
            <w:r>
              <w:rPr>
                <w:rFonts w:ascii="Arial" w:cs="Arial" w:eastAsia="Arial" w:hAnsi="Arial"/>
                <w:sz w:val="16"/>
                <w:szCs w:val="16"/>
                <w:color w:val="auto"/>
                <w:w w:val="99"/>
              </w:rPr>
              <w:t>Accelerated Filer</w:t>
            </w:r>
          </w:p>
        </w:tc>
        <w:tc>
          <w:tcPr>
            <w:tcW w:w="1140" w:type="dxa"/>
            <w:vAlign w:val="bottom"/>
          </w:tcPr>
          <w:p>
            <w:pPr>
              <w:spacing w:after="0"/>
              <w:rPr>
                <w:sz w:val="17"/>
                <w:szCs w:val="17"/>
                <w:color w:val="auto"/>
              </w:rPr>
            </w:pP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6520" w:type="dxa"/>
            <w:vAlign w:val="bottom"/>
            <w:gridSpan w:val="3"/>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980" w:type="dxa"/>
            <w:vAlign w:val="bottom"/>
            <w:gridSpan w:val="3"/>
          </w:tcPr>
          <w:p>
            <w:pPr>
              <w:ind w:left="620"/>
              <w:spacing w:after="0"/>
              <w:rPr>
                <w:sz w:val="20"/>
                <w:szCs w:val="20"/>
                <w:color w:val="auto"/>
              </w:rPr>
            </w:pPr>
            <w:r>
              <w:rPr>
                <w:rFonts w:ascii="Arial" w:cs="Arial" w:eastAsia="Arial" w:hAnsi="Arial"/>
                <w:sz w:val="16"/>
                <w:szCs w:val="16"/>
                <w:color w:val="auto"/>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1"/>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520" w:type="dxa"/>
            <w:vAlign w:val="bottom"/>
            <w:gridSpan w:val="3"/>
          </w:tcPr>
          <w:p>
            <w:pPr>
              <w:ind w:left="2420"/>
              <w:spacing w:after="0"/>
              <w:rPr>
                <w:sz w:val="20"/>
                <w:szCs w:val="20"/>
                <w:color w:val="auto"/>
              </w:rPr>
            </w:pPr>
            <w:r>
              <w:rPr>
                <w:rFonts w:ascii="Arial" w:cs="Arial" w:eastAsia="Arial" w:hAnsi="Arial"/>
                <w:sz w:val="16"/>
                <w:szCs w:val="16"/>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8"/>
        </w:trPr>
        <w:tc>
          <w:tcPr>
            <w:tcW w:w="2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b w:val="1"/>
                <w:bCs w:val="1"/>
                <w:color w:val="auto"/>
                <w:w w:val="93"/>
              </w:rPr>
              <w:t>Maximum</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520" w:type="dxa"/>
            <w:vAlign w:val="bottom"/>
            <w:tcBorders>
              <w:right w:val="single" w:sz="8" w:color="auto"/>
            </w:tcBorders>
            <w:gridSpan w:val="3"/>
          </w:tcPr>
          <w:p>
            <w:pPr>
              <w:jc w:val="center"/>
              <w:ind w:right="1760"/>
              <w:spacing w:after="0" w:line="135" w:lineRule="exact"/>
              <w:rPr>
                <w:sz w:val="20"/>
                <w:szCs w:val="20"/>
                <w:color w:val="auto"/>
              </w:rPr>
            </w:pPr>
            <w:r>
              <w:rPr>
                <w:rFonts w:ascii="Arial" w:cs="Arial" w:eastAsia="Arial" w:hAnsi="Arial"/>
                <w:sz w:val="13"/>
                <w:szCs w:val="13"/>
                <w:b w:val="1"/>
                <w:bCs w:val="1"/>
                <w:color w:val="auto"/>
                <w:w w:val="88"/>
              </w:rPr>
              <w:t>Title of Each Class of</w:t>
            </w:r>
          </w:p>
        </w:tc>
        <w:tc>
          <w:tcPr>
            <w:tcW w:w="16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b w:val="1"/>
                <w:bCs w:val="1"/>
                <w:color w:val="auto"/>
                <w:w w:val="87"/>
              </w:rPr>
              <w:t>Aggregate</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18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6520" w:type="dxa"/>
            <w:vAlign w:val="bottom"/>
            <w:tcBorders>
              <w:bottom w:val="single" w:sz="8" w:color="auto"/>
              <w:right w:val="single" w:sz="8" w:color="auto"/>
            </w:tcBorders>
            <w:gridSpan w:val="3"/>
          </w:tcPr>
          <w:p>
            <w:pPr>
              <w:jc w:val="center"/>
              <w:ind w:right="1760"/>
              <w:spacing w:after="0"/>
              <w:rPr>
                <w:sz w:val="20"/>
                <w:szCs w:val="20"/>
                <w:color w:val="auto"/>
              </w:rPr>
            </w:pPr>
            <w:r>
              <w:rPr>
                <w:rFonts w:ascii="Arial" w:cs="Arial" w:eastAsia="Arial" w:hAnsi="Arial"/>
                <w:sz w:val="13"/>
                <w:szCs w:val="13"/>
                <w:b w:val="1"/>
                <w:bCs w:val="1"/>
                <w:color w:val="auto"/>
                <w:w w:val="85"/>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(1)</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w:t>
            </w:r>
            <w:r>
              <w:rPr>
                <w:rFonts w:ascii="Arial" w:cs="Arial" w:eastAsia="Arial" w:hAnsi="Arial"/>
                <w:sz w:val="10"/>
                <w:szCs w:val="10"/>
                <w:b w:val="1"/>
                <w:bCs w:val="1"/>
                <w:color w:val="auto"/>
                <w:w w:val="87"/>
              </w:rPr>
              <w:t>(2)</w:t>
            </w:r>
          </w:p>
        </w:tc>
        <w:tc>
          <w:tcPr>
            <w:tcW w:w="180" w:type="dxa"/>
            <w:vAlign w:val="bottom"/>
            <w:tcBorders>
              <w:bottom w:val="single" w:sz="8" w:color="auto"/>
            </w:tcBorders>
          </w:tcPr>
          <w:p>
            <w:pPr>
              <w:spacing w:after="0"/>
              <w:rPr>
                <w:sz w:val="14"/>
                <w:szCs w:val="14"/>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82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Common Stock, par value $0.001 per share</w:t>
            </w:r>
          </w:p>
        </w:tc>
        <w:tc>
          <w:tcPr>
            <w:tcW w:w="16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4" w:lineRule="exact"/>
        <w:rPr>
          <w:sz w:val="24"/>
          <w:szCs w:val="24"/>
          <w:color w:val="auto"/>
        </w:rPr>
      </w:pPr>
    </w:p>
    <w:p>
      <w:pPr>
        <w:ind w:left="340" w:right="680" w:hanging="332"/>
        <w:spacing w:after="0" w:line="26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Includes the offering price of shares that the underwriters have the option to purchase to cover over-allotments, if any.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ind w:right="2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PRELIMINARY PROSPECTUS (Subject to Completion, dated March 14, 2014)</w:t>
      </w:r>
    </w:p>
    <w:p>
      <w:pPr>
        <w:spacing w:after="0" w:line="202" w:lineRule="exact"/>
        <w:rPr>
          <w:sz w:val="20"/>
          <w:szCs w:val="20"/>
          <w:color w:val="auto"/>
        </w:rPr>
      </w:pPr>
    </w:p>
    <w:p>
      <w:pPr>
        <w:ind w:left="59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178435</wp:posOffset>
            </wp:positionV>
            <wp:extent cx="17583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This is the initial public offering of shares of common stock of Zafgen, Inc. We are selling</w:t>
      </w:r>
      <w:r>
        <w:rPr>
          <w:sz w:val="20"/>
          <w:szCs w:val="20"/>
          <w:color w:val="auto"/>
        </w:rPr>
        <w:tab/>
      </w:r>
      <w:r>
        <w:rPr>
          <w:rFonts w:ascii="Arial" w:cs="Arial" w:eastAsia="Arial" w:hAnsi="Arial"/>
          <w:sz w:val="16"/>
          <w:szCs w:val="16"/>
          <w:color w:val="auto"/>
        </w:rPr>
        <w:t>shares of common stock.</w:t>
      </w:r>
    </w:p>
    <w:p>
      <w:pPr>
        <w:spacing w:after="0" w:line="225" w:lineRule="exact"/>
        <w:rPr>
          <w:sz w:val="20"/>
          <w:szCs w:val="20"/>
          <w:color w:val="auto"/>
        </w:rPr>
      </w:pPr>
    </w:p>
    <w:p>
      <w:pPr>
        <w:ind w:left="460"/>
        <w:spacing w:after="0"/>
        <w:tabs>
          <w:tab w:leader="none" w:pos="10740" w:val="left"/>
        </w:tabs>
        <w:rPr>
          <w:sz w:val="20"/>
          <w:szCs w:val="20"/>
          <w:color w:val="auto"/>
        </w:rPr>
      </w:pPr>
      <w:r>
        <w:rPr>
          <w:rFonts w:ascii="Arial" w:cs="Arial" w:eastAsia="Arial" w:hAnsi="Arial"/>
          <w:sz w:val="17"/>
          <w:szCs w:val="17"/>
          <w:color w:val="auto"/>
        </w:rPr>
        <w:t>Prior to this offering, there has been no public market for our common stock. The initial public offering price is expected to be between $</w:t>
      </w:r>
      <w:r>
        <w:rPr>
          <w:sz w:val="20"/>
          <w:szCs w:val="20"/>
          <w:color w:val="auto"/>
        </w:rPr>
        <w:tab/>
      </w:r>
      <w:r>
        <w:rPr>
          <w:rFonts w:ascii="Arial" w:cs="Arial" w:eastAsia="Arial" w:hAnsi="Arial"/>
          <w:sz w:val="14"/>
          <w:szCs w:val="14"/>
          <w:color w:val="auto"/>
        </w:rPr>
        <w:t>and</w:t>
      </w:r>
    </w:p>
    <w:p>
      <w:pPr>
        <w:spacing w:after="0" w:line="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“ZFGN.”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take advantage of certain reduced reporting requirements for this prospectus and may elect to comply with certain reduced public company reporting requirements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218440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5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Proceeds to Zafgen, Inc. before expenses</w:t>
            </w:r>
          </w:p>
        </w:tc>
        <w:tc>
          <w:tcPr>
            <w:tcW w:w="250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beginning on page 140 for additional information regarding underwriting compensation.</w:t>
      </w:r>
    </w:p>
    <w:p>
      <w:pPr>
        <w:spacing w:after="0" w:line="208" w:lineRule="exact"/>
        <w:rPr>
          <w:sz w:val="20"/>
          <w:szCs w:val="20"/>
          <w:color w:val="auto"/>
        </w:rPr>
      </w:pPr>
    </w:p>
    <w:p>
      <w:pPr>
        <w:ind w:left="460"/>
        <w:spacing w:after="0"/>
        <w:tabs>
          <w:tab w:leader="none" w:pos="5680" w:val="left"/>
        </w:tabs>
        <w:rPr>
          <w:sz w:val="20"/>
          <w:szCs w:val="20"/>
          <w:color w:val="auto"/>
        </w:rPr>
      </w:pPr>
      <w:r>
        <w:rPr>
          <w:rFonts w:ascii="Arial" w:cs="Arial" w:eastAsia="Arial" w:hAnsi="Arial"/>
          <w:sz w:val="18"/>
          <w:szCs w:val="18"/>
          <w:color w:val="auto"/>
        </w:rPr>
        <w:t>We have granted the underwriters an option to purchase up to</w:t>
      </w:r>
      <w:r>
        <w:rPr>
          <w:sz w:val="20"/>
          <w:szCs w:val="20"/>
          <w:color w:val="auto"/>
        </w:rPr>
        <w:tab/>
      </w:r>
      <w:r>
        <w:rPr>
          <w:rFonts w:ascii="Arial" w:cs="Arial" w:eastAsia="Arial" w:hAnsi="Arial"/>
          <w:sz w:val="16"/>
          <w:szCs w:val="16"/>
          <w:color w:val="auto"/>
        </w:rPr>
        <w:t>additional shares of common stock to cover over-allotments.</w:t>
      </w:r>
    </w:p>
    <w:p>
      <w:pPr>
        <w:spacing w:after="0" w:line="212"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of common stock to purchasers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8740" w:val="left"/>
        </w:tabs>
        <w:rPr>
          <w:sz w:val="20"/>
          <w:szCs w:val="20"/>
          <w:color w:val="auto"/>
        </w:rPr>
      </w:pP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6"/>
          <w:szCs w:val="26"/>
          <w:b w:val="1"/>
          <w:bCs w:val="1"/>
          <w:color w:val="auto"/>
        </w:rPr>
        <w:t>Cowen and Company</w:t>
      </w:r>
    </w:p>
    <w:p>
      <w:pPr>
        <w:spacing w:after="0" w:line="229" w:lineRule="exact"/>
        <w:rPr>
          <w:sz w:val="20"/>
          <w:szCs w:val="20"/>
          <w:color w:val="auto"/>
        </w:rPr>
      </w:pPr>
    </w:p>
    <w:p>
      <w:pPr>
        <w:spacing w:after="0"/>
        <w:tabs>
          <w:tab w:leader="none" w:pos="9760" w:val="left"/>
        </w:tabs>
        <w:rPr>
          <w:sz w:val="20"/>
          <w:szCs w:val="20"/>
          <w:color w:val="auto"/>
        </w:rPr>
      </w:pPr>
      <w:r>
        <w:rPr>
          <w:rFonts w:ascii="Arial" w:cs="Arial" w:eastAsia="Arial" w:hAnsi="Arial"/>
          <w:sz w:val="25"/>
          <w:szCs w:val="25"/>
          <w:b w:val="1"/>
          <w:bCs w:val="1"/>
          <w:color w:val="auto"/>
        </w:rPr>
        <w:t>Canaccord Genuity</w:t>
      </w:r>
      <w:r>
        <w:rPr>
          <w:sz w:val="20"/>
          <w:szCs w:val="20"/>
          <w:color w:val="auto"/>
        </w:rPr>
        <w:tab/>
      </w:r>
      <w:r>
        <w:rPr>
          <w:rFonts w:ascii="Arial" w:cs="Arial" w:eastAsia="Arial" w:hAnsi="Arial"/>
          <w:sz w:val="23"/>
          <w:szCs w:val="23"/>
          <w:b w:val="1"/>
          <w:bCs w:val="1"/>
          <w:color w:val="auto"/>
        </w:rPr>
        <w:t>JMP Securities</w:t>
      </w:r>
    </w:p>
    <w:p>
      <w:pPr>
        <w:sectPr>
          <w:pgSz w:w="11900" w:h="16838" w:orient="portrait"/>
          <w:cols w:equalWidth="0" w:num="1">
            <w:col w:w="11420"/>
          </w:cols>
          <w:pgMar w:left="240" w:top="459" w:right="239" w:bottom="1440" w:gutter="0" w:footer="0" w:header="0"/>
        </w:sectPr>
      </w:pP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5"/>
          <w:szCs w:val="15"/>
          <w:b w:val="1"/>
          <w:bCs w:val="1"/>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80" w:type="dxa"/>
            <w:vAlign w:val="bottom"/>
            <w:gridSpan w:val="3"/>
          </w:tcPr>
          <w:p>
            <w:pPr>
              <w:jc w:val="center"/>
              <w:ind w:right="1580"/>
              <w:spacing w:after="0"/>
              <w:rPr>
                <w:sz w:val="20"/>
                <w:szCs w:val="20"/>
                <w:color w:val="auto"/>
              </w:rPr>
            </w:pPr>
            <w:r>
              <w:rPr>
                <w:rFonts w:ascii="Arial" w:cs="Arial" w:eastAsia="Arial" w:hAnsi="Arial"/>
                <w:sz w:val="18"/>
                <w:szCs w:val="18"/>
                <w:color w:val="auto"/>
                <w:w w:val="86"/>
              </w:rPr>
              <w:t>Prospectus</w:t>
            </w:r>
          </w:p>
        </w:tc>
        <w:tc>
          <w:tcPr>
            <w:tcW w:w="2480" w:type="dxa"/>
            <w:vAlign w:val="bottom"/>
          </w:tcPr>
          <w:p>
            <w:pPr>
              <w:spacing w:after="0"/>
              <w:rPr>
                <w:sz w:val="24"/>
                <w:szCs w:val="24"/>
                <w:color w:val="auto"/>
              </w:rPr>
            </w:pPr>
          </w:p>
        </w:tc>
      </w:tr>
      <w:tr>
        <w:trPr>
          <w:trHeight w:val="37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540" w:type="dxa"/>
            <w:vAlign w:val="bottom"/>
            <w:tcBorders>
              <w:bottom w:val="single" w:sz="8" w:color="0000EE"/>
            </w:tcBorders>
            <w:gridSpan w:val="8"/>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7300" w:type="dxa"/>
            <w:vAlign w:val="bottom"/>
            <w:gridSpan w:val="12"/>
          </w:tcPr>
          <w:p>
            <w:pPr>
              <w:spacing w:after="0"/>
              <w:rPr>
                <w:sz w:val="16"/>
                <w:szCs w:val="16"/>
                <w:color w:val="auto"/>
              </w:rPr>
            </w:pPr>
          </w:p>
        </w:tc>
        <w:tc>
          <w:tcPr>
            <w:tcW w:w="2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7920" w:type="dxa"/>
            <w:vAlign w:val="bottom"/>
            <w:gridSpan w:val="1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Cautionary Note Regarding Forward-Looking Statements</w:t>
              </w:r>
            </w:hyperlink>
          </w:p>
        </w:tc>
        <w:tc>
          <w:tcPr>
            <w:tcW w:w="46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Use of Proceeds</w:t>
              </w:r>
            </w:hyperlink>
          </w:p>
        </w:tc>
        <w:tc>
          <w:tcPr>
            <w:tcW w:w="766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Dividend Policy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766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Dilution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Selected Consolidated Financial Data</w:t>
              </w:r>
            </w:hyperlink>
          </w:p>
        </w:tc>
        <w:tc>
          <w:tcPr>
            <w:tcW w:w="612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Business</w:t>
              </w:r>
            </w:hyperlink>
          </w:p>
        </w:tc>
        <w:tc>
          <w:tcPr>
            <w:tcW w:w="238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Executive and Director Compensation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Party Transactions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3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Principal Stockholders</w:t>
              </w:r>
            </w:hyperlink>
          </w:p>
        </w:tc>
        <w:tc>
          <w:tcPr>
            <w:tcW w:w="50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Capital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Shares Eligible for Future Sale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9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Material U.S. Federal Income and Estate Tax Considerations to Non-U.S. Holders</w:t>
              </w:r>
            </w:hyperlink>
          </w:p>
        </w:tc>
        <w:tc>
          <w:tcPr>
            <w:tcW w:w="292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43">
              <w:r>
                <w:rPr>
                  <w:rFonts w:ascii="Arial" w:cs="Arial" w:eastAsia="Arial" w:hAnsi="Arial"/>
                  <w:sz w:val="18"/>
                  <w:szCs w:val="18"/>
                  <w:color w:val="0000EE"/>
                  <w:w w:val="94"/>
                </w:rPr>
                <w:t>Underwriting</w:t>
              </w:r>
            </w:hyperlink>
          </w:p>
        </w:tc>
        <w:tc>
          <w:tcPr>
            <w:tcW w:w="786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Legal Matters</w:t>
              </w:r>
            </w:hyperlink>
          </w:p>
        </w:tc>
        <w:tc>
          <w:tcPr>
            <w:tcW w:w="782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Experts</w:t>
              </w:r>
            </w:hyperlink>
          </w:p>
        </w:tc>
        <w:tc>
          <w:tcPr>
            <w:tcW w:w="824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Where You Can Find More Information</w:t>
              </w:r>
            </w:hyperlink>
          </w:p>
        </w:tc>
        <w:tc>
          <w:tcPr>
            <w:tcW w:w="596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8840" w:type="dxa"/>
            <w:vAlign w:val="bottom"/>
            <w:gridSpan w:val="2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Index to Consolidated Financial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and the underwriters have not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69"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b w:val="1"/>
          <w:bCs w:val="1"/>
          <w:color w:val="auto"/>
        </w:rPr>
        <w:t>Until , 2014,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Unless otherwise stated, all references to “us,” “our,” “ZFGN,” “we,” the “Company” and similar designations refer to Zafgen, Inc. and its subsidiaries.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firstLine="443"/>
        <w:spacing w:after="0" w:line="312" w:lineRule="auto"/>
        <w:rPr>
          <w:sz w:val="20"/>
          <w:szCs w:val="20"/>
          <w:color w:val="auto"/>
        </w:rPr>
      </w:pPr>
      <w:r>
        <w:rPr>
          <w:rFonts w:ascii="Arial" w:cs="Arial" w:eastAsia="Arial" w:hAnsi="Arial"/>
          <w:sz w:val="16"/>
          <w:szCs w:val="16"/>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Beloranib for the Treatment of Severe Obesity in PWS</w:t>
      </w:r>
    </w:p>
    <w:p>
      <w:pPr>
        <w:spacing w:after="0" w:line="11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67"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PWS is characterized by hyperphagia resulting from impaired functioning of the hypothalamus, an area of the brain responsible for many functions including the desire to eat. Hyperphagia impairs the PWS patients’ ability to live independently, requiring costly and constant supervision to prevent overeating. Without supervision, PWS patients are likely to die prematurely as a result of choking, stomach rupture or tissue necrosis, or from complications caused by morbid obesity, such as right heart failure and respiratory failure. Based on our evaluation of published survival data, the average life expectancy of PWS patients is approximately 32 years of age. While a small number of PWS patients are cared for in costly group homes, the majority of PWS patients are cared for in their homes, and their families undertake substantial effort to create physical barriers to eating. These efforts result in extremely stressful environments, as caregivers often place locks and alarms on cabinets and refrigerators that contain food to impede PWS patients’ efforts to obtain food at all times. We estimate the typical annual cost of treating a PWS patient is $100,000 to $200,000, excluding the often significant costs of drug therapies related to other medical and psychological conditions and the costs of any lost time from work experienced by their families due to responsibilities related to the care of a PWS patient.</w:t>
      </w:r>
    </w:p>
    <w:p>
      <w:pPr>
        <w:spacing w:after="0" w:line="178" w:lineRule="exact"/>
        <w:rPr>
          <w:sz w:val="20"/>
          <w:szCs w:val="20"/>
          <w:color w:val="auto"/>
        </w:rPr>
      </w:pPr>
    </w:p>
    <w:p>
      <w:pPr>
        <w:ind w:left="200" w:right="260" w:firstLine="443"/>
        <w:spacing w:after="0" w:line="312" w:lineRule="auto"/>
        <w:rPr>
          <w:sz w:val="20"/>
          <w:szCs w:val="20"/>
          <w:color w:val="auto"/>
        </w:rPr>
      </w:pPr>
      <w:r>
        <w:rPr>
          <w:rFonts w:ascii="Arial" w:cs="Arial" w:eastAsia="Arial" w:hAnsi="Arial"/>
          <w:sz w:val="16"/>
          <w:szCs w:val="16"/>
          <w:color w:val="auto"/>
        </w:rPr>
        <w:t>Published population studies estimate that the prevalence of PWS in the United States and in the European Union ranges from 1 in 8,000 to 1 in 50,000. PWS is diagnosed at an early age, typically in the first year of life, and we believe that, due to the severity of the condition and its unique attributes, the vast majority of patients affected by PWS are diagnosed. Approximately 50% of PWS patients are 13 years of age or older. We believe</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that further information regarding the prevalence of PWS will become available through a patient registry that is currently being developed by the Foundation for Prader-Willi Research.</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There are currently no effective pharmacological treatments for obesity and hyperphagia in PWS. Furthermore, bariatric surgery is contraindicated in PWS patients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Beloranib for the Treatment of Craniopharyngioma-Associated Obesity</w:t>
      </w:r>
    </w:p>
    <w:p>
      <w:pPr>
        <w:spacing w:after="0" w:line="117"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Craniopharyngioma is a rare form of benign brain tumor that occurs near the optic nerve, pituitary gland and hypothalamus. Approximately 30% to 50% of cases of craniopharyngioma are diagnosed in childhood and adolescence. Manifestations of craniopharyngioma include visual disturbances, headaches and impairment to the hypothalamus-pituitary axis affecting hormone secretion. Treatment of these tumors commonly involves radical surgical removal of the tumor mass by endoscopy or craniotomy, followed by radiation treatment, which results in disruption or removal of neighboring structures including the hypothalamus. Depending on the degree of damage to the hypothalamus caused by tumor removal and subsequent radiation, there may be greater variation in hyperphagia and severe obesity prevalence in craniopharyngioma patients than PWS patients. Post-treatment hypothalamic dysfunction results in hyperphagia in approximately 50% of these patients, resulting in severe obesity and a worsened quality of life.</w:t>
      </w:r>
    </w:p>
    <w:p>
      <w:pPr>
        <w:spacing w:after="0" w:line="16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We plan to seek orphan drug designation for the treatment of craniopharyngioma-associated obesity in the United States and the European Union, and anticipate initiating a Phase 2a clinical trial, ZAF-221, evaluating the impact of beloranib treatment on body weight, body composition and hyperphagia in patients with craniopharyngioma-associated obesity in the first half of 2014.</w:t>
      </w:r>
    </w:p>
    <w:p>
      <w:pPr>
        <w:spacing w:after="0" w:line="18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Published population studies estimate that the incidence of craniopharyngioma is 0.13 to 0.17 per 100,000 per year, or approximately 400 to 500 cases per year in the United States and 650 to 850 cases per year in the European Union. We believe patients with craniopharyngioma-associated obesity have a longer life expectancy than PWS patients, which contributes to an increased risk of developing obesity-related co-morbid conditions such as type 2 diabetes in such patients.</w:t>
      </w:r>
    </w:p>
    <w:p>
      <w:pPr>
        <w:spacing w:after="0" w:line="18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Currently, there are no pharmacological agents for the treatment of hyperphagia and resultant severe obesity seen in patients with craniopharyngioma-associated obesity, and bariatric surgery is not frequently employed in this patient population. We believe this is related to perceived risks of surgical interventions in this population including increased risk of post-surgical complications.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Severe Obesity in the General Population</w:t>
      </w:r>
    </w:p>
    <w:p>
      <w:pPr>
        <w:spacing w:after="0" w:line="117" w:lineRule="exact"/>
        <w:rPr>
          <w:sz w:val="20"/>
          <w:szCs w:val="20"/>
          <w:color w:val="auto"/>
        </w:rPr>
      </w:pPr>
    </w:p>
    <w:p>
      <w:pPr>
        <w:ind w:left="200" w:right="400" w:firstLine="443"/>
        <w:spacing w:after="0" w:line="257" w:lineRule="auto"/>
        <w:rPr>
          <w:sz w:val="20"/>
          <w:szCs w:val="20"/>
          <w:color w:val="auto"/>
        </w:rPr>
      </w:pPr>
      <w:r>
        <w:rPr>
          <w:rFonts w:ascii="Arial" w:cs="Arial" w:eastAsia="Arial" w:hAnsi="Arial"/>
          <w:sz w:val="18"/>
          <w:szCs w:val="18"/>
          <w:color w:val="auto"/>
        </w:rPr>
        <w:t>Our long-term intention is to pursue clinical development of beloranib or another methionine aminopeptidase 2, or MetAP2, inhibitor as a treatment for severely obese patients in the general population. We believe this patient population would benefit from MetAP2 inhibitor treatment through the reduction of body weight and through improvement of severity or symptoms of other co-morbid conditions. We believe that MetAP2 inhibitors have the potential to offer this patient population, most of which is not adequately responsive to available therapies, substantial health and quality of life benefits.</w:t>
      </w:r>
    </w:p>
    <w:p>
      <w:pPr>
        <w:spacing w:after="0" w:line="188" w:lineRule="exact"/>
        <w:rPr>
          <w:sz w:val="20"/>
          <w:szCs w:val="20"/>
          <w:color w:val="auto"/>
        </w:rPr>
      </w:pPr>
    </w:p>
    <w:p>
      <w:pPr>
        <w:ind w:left="200" w:right="160" w:firstLine="443"/>
        <w:spacing w:after="0" w:line="312" w:lineRule="auto"/>
        <w:rPr>
          <w:sz w:val="20"/>
          <w:szCs w:val="20"/>
          <w:color w:val="auto"/>
        </w:rPr>
      </w:pPr>
      <w:r>
        <w:rPr>
          <w:rFonts w:ascii="Arial" w:cs="Arial" w:eastAsia="Arial" w:hAnsi="Arial"/>
          <w:sz w:val="16"/>
          <w:szCs w:val="16"/>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3 clinical trial of beloranib in PWS patients and discussions with regulatory authorities.</w:t>
      </w:r>
    </w:p>
    <w:p>
      <w:pPr>
        <w:spacing w:after="0" w:line="178"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The most effective current treatment for severe obesity is bariatric surgery, including procedures such as the Roux-en-Y gastric bypass, adjustable gastric banding, sleeve gastrectomy and biliopancreatic diversion. Bariatric surgery produces dramatic and sustained weight loss, ranging on average from 20% to 35% one year post-procedure, and reduces overall mortality, but it can result in numerous complications and adverse events including infection, internal bleeding, pulmonary disease and gastrointestinal obstruction, which sometimes requires reoperation during the post-operative period. Longer-term side effects of bariatric surgery, such as poor nutrient absorption, strictures and hernias, have also been observed.</w:t>
      </w:r>
    </w:p>
    <w:p>
      <w:pPr>
        <w:spacing w:after="0" w:line="15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Bariatric surgery eligibility criteria generally identify surgical candidates as those patients with body mass indices, or BMIs, greater than 40 kg/m</w:t>
      </w:r>
      <w:r>
        <w:rPr>
          <w:rFonts w:ascii="Arial" w:cs="Arial" w:eastAsia="Arial" w:hAnsi="Arial"/>
          <w:sz w:val="14"/>
          <w:szCs w:val="14"/>
          <w:color w:val="auto"/>
        </w:rPr>
        <w:t>2</w:t>
      </w:r>
      <w:r>
        <w:rPr>
          <w:rFonts w:ascii="Arial" w:cs="Arial" w:eastAsia="Arial" w:hAnsi="Arial"/>
          <w:sz w:val="17"/>
          <w:szCs w:val="17"/>
          <w:color w:val="auto"/>
        </w:rPr>
        <w:t>, or those with BMIs over 35 kg/m</w:t>
      </w:r>
      <w:r>
        <w:rPr>
          <w:rFonts w:ascii="Arial" w:cs="Arial" w:eastAsia="Arial" w:hAnsi="Arial"/>
          <w:sz w:val="14"/>
          <w:szCs w:val="14"/>
          <w:color w:val="auto"/>
        </w:rPr>
        <w:t>2</w:t>
      </w:r>
      <w:r>
        <w:rPr>
          <w:rFonts w:ascii="Arial" w:cs="Arial" w:eastAsia="Arial" w:hAnsi="Arial"/>
          <w:sz w:val="17"/>
          <w:szCs w:val="17"/>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MetAP2 inhibitor could become available commercially. In addition to the BMI and co-morbidity eligibility criteria, patients need to satisfy a number of other criteria in order to have bariatric surgery: a severely obese patient must not have any known endocrine causes of obesity, a drug or alcohol problem, or an uncontrolled psychological condition, and must understand and appreciate the risks of the surgical intervention. According to the American Society for Metabolic &amp; Bariatric Surgery and to HealthGrades, the average cost of bariatric surgery in the United States is approximately $22,000-$38,000. As a result of these limiting criteria and the financial commitments required, only a few hundred thousand patients undergo bariatric surgery each year even though over 16 million patients in the United States are eligible for the surgery based on BMI alone.</w:t>
      </w:r>
    </w:p>
    <w:p>
      <w:pPr>
        <w:spacing w:after="0" w:line="182"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The pharmaceutical industry has undertaken several waves of activity to discover and develop new drugs for the treatment of obesity. Relative to bariatric surgery, pharmaceutical treatments have produced modest efficacy. In addition, existing pharmacotherapeutics for obesity often have undesirable adverse event profiles.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6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36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Pipeline</w:t>
      </w:r>
    </w:p>
    <w:p>
      <w:pPr>
        <w:spacing w:after="0" w:line="117"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color w:val="auto"/>
        </w:rPr>
        <w:t>The following table summarizes our product pipeline and development status of our product candidates for the treatment of indications we are currently pursuing:</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Indication</w:t>
            </w:r>
          </w:p>
        </w:tc>
        <w:tc>
          <w:tcPr>
            <w:tcW w:w="2220" w:type="dxa"/>
            <w:vAlign w:val="bottom"/>
            <w:vMerge w:val="restart"/>
          </w:tcPr>
          <w:p>
            <w:pPr>
              <w:spacing w:after="0"/>
              <w:rPr>
                <w:sz w:val="14"/>
                <w:szCs w:val="1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Product Candidate</w:t>
            </w:r>
          </w:p>
        </w:tc>
        <w:tc>
          <w:tcPr>
            <w:tcW w:w="320" w:type="dxa"/>
            <w:vAlign w:val="bottom"/>
            <w:vMerge w:val="restart"/>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Stage of</w:t>
            </w:r>
          </w:p>
        </w:tc>
        <w:tc>
          <w:tcPr>
            <w:tcW w:w="508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Development Status</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Development</w:t>
            </w:r>
          </w:p>
        </w:tc>
        <w:tc>
          <w:tcPr>
            <w:tcW w:w="220" w:type="dxa"/>
            <w:vAlign w:val="bottom"/>
          </w:tcPr>
          <w:p>
            <w:pPr>
              <w:spacing w:after="0"/>
              <w:rPr>
                <w:sz w:val="14"/>
                <w:szCs w:val="14"/>
                <w:color w:val="auto"/>
              </w:rPr>
            </w:pPr>
          </w:p>
        </w:tc>
        <w:tc>
          <w:tcPr>
            <w:tcW w:w="5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60" w:type="dxa"/>
            <w:vAlign w:val="bottom"/>
            <w:gridSpan w:val="2"/>
          </w:tcPr>
          <w:p>
            <w:pPr>
              <w:spacing w:after="0" w:line="165" w:lineRule="exact"/>
              <w:rPr>
                <w:sz w:val="20"/>
                <w:szCs w:val="20"/>
                <w:color w:val="auto"/>
              </w:rPr>
            </w:pPr>
            <w:r>
              <w:rPr>
                <w:rFonts w:ascii="Arial" w:cs="Arial" w:eastAsia="Arial" w:hAnsi="Arial"/>
                <w:sz w:val="17"/>
                <w:szCs w:val="17"/>
                <w:color w:val="auto"/>
              </w:rPr>
              <w:t>Severe obesity in PWS</w:t>
            </w:r>
          </w:p>
        </w:tc>
        <w:tc>
          <w:tcPr>
            <w:tcW w:w="1600" w:type="dxa"/>
            <w:vAlign w:val="bottom"/>
          </w:tcPr>
          <w:p>
            <w:pPr>
              <w:ind w:left="60"/>
              <w:spacing w:after="0" w:line="165" w:lineRule="exact"/>
              <w:rPr>
                <w:sz w:val="20"/>
                <w:szCs w:val="20"/>
                <w:color w:val="auto"/>
              </w:rPr>
            </w:pPr>
            <w:r>
              <w:rPr>
                <w:rFonts w:ascii="Arial" w:cs="Arial" w:eastAsia="Arial" w:hAnsi="Arial"/>
                <w:sz w:val="17"/>
                <w:szCs w:val="17"/>
                <w:color w:val="auto"/>
              </w:rPr>
              <w:t>Beloranib</w:t>
            </w:r>
          </w:p>
        </w:tc>
        <w:tc>
          <w:tcPr>
            <w:tcW w:w="320" w:type="dxa"/>
            <w:vAlign w:val="bottom"/>
          </w:tcPr>
          <w:p>
            <w:pPr>
              <w:spacing w:after="0"/>
              <w:rPr>
                <w:sz w:val="14"/>
                <w:szCs w:val="14"/>
                <w:color w:val="auto"/>
              </w:rPr>
            </w:pPr>
          </w:p>
        </w:tc>
        <w:tc>
          <w:tcPr>
            <w:tcW w:w="980" w:type="dxa"/>
            <w:vAlign w:val="bottom"/>
          </w:tcPr>
          <w:p>
            <w:pPr>
              <w:spacing w:after="0" w:line="165" w:lineRule="exact"/>
              <w:rPr>
                <w:sz w:val="20"/>
                <w:szCs w:val="20"/>
                <w:color w:val="auto"/>
              </w:rPr>
            </w:pPr>
            <w:r>
              <w:rPr>
                <w:rFonts w:ascii="Arial" w:cs="Arial" w:eastAsia="Arial" w:hAnsi="Arial"/>
                <w:sz w:val="17"/>
                <w:szCs w:val="17"/>
                <w:color w:val="auto"/>
              </w:rPr>
              <w:t>Phase 2a</w:t>
            </w:r>
          </w:p>
        </w:tc>
        <w:tc>
          <w:tcPr>
            <w:tcW w:w="220" w:type="dxa"/>
            <w:vAlign w:val="bottom"/>
          </w:tcPr>
          <w:p>
            <w:pPr>
              <w:spacing w:after="0"/>
              <w:rPr>
                <w:sz w:val="14"/>
                <w:szCs w:val="14"/>
                <w:color w:val="auto"/>
              </w:rPr>
            </w:pPr>
          </w:p>
        </w:tc>
        <w:tc>
          <w:tcPr>
            <w:tcW w:w="5080" w:type="dxa"/>
            <w:vAlign w:val="bottom"/>
          </w:tcPr>
          <w:p>
            <w:pPr>
              <w:ind w:left="80"/>
              <w:spacing w:after="0" w:line="165" w:lineRule="exact"/>
              <w:rPr>
                <w:sz w:val="20"/>
                <w:szCs w:val="20"/>
                <w:color w:val="auto"/>
              </w:rPr>
            </w:pPr>
            <w:r>
              <w:rPr>
                <w:rFonts w:ascii="Arial" w:cs="Arial" w:eastAsia="Arial" w:hAnsi="Arial"/>
                <w:sz w:val="17"/>
                <w:szCs w:val="17"/>
                <w:color w:val="auto"/>
              </w:rPr>
              <w:t>• Phase 2a clinical trial completed</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7"/>
                <w:szCs w:val="17"/>
                <w:color w:val="auto"/>
              </w:rPr>
              <w:t>patients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vMerge w:val="restart"/>
          </w:tcPr>
          <w:p>
            <w:pPr>
              <w:ind w:left="80"/>
              <w:spacing w:after="0"/>
              <w:rPr>
                <w:sz w:val="20"/>
                <w:szCs w:val="20"/>
                <w:color w:val="auto"/>
              </w:rPr>
            </w:pPr>
            <w:r>
              <w:rPr>
                <w:rFonts w:ascii="Arial" w:cs="Arial" w:eastAsia="Arial" w:hAnsi="Arial"/>
                <w:sz w:val="17"/>
                <w:szCs w:val="17"/>
                <w:color w:val="auto"/>
                <w:w w:val="90"/>
              </w:rPr>
              <w:t>• Phase 2a clinical trial report expected to be ready in the second quarter</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Pr>
          <w:p>
            <w:pPr>
              <w:ind w:left="260"/>
              <w:spacing w:after="0"/>
              <w:rPr>
                <w:sz w:val="20"/>
                <w:szCs w:val="20"/>
                <w:color w:val="auto"/>
              </w:rPr>
            </w:pPr>
            <w:r>
              <w:rPr>
                <w:rFonts w:ascii="Arial" w:cs="Arial" w:eastAsia="Arial" w:hAnsi="Arial"/>
                <w:sz w:val="17"/>
                <w:szCs w:val="17"/>
                <w:color w:val="auto"/>
              </w:rPr>
              <w:t>of 2014</w:t>
            </w:r>
          </w:p>
        </w:tc>
        <w:tc>
          <w:tcPr>
            <w:tcW w:w="0" w:type="dxa"/>
            <w:vAlign w:val="bottom"/>
          </w:tcPr>
          <w:p>
            <w:pPr>
              <w:spacing w:after="0"/>
              <w:rPr>
                <w:sz w:val="1"/>
                <w:szCs w:val="1"/>
                <w:color w:val="auto"/>
              </w:rPr>
            </w:pPr>
          </w:p>
        </w:tc>
      </w:tr>
      <w:tr>
        <w:trPr>
          <w:trHeight w:val="310"/>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ind w:left="80"/>
              <w:spacing w:after="0"/>
              <w:rPr>
                <w:sz w:val="20"/>
                <w:szCs w:val="20"/>
                <w:color w:val="auto"/>
              </w:rPr>
            </w:pPr>
            <w:r>
              <w:rPr>
                <w:rFonts w:ascii="Arial" w:cs="Arial" w:eastAsia="Arial" w:hAnsi="Arial"/>
                <w:sz w:val="17"/>
                <w:szCs w:val="17"/>
                <w:color w:val="auto"/>
                <w:w w:val="95"/>
              </w:rPr>
              <w:t>• Phase 3 clinical trial design being finalized and expected to begin in</w:t>
            </w:r>
          </w:p>
        </w:tc>
        <w:tc>
          <w:tcPr>
            <w:tcW w:w="0" w:type="dxa"/>
            <w:vAlign w:val="bottom"/>
          </w:tcPr>
          <w:p>
            <w:pPr>
              <w:spacing w:after="0"/>
              <w:rPr>
                <w:sz w:val="1"/>
                <w:szCs w:val="1"/>
                <w:color w:val="auto"/>
              </w:rPr>
            </w:pPr>
          </w:p>
        </w:tc>
      </w:tr>
      <w:tr>
        <w:trPr>
          <w:trHeight w:val="227"/>
        </w:trPr>
        <w:tc>
          <w:tcPr>
            <w:tcW w:w="6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2014, pending regulatory authority input</w:t>
            </w:r>
          </w:p>
        </w:tc>
        <w:tc>
          <w:tcPr>
            <w:tcW w:w="0" w:type="dxa"/>
            <w:vAlign w:val="bottom"/>
          </w:tcPr>
          <w:p>
            <w:pPr>
              <w:spacing w:after="0"/>
              <w:rPr>
                <w:sz w:val="1"/>
                <w:szCs w:val="1"/>
                <w:color w:val="auto"/>
              </w:rPr>
            </w:pPr>
          </w:p>
        </w:tc>
      </w:tr>
      <w:tr>
        <w:trPr>
          <w:trHeight w:val="185"/>
        </w:trPr>
        <w:tc>
          <w:tcPr>
            <w:tcW w:w="2860" w:type="dxa"/>
            <w:vAlign w:val="bottom"/>
            <w:gridSpan w:val="2"/>
          </w:tcPr>
          <w:p>
            <w:pPr>
              <w:spacing w:after="0" w:line="185" w:lineRule="exact"/>
              <w:rPr>
                <w:sz w:val="20"/>
                <w:szCs w:val="20"/>
                <w:color w:val="auto"/>
              </w:rPr>
            </w:pPr>
            <w:r>
              <w:rPr>
                <w:rFonts w:ascii="Arial" w:cs="Arial" w:eastAsia="Arial" w:hAnsi="Arial"/>
                <w:sz w:val="17"/>
                <w:szCs w:val="17"/>
                <w:color w:val="auto"/>
              </w:rPr>
              <w:t>Craniopharyngioma-</w:t>
            </w:r>
          </w:p>
        </w:tc>
        <w:tc>
          <w:tcPr>
            <w:tcW w:w="192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Beloranib</w:t>
            </w:r>
          </w:p>
        </w:tc>
        <w:tc>
          <w:tcPr>
            <w:tcW w:w="1200" w:type="dxa"/>
            <w:vAlign w:val="bottom"/>
            <w:gridSpan w:val="2"/>
          </w:tcPr>
          <w:p>
            <w:pPr>
              <w:spacing w:after="0" w:line="185" w:lineRule="exact"/>
              <w:rPr>
                <w:sz w:val="20"/>
                <w:szCs w:val="20"/>
                <w:color w:val="auto"/>
              </w:rPr>
            </w:pPr>
            <w:r>
              <w:rPr>
                <w:rFonts w:ascii="Arial" w:cs="Arial" w:eastAsia="Arial" w:hAnsi="Arial"/>
                <w:sz w:val="17"/>
                <w:szCs w:val="17"/>
                <w:color w:val="auto"/>
              </w:rPr>
              <w:t>Phase 2a</w:t>
            </w:r>
          </w:p>
        </w:tc>
        <w:tc>
          <w:tcPr>
            <w:tcW w:w="5080" w:type="dxa"/>
            <w:vAlign w:val="bottom"/>
          </w:tcPr>
          <w:p>
            <w:pPr>
              <w:ind w:left="80"/>
              <w:spacing w:after="0" w:line="185" w:lineRule="exact"/>
              <w:rPr>
                <w:sz w:val="20"/>
                <w:szCs w:val="20"/>
                <w:color w:val="auto"/>
              </w:rPr>
            </w:pPr>
            <w:r>
              <w:rPr>
                <w:rFonts w:ascii="Arial" w:cs="Arial" w:eastAsia="Arial" w:hAnsi="Arial"/>
                <w:sz w:val="17"/>
                <w:szCs w:val="17"/>
                <w:color w:val="auto"/>
              </w:rPr>
              <w:t>• Phase 2a clinical trial expected to start in the first half of 2014</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associated obesity</w:t>
            </w:r>
          </w:p>
        </w:tc>
        <w:tc>
          <w:tcPr>
            <w:tcW w:w="1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860" w:type="dxa"/>
            <w:vAlign w:val="bottom"/>
            <w:gridSpan w:val="2"/>
          </w:tcPr>
          <w:p>
            <w:pPr>
              <w:spacing w:after="0" w:line="185" w:lineRule="exact"/>
              <w:rPr>
                <w:sz w:val="20"/>
                <w:szCs w:val="20"/>
                <w:color w:val="auto"/>
              </w:rPr>
            </w:pPr>
            <w:r>
              <w:rPr>
                <w:rFonts w:ascii="Arial" w:cs="Arial" w:eastAsia="Arial" w:hAnsi="Arial"/>
                <w:sz w:val="17"/>
                <w:szCs w:val="17"/>
                <w:color w:val="auto"/>
              </w:rPr>
              <w:t>Severe obesity in the</w:t>
            </w:r>
          </w:p>
        </w:tc>
        <w:tc>
          <w:tcPr>
            <w:tcW w:w="192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Beloranib</w:t>
            </w:r>
          </w:p>
        </w:tc>
        <w:tc>
          <w:tcPr>
            <w:tcW w:w="1200" w:type="dxa"/>
            <w:vAlign w:val="bottom"/>
            <w:gridSpan w:val="2"/>
          </w:tcPr>
          <w:p>
            <w:pPr>
              <w:spacing w:after="0" w:line="185" w:lineRule="exact"/>
              <w:rPr>
                <w:sz w:val="20"/>
                <w:szCs w:val="20"/>
                <w:color w:val="auto"/>
              </w:rPr>
            </w:pPr>
            <w:r>
              <w:rPr>
                <w:rFonts w:ascii="Arial" w:cs="Arial" w:eastAsia="Arial" w:hAnsi="Arial"/>
                <w:sz w:val="17"/>
                <w:szCs w:val="17"/>
                <w:color w:val="auto"/>
              </w:rPr>
              <w:t>Phase 2a</w:t>
            </w:r>
          </w:p>
        </w:tc>
        <w:tc>
          <w:tcPr>
            <w:tcW w:w="5080" w:type="dxa"/>
            <w:vAlign w:val="bottom"/>
          </w:tcPr>
          <w:p>
            <w:pPr>
              <w:ind w:left="80"/>
              <w:spacing w:after="0" w:line="185" w:lineRule="exact"/>
              <w:rPr>
                <w:sz w:val="20"/>
                <w:szCs w:val="20"/>
                <w:color w:val="auto"/>
              </w:rPr>
            </w:pPr>
            <w:r>
              <w:rPr>
                <w:rFonts w:ascii="Arial" w:cs="Arial" w:eastAsia="Arial" w:hAnsi="Arial"/>
                <w:sz w:val="17"/>
                <w:szCs w:val="17"/>
                <w:color w:val="auto"/>
              </w:rPr>
              <w:t>• Phase 2a clinical trial completed</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7"/>
                <w:szCs w:val="17"/>
                <w:color w:val="auto"/>
              </w:rPr>
              <w:t>general population</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vMerge w:val="restart"/>
          </w:tcPr>
          <w:p>
            <w:pPr>
              <w:ind w:left="80"/>
              <w:spacing w:after="0"/>
              <w:rPr>
                <w:sz w:val="20"/>
                <w:szCs w:val="20"/>
                <w:color w:val="auto"/>
              </w:rPr>
            </w:pPr>
            <w:r>
              <w:rPr>
                <w:rFonts w:ascii="Arial" w:cs="Arial" w:eastAsia="Arial" w:hAnsi="Arial"/>
                <w:sz w:val="17"/>
                <w:szCs w:val="17"/>
                <w:color w:val="auto"/>
                <w:w w:val="97"/>
              </w:rPr>
              <w:t>• Phase 2b clinical trial expected to begin in the second half of 2014</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ind w:left="80"/>
              <w:spacing w:after="0"/>
              <w:rPr>
                <w:sz w:val="20"/>
                <w:szCs w:val="20"/>
                <w:color w:val="auto"/>
              </w:rPr>
            </w:pPr>
            <w:r>
              <w:rPr>
                <w:rFonts w:ascii="Arial" w:cs="Arial" w:eastAsia="Arial" w:hAnsi="Arial"/>
                <w:sz w:val="17"/>
                <w:szCs w:val="17"/>
                <w:color w:val="auto"/>
              </w:rPr>
              <w:t>• Advancement into pivotal trials under consideration</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20" w:type="dxa"/>
            <w:vAlign w:val="bottom"/>
            <w:gridSpan w:val="2"/>
          </w:tcPr>
          <w:p>
            <w:pPr>
              <w:ind w:left="320"/>
              <w:spacing w:after="0"/>
              <w:rPr>
                <w:sz w:val="20"/>
                <w:szCs w:val="20"/>
                <w:color w:val="auto"/>
              </w:rPr>
            </w:pPr>
            <w:r>
              <w:rPr>
                <w:rFonts w:ascii="Arial" w:cs="Arial" w:eastAsia="Arial" w:hAnsi="Arial"/>
                <w:sz w:val="17"/>
                <w:szCs w:val="17"/>
                <w:color w:val="auto"/>
              </w:rPr>
              <w:t>Second-generation</w:t>
            </w:r>
          </w:p>
        </w:tc>
        <w:tc>
          <w:tcPr>
            <w:tcW w:w="1200" w:type="dxa"/>
            <w:vAlign w:val="bottom"/>
            <w:gridSpan w:val="2"/>
          </w:tcPr>
          <w:p>
            <w:pPr>
              <w:spacing w:after="0"/>
              <w:rPr>
                <w:sz w:val="20"/>
                <w:szCs w:val="20"/>
                <w:color w:val="auto"/>
              </w:rPr>
            </w:pPr>
            <w:r>
              <w:rPr>
                <w:rFonts w:ascii="Arial" w:cs="Arial" w:eastAsia="Arial" w:hAnsi="Arial"/>
                <w:sz w:val="17"/>
                <w:szCs w:val="17"/>
                <w:color w:val="auto"/>
              </w:rPr>
              <w:t>Pre-clinical</w:t>
            </w:r>
          </w:p>
        </w:tc>
        <w:tc>
          <w:tcPr>
            <w:tcW w:w="5080" w:type="dxa"/>
            <w:vAlign w:val="bottom"/>
          </w:tcPr>
          <w:p>
            <w:pPr>
              <w:ind w:left="80"/>
              <w:spacing w:after="0"/>
              <w:rPr>
                <w:sz w:val="20"/>
                <w:szCs w:val="20"/>
                <w:color w:val="auto"/>
              </w:rPr>
            </w:pPr>
            <w:r>
              <w:rPr>
                <w:rFonts w:ascii="Arial" w:cs="Arial" w:eastAsia="Arial" w:hAnsi="Arial"/>
                <w:sz w:val="17"/>
                <w:szCs w:val="17"/>
                <w:color w:val="auto"/>
              </w:rPr>
              <w:t>• Development candidates under consideration</w:t>
            </w:r>
          </w:p>
        </w:tc>
        <w:tc>
          <w:tcPr>
            <w:tcW w:w="0" w:type="dxa"/>
            <w:vAlign w:val="bottom"/>
          </w:tcPr>
          <w:p>
            <w:pPr>
              <w:spacing w:after="0"/>
              <w:rPr>
                <w:sz w:val="1"/>
                <w:szCs w:val="1"/>
                <w:color w:val="auto"/>
              </w:rPr>
            </w:pPr>
          </w:p>
        </w:tc>
      </w:tr>
      <w:tr>
        <w:trPr>
          <w:trHeight w:val="218"/>
        </w:trPr>
        <w:tc>
          <w:tcPr>
            <w:tcW w:w="6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MetAP2 inhibitors</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line="180" w:lineRule="exact"/>
              <w:rPr>
                <w:sz w:val="20"/>
                <w:szCs w:val="20"/>
                <w:color w:val="auto"/>
              </w:rPr>
            </w:pPr>
            <w:r>
              <w:rPr>
                <w:rFonts w:ascii="Arial" w:cs="Arial" w:eastAsia="Arial" w:hAnsi="Arial"/>
                <w:sz w:val="17"/>
                <w:szCs w:val="17"/>
                <w:color w:val="auto"/>
              </w:rPr>
              <w:t>Nonalcoholic steatohepatitis, or</w:t>
            </w:r>
          </w:p>
        </w:tc>
        <w:tc>
          <w:tcPr>
            <w:tcW w:w="1920" w:type="dxa"/>
            <w:vAlign w:val="bottom"/>
            <w:gridSpan w:val="2"/>
          </w:tcPr>
          <w:p>
            <w:pPr>
              <w:ind w:left="60"/>
              <w:spacing w:after="0" w:line="180" w:lineRule="exact"/>
              <w:rPr>
                <w:sz w:val="20"/>
                <w:szCs w:val="20"/>
                <w:color w:val="auto"/>
              </w:rPr>
            </w:pPr>
            <w:r>
              <w:rPr>
                <w:rFonts w:ascii="Arial" w:cs="Arial" w:eastAsia="Arial" w:hAnsi="Arial"/>
                <w:sz w:val="17"/>
                <w:szCs w:val="17"/>
                <w:color w:val="auto"/>
              </w:rPr>
              <w:t>ZGN-839</w:t>
            </w:r>
          </w:p>
        </w:tc>
        <w:tc>
          <w:tcPr>
            <w:tcW w:w="1200" w:type="dxa"/>
            <w:vAlign w:val="bottom"/>
            <w:gridSpan w:val="2"/>
          </w:tcPr>
          <w:p>
            <w:pPr>
              <w:spacing w:after="0" w:line="180" w:lineRule="exact"/>
              <w:rPr>
                <w:sz w:val="20"/>
                <w:szCs w:val="20"/>
                <w:color w:val="auto"/>
              </w:rPr>
            </w:pPr>
            <w:r>
              <w:rPr>
                <w:rFonts w:ascii="Arial" w:cs="Arial" w:eastAsia="Arial" w:hAnsi="Arial"/>
                <w:sz w:val="17"/>
                <w:szCs w:val="17"/>
                <w:color w:val="auto"/>
              </w:rPr>
              <w:t>Pre-clinical</w:t>
            </w:r>
          </w:p>
        </w:tc>
        <w:tc>
          <w:tcPr>
            <w:tcW w:w="5080" w:type="dxa"/>
            <w:vAlign w:val="bottom"/>
          </w:tcPr>
          <w:p>
            <w:pPr>
              <w:ind w:left="80"/>
              <w:spacing w:after="0" w:line="180" w:lineRule="exact"/>
              <w:rPr>
                <w:sz w:val="20"/>
                <w:szCs w:val="20"/>
                <w:color w:val="auto"/>
              </w:rPr>
            </w:pPr>
            <w:r>
              <w:rPr>
                <w:rFonts w:ascii="Arial" w:cs="Arial" w:eastAsia="Arial" w:hAnsi="Arial"/>
                <w:sz w:val="17"/>
                <w:szCs w:val="17"/>
                <w:color w:val="auto"/>
              </w:rPr>
              <w:t>• Pre-clinical studies ongoing</w:t>
            </w: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Arial" w:cs="Arial" w:eastAsia="Arial" w:hAnsi="Arial"/>
                <w:sz w:val="17"/>
                <w:szCs w:val="17"/>
                <w:color w:val="auto"/>
              </w:rPr>
              <w:t>NASH, nonalcoholic fatty liver</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vMerge w:val="restart"/>
          </w:tcPr>
          <w:p>
            <w:pPr>
              <w:ind w:left="80"/>
              <w:spacing w:after="0"/>
              <w:rPr>
                <w:sz w:val="20"/>
                <w:szCs w:val="20"/>
                <w:color w:val="auto"/>
              </w:rPr>
            </w:pPr>
            <w:r>
              <w:rPr>
                <w:rFonts w:ascii="Arial" w:cs="Arial" w:eastAsia="Arial" w:hAnsi="Arial"/>
                <w:sz w:val="17"/>
                <w:szCs w:val="17"/>
                <w:color w:val="auto"/>
                <w:w w:val="99"/>
              </w:rPr>
              <w:t>• Investigational New Drug Application, or IND, filing anticipated by</w:t>
            </w:r>
          </w:p>
        </w:tc>
        <w:tc>
          <w:tcPr>
            <w:tcW w:w="0" w:type="dxa"/>
            <w:vAlign w:val="bottom"/>
          </w:tcPr>
          <w:p>
            <w:pPr>
              <w:spacing w:after="0"/>
              <w:rPr>
                <w:sz w:val="1"/>
                <w:szCs w:val="1"/>
                <w:color w:val="auto"/>
              </w:rPr>
            </w:pPr>
          </w:p>
        </w:tc>
      </w:tr>
      <w:tr>
        <w:trPr>
          <w:trHeight w:val="122"/>
        </w:trPr>
        <w:tc>
          <w:tcPr>
            <w:tcW w:w="2860" w:type="dxa"/>
            <w:vAlign w:val="bottom"/>
            <w:gridSpan w:val="2"/>
            <w:vMerge w:val="restart"/>
          </w:tcPr>
          <w:p>
            <w:pPr>
              <w:spacing w:after="0"/>
              <w:rPr>
                <w:sz w:val="20"/>
                <w:szCs w:val="20"/>
                <w:color w:val="auto"/>
              </w:rPr>
            </w:pPr>
            <w:r>
              <w:rPr>
                <w:rFonts w:ascii="Arial" w:cs="Arial" w:eastAsia="Arial" w:hAnsi="Arial"/>
                <w:sz w:val="17"/>
                <w:szCs w:val="17"/>
                <w:color w:val="auto"/>
              </w:rPr>
              <w:t>disease, abdominal obesity and</w:t>
            </w: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80" w:type="dxa"/>
            <w:vAlign w:val="bottom"/>
            <w:vMerge w:val="restart"/>
          </w:tcPr>
          <w:p>
            <w:pPr>
              <w:ind w:left="260"/>
              <w:spacing w:after="0"/>
              <w:rPr>
                <w:sz w:val="20"/>
                <w:szCs w:val="20"/>
                <w:color w:val="auto"/>
              </w:rPr>
            </w:pPr>
            <w:r>
              <w:rPr>
                <w:rFonts w:ascii="Arial" w:cs="Arial" w:eastAsia="Arial" w:hAnsi="Arial"/>
                <w:sz w:val="17"/>
                <w:szCs w:val="17"/>
                <w:color w:val="auto"/>
              </w:rPr>
              <w:t>the first half of 2015</w:t>
            </w:r>
          </w:p>
        </w:tc>
        <w:tc>
          <w:tcPr>
            <w:tcW w:w="0" w:type="dxa"/>
            <w:vAlign w:val="bottom"/>
          </w:tcPr>
          <w:p>
            <w:pPr>
              <w:spacing w:after="0"/>
              <w:rPr>
                <w:sz w:val="1"/>
                <w:szCs w:val="1"/>
                <w:color w:val="auto"/>
              </w:rPr>
            </w:pPr>
          </w:p>
        </w:tc>
      </w:tr>
      <w:tr>
        <w:trPr>
          <w:trHeight w:val="135"/>
        </w:trPr>
        <w:tc>
          <w:tcPr>
            <w:tcW w:w="2860" w:type="dxa"/>
            <w:vAlign w:val="bottom"/>
            <w:gridSpan w:val="2"/>
            <w:vMerge w:val="restart"/>
          </w:tcPr>
          <w:p>
            <w:pPr>
              <w:spacing w:after="0"/>
              <w:rPr>
                <w:sz w:val="20"/>
                <w:szCs w:val="20"/>
                <w:color w:val="auto"/>
              </w:rPr>
            </w:pPr>
            <w:r>
              <w:rPr>
                <w:rFonts w:ascii="Arial" w:cs="Arial" w:eastAsia="Arial" w:hAnsi="Arial"/>
                <w:sz w:val="17"/>
                <w:szCs w:val="17"/>
                <w:color w:val="auto"/>
              </w:rPr>
              <w:t>type 2 diabetes</w:t>
            </w: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6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Company History</w:t>
      </w:r>
    </w:p>
    <w:p>
      <w:pPr>
        <w:spacing w:after="0" w:line="117"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Zafgen was founded in 2005 to explore novel approaches to obesity therapeutics, including agents known to inhibit MetAP2 that had been found to drive unprecedented weight loss and metabolic improvements in mice. After performing a wide range of experiments to validate the effects of MetAP2 inhibitors in validated animal models, we committed the full resources of the company to testing the efficacy and safety of MetAP2 inhibition in obese patients and to establishing the feasibility of MetAP2 inhibitors for eventual commercialization. We identified beloranib as a suitable in-licensing candidate, and, in parallel with preparing beloranib for use in otherwise healthy but obese patients, we conducted our own chemistry program to identify compounds with complementary characteristics. After completing studies to establish preliminary safety, mechanism of action, manufacturing feasibility and clinical proof of concept, we advanced beloranib as a clinical development candidate and explored its application in severely obese patient populations. Our early clinical experience highlighted several key aspects of beloranib’s actions, including rapid and robust weight loss, changes in circulating hormones known to impact fat metabolism, clinically significant reductions in cardiovascular disease risk markers and a particularly striking impact on hunger.</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Beloranib Mechanism of Action</w:t>
      </w:r>
    </w:p>
    <w:p>
      <w:pPr>
        <w:spacing w:after="0" w:line="117"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Beloranib is a novel, first-in-class injectable small molecule therapy with a unique mechanism of action that reduces hunger while stimulating the use of stored fat as an energy source. Beloranib is the first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 Beloranib acts through potent inhibition of MetAP2, an enzyme that modulates the activity of key cellular processes that control metabolism. MetAP2</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inhibitors work, at least in part, by directing MetAP2 binding to cellular stress mediators, thereby reducing the tone of signals that drive lipid synthesis by the liver and fat storage throughout the body. In this manner, MetAP2 inhibition serves the purpose of re-establishing balance to the ways the body packages and metabolizes fat and glucose. MetAP2 inhibitors reduce the production of new fatty acid molecules by the liver and help convert stored fats into useful energy while reducing hunger.</w:t>
      </w:r>
    </w:p>
    <w:p>
      <w:pPr>
        <w:spacing w:after="0" w:line="187" w:lineRule="exact"/>
        <w:rPr>
          <w:sz w:val="20"/>
          <w:szCs w:val="20"/>
          <w:color w:val="auto"/>
        </w:rPr>
      </w:pPr>
    </w:p>
    <w:p>
      <w:pPr>
        <w:ind w:left="200" w:right="80" w:firstLine="443"/>
        <w:spacing w:after="0" w:line="273" w:lineRule="auto"/>
        <w:rPr>
          <w:sz w:val="20"/>
          <w:szCs w:val="20"/>
          <w:color w:val="auto"/>
        </w:rPr>
      </w:pPr>
      <w:r>
        <w:rPr>
          <w:rFonts w:ascii="Arial" w:cs="Arial" w:eastAsia="Arial" w:hAnsi="Arial"/>
          <w:sz w:val="17"/>
          <w:szCs w:val="17"/>
          <w:color w:val="auto"/>
        </w:rPr>
        <w:t>We have completed five clinical trials, including two Phase 2a clinical trials, evaluating beloranib in over 200 patients. Although these clinical trials were not designed to demonstrate long-term efficacy supporting registration, significant decreases in both body weight and sense of hunger were observed in patients treated with beloranib. In addition, we observed improvements in cardiovascular disease risk factors such as plasma total cholesterol, low density lipoprotein cholesterol and C-reactive protein. Across our completed clinical trials, beloranib has been well-tolerated at doses in the range of 1.0 mg to 2.0 mg administered twice weekly, and has not been associated with serious side effects. Laboratory safety measures, vital signs and electrocardiograms have been unremarkable in all completed clinical trials for all doses of beloranib tested.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0" w:firstLine="443"/>
        <w:spacing w:after="0" w:line="277" w:lineRule="auto"/>
        <w:rPr>
          <w:sz w:val="20"/>
          <w:szCs w:val="20"/>
          <w:color w:val="auto"/>
        </w:rPr>
      </w:pPr>
      <w:r>
        <w:rPr>
          <w:rFonts w:ascii="Arial" w:cs="Arial" w:eastAsia="Arial" w:hAnsi="Arial"/>
          <w:sz w:val="18"/>
          <w:szCs w:val="18"/>
          <w:color w:val="auto"/>
        </w:rPr>
        <w:t>Our objective is to be a leader in the discovery, development and commercialization of novel therapies to significantly improve the health and well-being of patients affected by obesity. Key elements of our strategy include:</w:t>
      </w:r>
    </w:p>
    <w:p>
      <w:pPr>
        <w:spacing w:after="0" w:line="76" w:lineRule="exact"/>
        <w:rPr>
          <w:sz w:val="20"/>
          <w:szCs w:val="20"/>
          <w:color w:val="auto"/>
        </w:rPr>
      </w:pPr>
    </w:p>
    <w:p>
      <w:pPr>
        <w:ind w:left="1060" w:hanging="323"/>
        <w:spacing w:after="0" w:line="270"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clinical development of beloranib in subpopulations of severely obese patients, including those with rare conditions, where severe obesity is a co-morbidity of an underlying condition. </w:t>
      </w:r>
      <w:r>
        <w:rPr>
          <w:rFonts w:ascii="Arial" w:cs="Arial" w:eastAsia="Arial" w:hAnsi="Arial"/>
          <w:sz w:val="17"/>
          <w:szCs w:val="17"/>
          <w:color w:val="auto"/>
        </w:rPr>
        <w:t>Diseases in this category include PWS, hypothalamic damage that is caused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trauma, surgical removal of tumors (including craniopharyngioma), radiation therapy of mid-brain tumors and monogenic loss of function mutations, including leptin deficiency and melanocortin receptor subclass 4 mutations. We believe that rare conditions such as PWS afford us an opportunity to rapidly develop and commercialize beloranib using smaller, more focused and less costly clinical trials, relative to those required to develop beloranib for the broader severe obesity population. Beloranib exerts its weight loss effects using a novel mechanism that does not appear to require fully functioning hypothalamic control pathways. We believe this mechanism is well-suited for patients with severe obesity that is caused by the failure of hypothalamic food intake control mechanisms, in particular the control of relentless and pathological hunger, or hyperphagia.</w:t>
      </w:r>
    </w:p>
    <w:p>
      <w:pPr>
        <w:spacing w:after="0" w:line="87" w:lineRule="exact"/>
        <w:rPr>
          <w:rFonts w:ascii="Arial" w:cs="Arial" w:eastAsia="Arial" w:hAnsi="Arial"/>
          <w:sz w:val="17"/>
          <w:szCs w:val="17"/>
          <w:color w:val="auto"/>
        </w:rPr>
      </w:pPr>
    </w:p>
    <w:p>
      <w:pPr>
        <w:ind w:left="1060" w:right="180" w:hanging="323"/>
        <w:spacing w:after="0" w:line="25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the clinical development of MetAP2 inhibitors for the treatment of severely obese patients in the general population, including those who are candidates for bariatric surgery. </w:t>
      </w:r>
      <w:r>
        <w:rPr>
          <w:rFonts w:ascii="Arial" w:cs="Arial" w:eastAsia="Arial" w:hAnsi="Arial"/>
          <w:sz w:val="18"/>
          <w:szCs w:val="18"/>
          <w:color w:val="auto"/>
        </w:rPr>
        <w:t>We believe the severely obese patient population would benefit from MetAP2 inhibitor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through the reduction of body weight and through improvement of other co-morbid conditions.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w:t>
      </w:r>
    </w:p>
    <w:p>
      <w:pPr>
        <w:spacing w:after="0" w:line="94" w:lineRule="exact"/>
        <w:rPr>
          <w:rFonts w:ascii="Arial" w:cs="Arial" w:eastAsia="Arial" w:hAnsi="Arial"/>
          <w:sz w:val="18"/>
          <w:szCs w:val="18"/>
          <w:color w:val="auto"/>
        </w:rPr>
      </w:pPr>
    </w:p>
    <w:p>
      <w:pPr>
        <w:ind w:left="1060" w:right="20" w:hanging="323"/>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the knowledge of our experienced team of drug developers that have deep expertise in the field of obesity, the function of MetAP2 inhibitors and metabolic diseases. </w:t>
      </w:r>
      <w:r>
        <w:rPr>
          <w:rFonts w:ascii="Arial" w:cs="Arial" w:eastAsia="Arial" w:hAnsi="Arial"/>
          <w:sz w:val="17"/>
          <w:szCs w:val="17"/>
          <w:color w:val="auto"/>
        </w:rPr>
        <w:t>Our management team has deep expertise in obesity and related metabolic diseases, the function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MetAP2 inhibitors, the strengths and weaknesses of current treatments for severe obesity and the ability to recognize the potential of novel therapies for the treatment of severe obesity. Our team is complemented by highly experienced external consultants and collaborators in the areas of drug discovery, development and regulatory approval.</w:t>
      </w:r>
    </w:p>
    <w:p>
      <w:pPr>
        <w:spacing w:after="0" w:line="77" w:lineRule="exact"/>
        <w:rPr>
          <w:rFonts w:ascii="Arial" w:cs="Arial" w:eastAsia="Arial" w:hAnsi="Arial"/>
          <w:sz w:val="17"/>
          <w:szCs w:val="17"/>
          <w:color w:val="auto"/>
        </w:rPr>
      </w:pPr>
    </w:p>
    <w:p>
      <w:pPr>
        <w:ind w:left="1060" w:right="7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flexibility in commercializing and maximizing the value of our development programs. </w:t>
      </w:r>
      <w:r>
        <w:rPr>
          <w:rFonts w:ascii="Arial" w:cs="Arial" w:eastAsia="Arial" w:hAnsi="Arial"/>
          <w:sz w:val="18"/>
          <w:szCs w:val="18"/>
          <w:color w:val="auto"/>
        </w:rPr>
        <w:t>While we intend to develop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commercialize beloranib for indications such as PWS and other rare conditions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causing severe obesity, we may enter into strategic relationships with biotechnology or pharmaceutical companies to realize the full value of beloranib or our other earlier-stage development programs. For beloranib, we may enter into one or more strategic relationships to access broader geographic markets or additional indications. These relationships could focus on specific patient populations and their caregivers, on regional development or on distribution and sales of beloranib.</w:t>
      </w:r>
    </w:p>
    <w:p>
      <w:pPr>
        <w:spacing w:after="0" w:line="92" w:lineRule="exact"/>
        <w:rPr>
          <w:sz w:val="20"/>
          <w:szCs w:val="20"/>
          <w:color w:val="auto"/>
        </w:rPr>
      </w:pPr>
    </w:p>
    <w:p>
      <w:pPr>
        <w:ind w:left="1060" w:right="40" w:hanging="323"/>
        <w:spacing w:after="0" w:line="25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other potential product candidates. </w:t>
      </w:r>
      <w:r>
        <w:rPr>
          <w:rFonts w:ascii="Arial" w:cs="Arial" w:eastAsia="Arial" w:hAnsi="Arial"/>
          <w:sz w:val="18"/>
          <w:szCs w:val="18"/>
          <w:color w:val="auto"/>
        </w:rPr>
        <w:t>We have a second program focused on the delivery of MetAP2 inhibitors with targeted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tissue distribution that shows early promise in animal models of abdominal obesity, fatty liver and type 2 diabetes. Our lead MetAP2 inhibitor in this class of molecules is called ZGN-839. We believe that compounds such as ZGN-839 will have utility in the treatment of type 2 diabetes in humans, and will further cause improvements in cardiovascular risk factors including low density lipoprotein cholesterol. We plan to advance multiple candidate drugs into early development to establish clinical proof of concept, safety and tolerability of these molecules as a way to leverage our internal know-how in metabolic diseases and the effects of MetAP2 inhibitors. These compounds, typified by ZGN-839, could provide additional short-term value to our company through focused development partnerships and collaborations.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Our business is subject to many risks and uncertainties of which you should be aware before you decide to invest in our common stock. These risks are discussed more fully under “Risk Factors” in this prospectus. Some of these risks include:</w:t>
      </w:r>
    </w:p>
    <w:p>
      <w:pPr>
        <w:spacing w:after="0" w:line="76" w:lineRule="exact"/>
        <w:rPr>
          <w:sz w:val="20"/>
          <w:szCs w:val="20"/>
          <w:color w:val="auto"/>
        </w:rPr>
      </w:pPr>
    </w:p>
    <w:p>
      <w:pPr>
        <w:ind w:left="1060" w:right="20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almost entirely on the success of one product candidate, beloranib, which is still in Phase 2 clinical development. We cannot be certain that we will be able to obtain regulatory approval for, or successfully commercialize, beloranib.</w:t>
      </w:r>
    </w:p>
    <w:p>
      <w:pPr>
        <w:spacing w:after="0" w:line="75" w:lineRule="exact"/>
        <w:rPr>
          <w:rFonts w:ascii="Arial" w:cs="Arial" w:eastAsia="Arial" w:hAnsi="Arial"/>
          <w:sz w:val="18"/>
          <w:szCs w:val="18"/>
          <w:color w:val="auto"/>
        </w:rPr>
      </w:pPr>
    </w:p>
    <w:p>
      <w:pPr>
        <w:ind w:left="1060" w:right="20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Positive results from early clinical trials of beloranib are not necessarily predictive of the results of later clinical trials of beloranib. If we cannot replicate the positive results from our earlier clinical trials of beloranib in our later clinical trials, we may be unable to successfully develop, obtain regulatory approval for and commercialize beloranib. It may further be necessary to validate different or additional instruments for measuring subjective endpoints, and to show that beloranib has clinically meaningful impact on those endpoints in order to obtain regulatory approval.</w:t>
      </w:r>
    </w:p>
    <w:p>
      <w:pPr>
        <w:spacing w:after="0" w:line="93"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of beloranib could result in increased costs to us and could delay, prevent or limit our ability to generate revenue and continue our business.</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that we will continue to rely, on third parties to conduct any future clinical trials for beloranib. If these third parties do not successfully carry out their contractual duties or meet expected deadlines, we may not be able to obtain regulatory approval for or commercialize beloranib and our business could be substantially harmed.</w:t>
      </w:r>
    </w:p>
    <w:p>
      <w:pPr>
        <w:spacing w:after="0" w:line="86" w:lineRule="exact"/>
        <w:rPr>
          <w:rFonts w:ascii="Arial" w:cs="Arial" w:eastAsia="Arial" w:hAnsi="Arial"/>
          <w:sz w:val="18"/>
          <w:szCs w:val="18"/>
          <w:color w:val="auto"/>
        </w:rPr>
      </w:pPr>
    </w:p>
    <w:p>
      <w:pPr>
        <w:ind w:left="1060" w:right="280" w:hanging="323"/>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numbers of patients suffering from PWS and craniopharyngioma are small and have not been established with precision. If the actual number of patients with either of these conditions is smaller than we estimate or if any approval that we obtain is based on a narrower definition of these patient populations, our revenue and ability to achieve profitability will be adversely affected, possibly materially.</w:t>
      </w:r>
    </w:p>
    <w:p>
      <w:pPr>
        <w:spacing w:after="0" w:line="52" w:lineRule="exact"/>
        <w:rPr>
          <w:rFonts w:ascii="Arial" w:cs="Arial" w:eastAsia="Arial" w:hAnsi="Arial"/>
          <w:sz w:val="16"/>
          <w:szCs w:val="16"/>
          <w:color w:val="auto"/>
        </w:rPr>
      </w:pPr>
    </w:p>
    <w:p>
      <w:pPr>
        <w:ind w:left="1060" w:right="14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maintain issued patents which are sufficient to protect beloranib, others could compete against us more directly, which would have a material adverse impact on our business, results of operations, financial condition and prospects.</w:t>
      </w:r>
    </w:p>
    <w:p>
      <w:pPr>
        <w:spacing w:after="0" w:line="86"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licensed intellectual property. If we were to lose our rights to licensed intellectual property, we may not be able to continue developing or commercializing beloranib or our other product candidates, if approved.</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President and Chief Executive Officer, and to attract, retain and motivate qualified personnel.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060" w:right="30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 billion or more; (ii) the last day of our fiscal year following the fifth anniversary of the date of the completion of this offering; (iii) the date on which we have issued more than $1 billion in nonconvertible debt during the previous three years; or (iv) the last day of the fiscal year in which we are deemed to be a large accelerated filer under the rules of the Securities and Exchange Commission, or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than the information you receive from other public companies in which you hold stock. Also, we have irrevocably elected to “opt out” of the exemption for the delayed adoption of certain accounting standards and, therefore, will be subject to the same new or revised accounting standards as other public companies that are not emerging growth companies.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 is located at One Broadway, 8</w:t>
      </w:r>
      <w:r>
        <w:rPr>
          <w:rFonts w:ascii="Arial" w:cs="Arial" w:eastAsia="Arial" w:hAnsi="Arial"/>
          <w:sz w:val="15"/>
          <w:szCs w:val="15"/>
          <w:color w:val="auto"/>
        </w:rPr>
        <w:t>th</w:t>
      </w:r>
      <w:r>
        <w:rPr>
          <w:rFonts w:ascii="Arial" w:cs="Arial" w:eastAsia="Arial" w:hAnsi="Arial"/>
          <w:sz w:val="18"/>
          <w:szCs w:val="18"/>
          <w:color w:val="auto"/>
        </w:rPr>
        <w:t xml:space="preserve"> Floor, Cambridge, Massachusetts, and our telephone number is (617) 401-3041. Our website address is </w:t>
      </w:r>
      <w:r>
        <w:rPr>
          <w:rFonts w:ascii="Arial" w:cs="Arial" w:eastAsia="Arial" w:hAnsi="Arial"/>
          <w:sz w:val="18"/>
          <w:szCs w:val="18"/>
          <w:i w:val="1"/>
          <w:iCs w:val="1"/>
          <w:color w:val="auto"/>
        </w:rPr>
        <w:t>www.zafgen.com</w:t>
      </w:r>
      <w:r>
        <w:rPr>
          <w:rFonts w:ascii="Arial" w:cs="Arial" w:eastAsia="Arial" w:hAnsi="Arial"/>
          <w:sz w:val="18"/>
          <w:szCs w:val="18"/>
          <w:color w:val="auto"/>
        </w:rPr>
        <w:t>. We do not incorporate the information on or accessible through our website into this prospectus, and you should not consider any information on, or that can be accessed through, our website as part of this prospectus.</w:t>
      </w:r>
    </w:p>
    <w:p>
      <w:pPr>
        <w:spacing w:after="0" w:line="187" w:lineRule="exact"/>
        <w:rPr>
          <w:sz w:val="20"/>
          <w:szCs w:val="20"/>
          <w:color w:val="auto"/>
        </w:rPr>
      </w:pPr>
    </w:p>
    <w:p>
      <w:pPr>
        <w:ind w:left="200" w:right="80" w:firstLine="443"/>
        <w:spacing w:after="0" w:line="257" w:lineRule="auto"/>
        <w:rPr>
          <w:sz w:val="20"/>
          <w:szCs w:val="20"/>
          <w:color w:val="auto"/>
        </w:rPr>
      </w:pPr>
      <w:r>
        <w:rPr>
          <w:rFonts w:ascii="Arial" w:cs="Arial" w:eastAsia="Arial" w:hAnsi="Arial"/>
          <w:sz w:val="18"/>
          <w:szCs w:val="18"/>
          <w:color w:val="auto"/>
        </w:rPr>
        <w:t xml:space="preserve">We own various U.S. federal trademark registrations and applications and unregistered trademarks, including the following trademarks referred to in this prospectus: </w:t>
      </w:r>
      <w:r>
        <w:rPr>
          <w:rFonts w:ascii="Arial" w:cs="Arial" w:eastAsia="Arial" w:hAnsi="Arial"/>
          <w:sz w:val="18"/>
          <w:szCs w:val="18"/>
          <w:i w:val="1"/>
          <w:iCs w:val="1"/>
          <w:color w:val="auto"/>
        </w:rPr>
        <w:t>ZAFGEN</w:t>
      </w:r>
      <w:r>
        <w:rPr>
          <w:rFonts w:ascii="Arial" w:cs="Arial" w:eastAsia="Arial" w:hAnsi="Arial"/>
          <w:sz w:val="15"/>
          <w:szCs w:val="15"/>
          <w:color w:val="auto"/>
        </w:rPr>
        <w:t>®</w:t>
      </w:r>
      <w:r>
        <w:rPr>
          <w:rFonts w:ascii="Arial" w:cs="Arial" w:eastAsia="Arial" w:hAnsi="Arial"/>
          <w:sz w:val="18"/>
          <w:szCs w:val="18"/>
          <w:color w:val="auto"/>
        </w:rPr>
        <w:t xml:space="preserve"> and our corporate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61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22" w:lineRule="exact"/>
        <w:rPr>
          <w:sz w:val="20"/>
          <w:szCs w:val="20"/>
          <w:color w:val="auto"/>
        </w:rPr>
      </w:pPr>
    </w:p>
    <w:p>
      <w:pPr>
        <w:sectPr>
          <w:pgSz w:w="11900" w:h="16838" w:orient="portrait"/>
          <w:cols w:equalWidth="0" w:num="2">
            <w:col w:w="4400" w:space="720"/>
            <w:col w:w="612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22" w:lineRule="exact"/>
        <w:rPr>
          <w:sz w:val="20"/>
          <w:szCs w:val="20"/>
          <w:color w:val="auto"/>
        </w:rPr>
      </w:pPr>
    </w:p>
    <w:p>
      <w:pPr>
        <w:sectPr>
          <w:pgSz w:w="11900" w:h="16838" w:orient="portrait"/>
          <w:cols w:equalWidth="0" w:num="2">
            <w:col w:w="4400" w:space="720"/>
            <w:col w:w="612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granted the underwriters an option to purchase a maximum of additional shares of common stock from us. The underwriters can exercise this option at any time within 30 days from the date of this prospectus.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88" w:lineRule="auto"/>
        <w:rPr>
          <w:sz w:val="20"/>
          <w:szCs w:val="20"/>
          <w:color w:val="auto"/>
        </w:rPr>
      </w:pPr>
      <w:r>
        <w:rPr>
          <w:rFonts w:ascii="Arial" w:cs="Arial" w:eastAsia="Arial" w:hAnsi="Arial"/>
          <w:sz w:val="16"/>
          <w:szCs w:val="16"/>
          <w:color w:val="auto"/>
        </w:rPr>
        <w:t>We estimate that we will receive net proceeds from the sale of shares of our common stock in this offering of approximately $ million, or $ million if the underwriters fully exercise their option to purchase additional shares, assuming an initial public offering price of</w:t>
      </w:r>
    </w:p>
    <w:p>
      <w:pPr>
        <w:spacing w:after="0" w:line="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60" w:hanging="3"/>
        <w:spacing w:after="0" w:line="287" w:lineRule="auto"/>
        <w:tabs>
          <w:tab w:leader="none" w:pos="485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estimated underwriting discounts and commissions and estimated offering expenses payable by us. We intend to use the net proceeds from this offering to advance the clinical development of beloranib as a treatment for severe obesity in PWS patients and craniopharyngioma-associated obesity, to advance the clinical development of beloranib as a treatment for severe obesity in the general population, to continue the development of ZGN-839 and to fund new and ongoing research and development activities, working capital and other general corporate purposes. See “Use of Proceeds” for additional information.</w:t>
      </w:r>
    </w:p>
    <w:p>
      <w:pPr>
        <w:sectPr>
          <w:pgSz w:w="11900" w:h="16838" w:orient="portrait"/>
          <w:cols w:equalWidth="0" w:num="1">
            <w:col w:w="11240"/>
          </w:cols>
          <w:pgMar w:left="240" w:top="459" w:right="419" w:bottom="1440" w:gutter="0" w:footer="0" w:header="0"/>
          <w:type w:val="continuous"/>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read carefully “Risk Factors” beginning on page 12 and other information included in this prospectus for a discussion of factors that you should consider before deciding to invest in shares of our common stock.</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ZFGN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 4,580,669 shares of common stock outstanding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28, 2014 and excludes:</w:t>
      </w:r>
    </w:p>
    <w:p>
      <w:pPr>
        <w:spacing w:after="0" w:line="116" w:lineRule="exact"/>
        <w:rPr>
          <w:sz w:val="20"/>
          <w:szCs w:val="20"/>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9,503,975 shares of common stock issuable upon exercise of outstanding options as of February 28, 2014 at a weighted average exercise price of $0.47 per share;</w:t>
      </w:r>
    </w:p>
    <w:p>
      <w:pPr>
        <w:spacing w:after="0" w:line="75" w:lineRule="exact"/>
        <w:rPr>
          <w:rFonts w:ascii="Arial" w:cs="Arial" w:eastAsia="Arial" w:hAnsi="Arial"/>
          <w:sz w:val="18"/>
          <w:szCs w:val="18"/>
          <w:color w:val="auto"/>
        </w:rPr>
      </w:pPr>
    </w:p>
    <w:p>
      <w:pPr>
        <w:ind w:left="1060" w:right="3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1,056,257 shares of common stock reserved for future issuance under our Amended and Restated 2006 Stock Option Plan, or 2006 Stock Option Plan, as of February 28, 2014; and</w:t>
      </w:r>
    </w:p>
    <w:p>
      <w:pPr>
        <w:spacing w:after="0" w:line="75" w:lineRule="exact"/>
        <w:rPr>
          <w:rFonts w:ascii="Arial" w:cs="Arial" w:eastAsia="Arial" w:hAnsi="Arial"/>
          <w:sz w:val="18"/>
          <w:szCs w:val="18"/>
          <w:color w:val="auto"/>
        </w:rPr>
      </w:pPr>
    </w:p>
    <w:p>
      <w:pPr>
        <w:ind w:left="1060" w:hanging="323"/>
        <w:spacing w:after="0" w:line="277" w:lineRule="auto"/>
        <w:tabs>
          <w:tab w:leader="none" w:pos="200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2014 Stock Option and Incentive Plan, or 2014 Stock Option Plan, which will become effective upon the completion of this offering.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31" w:lineRule="exact"/>
        <w:rPr>
          <w:sz w:val="20"/>
          <w:szCs w:val="20"/>
          <w:color w:val="auto"/>
        </w:rPr>
      </w:pPr>
    </w:p>
    <w:p>
      <w:pPr>
        <w:ind w:left="1060" w:right="20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into an aggregate of 94,687,505 shares of our common stock upon the completion of this offering;</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53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153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31" w:lineRule="exact"/>
        <w:rPr>
          <w:sz w:val="20"/>
          <w:szCs w:val="20"/>
          <w:color w:val="auto"/>
        </w:rPr>
      </w:pPr>
    </w:p>
    <w:p>
      <w:pPr>
        <w:ind w:left="740"/>
        <w:spacing w:after="0"/>
        <w:tabs>
          <w:tab w:leader="none" w:pos="1040" w:val="left"/>
          <w:tab w:leader="none" w:pos="7620" w:val="left"/>
        </w:tabs>
        <w:rPr>
          <w:sz w:val="20"/>
          <w:szCs w:val="20"/>
          <w:color w:val="auto"/>
        </w:rPr>
      </w:pPr>
      <w:r>
        <w:rPr>
          <w:rFonts w:ascii="Arial" w:cs="Arial" w:eastAsia="Arial" w:hAnsi="Arial"/>
          <w:sz w:val="18"/>
          <w:szCs w:val="18"/>
          <w:color w:val="auto"/>
        </w:rPr>
        <w:t>•</w:t>
        <w:tab/>
        <w:t>no exercise by the underwriters of their option to purchase up to an additional</w:t>
      </w:r>
      <w:r>
        <w:rPr>
          <w:sz w:val="20"/>
          <w:szCs w:val="20"/>
          <w:color w:val="auto"/>
        </w:rPr>
        <w:tab/>
      </w:r>
      <w:r>
        <w:rPr>
          <w:rFonts w:ascii="Arial" w:cs="Arial" w:eastAsia="Arial" w:hAnsi="Arial"/>
          <w:sz w:val="16"/>
          <w:szCs w:val="16"/>
          <w:color w:val="auto"/>
        </w:rPr>
        <w:t>shares of our common stock in this offering;</w:t>
      </w:r>
    </w:p>
    <w:p>
      <w:pPr>
        <w:spacing w:after="0" w:line="131" w:lineRule="exact"/>
        <w:rPr>
          <w:sz w:val="20"/>
          <w:szCs w:val="20"/>
          <w:color w:val="auto"/>
        </w:rPr>
      </w:pPr>
    </w:p>
    <w:p>
      <w:pPr>
        <w:ind w:left="10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and our amended and restated by-laws, both of which we will file immediately prior to the completion of this offering; and</w:t>
      </w:r>
    </w:p>
    <w:p>
      <w:pPr>
        <w:spacing w:after="0" w:line="76" w:lineRule="exact"/>
        <w:rPr>
          <w:sz w:val="20"/>
          <w:szCs w:val="20"/>
          <w:color w:val="auto"/>
        </w:rPr>
      </w:pPr>
    </w:p>
    <w:p>
      <w:pPr>
        <w:ind w:left="740"/>
        <w:spacing w:after="0"/>
        <w:tabs>
          <w:tab w:leader="none" w:pos="1040" w:val="left"/>
          <w:tab w:leader="none" w:pos="1520" w:val="left"/>
          <w:tab w:leader="none" w:pos="22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reverse stock split of our common stock to be effected prior to the completion of this offering.</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43"/>
        <w:spacing w:after="0" w:line="273"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2011, 2012 and 2013 and for the cumulative period from inception (November 22, 2005) through December 31, 2013 and the consolidated balance sheet data as of December 31, 2013 from our audited consolidated financial statements included elsewhere in this prospectus. Our historical results are not necessarily indicative of results that should be expected in the future.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77"/>
        </w:trPr>
        <w:tc>
          <w:tcPr>
            <w:tcW w:w="2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600" w:type="dxa"/>
            <w:vAlign w:val="bottom"/>
            <w:gridSpan w:val="4"/>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(November 22, 2005)</w:t>
            </w:r>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6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7"/>
          </w:tcPr>
          <w:p>
            <w:pPr>
              <w:jc w:val="right"/>
              <w:ind w:right="1"/>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60" w:type="dxa"/>
            <w:vAlign w:val="bottom"/>
            <w:gridSpan w:val="2"/>
          </w:tcPr>
          <w:p>
            <w:pPr>
              <w:jc w:val="right"/>
              <w:ind w:right="424"/>
              <w:spacing w:after="0"/>
              <w:rPr>
                <w:sz w:val="20"/>
                <w:szCs w:val="20"/>
                <w:color w:val="auto"/>
              </w:rPr>
            </w:pPr>
            <w:r>
              <w:rPr>
                <w:rFonts w:ascii="Arial" w:cs="Arial" w:eastAsia="Arial" w:hAnsi="Arial"/>
                <w:sz w:val="18"/>
                <w:szCs w:val="18"/>
                <w:color w:val="auto"/>
                <w:w w:val="98"/>
              </w:rPr>
              <w:t>11,403</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11,544</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9,561</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2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13,154</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13,791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13,780</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9"/>
              </w:rPr>
              <w:t>(13,154)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(13,791)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(13,780)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vMerge w:val="restart"/>
          </w:tcPr>
          <w:p>
            <w:pPr>
              <w:ind w:left="72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6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9"/>
              </w:rPr>
              <w:t>(13,157)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(13,880)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(14,027)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00" w:type="dxa"/>
            <w:vAlign w:val="bottom"/>
          </w:tcPr>
          <w:p>
            <w:pPr>
              <w:spacing w:after="0"/>
              <w:rPr>
                <w:sz w:val="18"/>
                <w:szCs w:val="18"/>
                <w:color w:val="auto"/>
              </w:rPr>
            </w:pPr>
          </w:p>
        </w:tc>
        <w:tc>
          <w:tcPr>
            <w:tcW w:w="1060" w:type="dxa"/>
            <w:vAlign w:val="bottom"/>
            <w:gridSpan w:val="2"/>
          </w:tcPr>
          <w:p>
            <w:pPr>
              <w:jc w:val="right"/>
              <w:ind w:right="36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9"/>
              </w:rPr>
              <w:t>(13,210)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500" w:type="dxa"/>
            <w:vAlign w:val="bottom"/>
          </w:tcPr>
          <w:p>
            <w:pPr>
              <w:jc w:val="right"/>
              <w:ind w:right="364"/>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weighted average common shares outstanding, basic and diluted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84,190</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6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420" w:type="dxa"/>
            <w:vAlign w:val="bottom"/>
            <w:gridSpan w:val="2"/>
          </w:tcPr>
          <w:p>
            <w:pPr>
              <w:jc w:val="right"/>
              <w:ind w:right="5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71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4171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As of December 31, 2013</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20" w:type="dxa"/>
            <w:vAlign w:val="bottom"/>
          </w:tcPr>
          <w:p>
            <w:pPr>
              <w:spacing w:after="0"/>
              <w:rPr>
                <w:sz w:val="10"/>
                <w:szCs w:val="10"/>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Actual</w:t>
            </w:r>
          </w:p>
        </w:tc>
        <w:tc>
          <w:tcPr>
            <w:tcW w:w="180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(3)</w:t>
            </w:r>
          </w:p>
        </w:tc>
        <w:tc>
          <w:tcPr>
            <w:tcW w:w="100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(4)</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w w:val="96"/>
              </w:rPr>
              <w:t>$ 35,517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35,517</w:t>
            </w:r>
          </w:p>
        </w:tc>
        <w:tc>
          <w:tcPr>
            <w:tcW w:w="1000" w:type="dxa"/>
            <w:vAlign w:val="bottom"/>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34,443</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34,443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38,138</w:t>
            </w:r>
          </w:p>
        </w:tc>
        <w:tc>
          <w:tcPr>
            <w:tcW w:w="480" w:type="dxa"/>
            <w:vAlign w:val="bottom"/>
          </w:tcPr>
          <w:p>
            <w:pPr>
              <w:spacing w:after="0"/>
              <w:rPr>
                <w:sz w:val="18"/>
                <w:szCs w:val="18"/>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38,138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103,797</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(68,574)</w:t>
            </w:r>
          </w:p>
        </w:tc>
        <w:tc>
          <w:tcPr>
            <w:tcW w:w="480" w:type="dxa"/>
            <w:vAlign w:val="bottom"/>
          </w:tcPr>
          <w:p>
            <w:pPr>
              <w:spacing w:after="0"/>
              <w:rPr>
                <w:sz w:val="20"/>
                <w:szCs w:val="20"/>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35,223</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500" w:hanging="423"/>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620" w:right="80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pro forma net loss per share attributable to common stockholders.</w:t>
      </w:r>
    </w:p>
    <w:p>
      <w:pPr>
        <w:ind w:left="620" w:right="2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 forma balance sheet data give effect to the automatic conversion of all outstanding shares of our redeemable convertible preferred stock into an aggregate of 94,483,404 shares of our common stock upon the completion of this offering.</w:t>
      </w:r>
    </w:p>
    <w:p>
      <w:pPr>
        <w:ind w:left="620" w:hanging="423"/>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 forma as adjusted balance sheet data give effect to the pro forma balance sheet data adjustments described in footnote (3) above as well as the</w:t>
      </w:r>
    </w:p>
    <w:p>
      <w:pPr>
        <w:spacing w:after="0" w:line="32" w:lineRule="exact"/>
        <w:rPr>
          <w:sz w:val="20"/>
          <w:szCs w:val="20"/>
          <w:color w:val="auto"/>
        </w:rPr>
      </w:pPr>
    </w:p>
    <w:p>
      <w:pPr>
        <w:ind w:left="620" w:right="240"/>
        <w:spacing w:after="0" w:line="265" w:lineRule="auto"/>
        <w:rPr>
          <w:sz w:val="20"/>
          <w:szCs w:val="20"/>
          <w:color w:val="auto"/>
        </w:rPr>
      </w:pPr>
      <w:r>
        <w:rPr>
          <w:rFonts w:ascii="Arial" w:cs="Arial" w:eastAsia="Arial" w:hAnsi="Arial"/>
          <w:sz w:val="17"/>
          <w:szCs w:val="17"/>
          <w:color w:val="auto"/>
        </w:rPr>
        <w:t>sale by us of shares of our common stock in this offering at an assumed initial public offering price of $ per share, the midpoint of the price range set forth on the cover page of this prospectus, after deducting estimated underwriting discounts and commissions and estimated</w:t>
      </w:r>
    </w:p>
    <w:p>
      <w:pPr>
        <w:ind w:left="620" w:right="320"/>
        <w:spacing w:after="0" w:line="281" w:lineRule="auto"/>
        <w:rPr>
          <w:sz w:val="20"/>
          <w:szCs w:val="20"/>
          <w:color w:val="auto"/>
        </w:rPr>
      </w:pPr>
      <w:r>
        <w:rPr>
          <w:rFonts w:ascii="Arial" w:cs="Arial" w:eastAsia="Arial" w:hAnsi="Arial"/>
          <w:sz w:val="16"/>
          <w:szCs w:val="16"/>
          <w:color w:val="auto"/>
        </w:rPr>
        <w:t>offering expenses payable by us. A $1.00 increase (decrease) in the assumed initial public offering price of $ per share, the midpoint of the price range set forth on the cover page of this prospectus, would increase (decrease) the pro forma as adjusted amount of each of cash and cash</w:t>
      </w:r>
    </w:p>
    <w:p>
      <w:pPr>
        <w:spacing w:after="0" w:line="1" w:lineRule="exact"/>
        <w:rPr>
          <w:sz w:val="20"/>
          <w:szCs w:val="20"/>
          <w:color w:val="auto"/>
        </w:rPr>
      </w:pPr>
    </w:p>
    <w:p>
      <w:pPr>
        <w:ind w:left="620" w:right="100"/>
        <w:spacing w:after="0" w:line="281" w:lineRule="auto"/>
        <w:rPr>
          <w:sz w:val="20"/>
          <w:szCs w:val="20"/>
          <w:color w:val="auto"/>
        </w:rPr>
      </w:pPr>
      <w:r>
        <w:rPr>
          <w:rFonts w:ascii="Arial" w:cs="Arial" w:eastAsia="Arial" w:hAnsi="Arial"/>
          <w:sz w:val="16"/>
          <w:szCs w:val="16"/>
          <w:color w:val="auto"/>
        </w:rPr>
        <w:t>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w:t>
      </w:r>
    </w:p>
    <w:p>
      <w:pPr>
        <w:spacing w:after="0" w:line="1" w:lineRule="exact"/>
        <w:rPr>
          <w:sz w:val="20"/>
          <w:szCs w:val="20"/>
          <w:color w:val="auto"/>
        </w:rPr>
      </w:pPr>
    </w:p>
    <w:p>
      <w:pPr>
        <w:ind w:left="620" w:right="20"/>
        <w:spacing w:after="0" w:line="281" w:lineRule="auto"/>
        <w:rPr>
          <w:sz w:val="20"/>
          <w:szCs w:val="20"/>
          <w:color w:val="auto"/>
        </w:rPr>
      </w:pPr>
      <w:r>
        <w:rPr>
          <w:rFonts w:ascii="Arial" w:cs="Arial" w:eastAsia="Arial" w:hAnsi="Arial"/>
          <w:sz w:val="16"/>
          <w:szCs w:val="16"/>
          <w:color w:val="auto"/>
        </w:rPr>
        <w:t>offering expenses payable by us. An increase (decrease) of shares in the number of shares offered by us, as set forth on the cover page of this prospectus, would increase (decrease) the pro forma as adjusted amount of each of cash and cash equivalents, working capital, total assets and total stockholders’ equity by $ million, assuming the assumed initial public offering price remains the same and after deducting estimated underwriting discounts and commissions and estimated offering expenses payable by us. The pro forma as adjusted data above is illustrative only and will be adjusted based on the actual initial public offering price and other terms of our initial public offering determined at pricing.</w:t>
      </w:r>
    </w:p>
    <w:p>
      <w:pPr>
        <w:spacing w:after="0" w:line="3" w:lineRule="exact"/>
        <w:rPr>
          <w:sz w:val="20"/>
          <w:szCs w:val="20"/>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almost entirely on the success of one product candidate, beloranib, which is still in Phase 2 clinical development. We cannot be certain that we will be able to obtain regulatory approval for, or successfully commercialize, beloranib.</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We currently have only one product candidate, beloranib, in clinical development, and our business depends almost entirely on its successful clinical development, regulatory approval and commercialization. We currently have no drug products for sale and may never be able to develop marketable drug products. Beloranib, which is currently in Phase 2 clinical development as a treatment for severe obesity in Prader-Willi Syndrome, or PWS, craniopharyngioma-associated obesity, and severe obesity in the general population, will require substantial additional clinical development, testing and regulatory approval before we are permitted to commence its commercialization. Our other product candidates, including ZGN-839, are still in pre-clinical development stages.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pre-clinical testing and clinical trials that the product candidate is safe and effective for use in each target indication. This process can take many years and may include post-marketing studies and surveillance, which will require the expenditure of substantial resources beyond the proceeds we raise in this offering. Of the large number of drugs in development in the United States, only a small percentage will successfully complete the U.S. Food and Drug Administration, or FDA, regulatory approval process and is commercialized. Accordingly, even if we are able to obtain the requisite financing to continue to fund our development and clinical trials, we cannot assure you that beloranib or any other of our product candidates will be successfully developed or commercialized.</w:t>
      </w:r>
    </w:p>
    <w:p>
      <w:pPr>
        <w:spacing w:after="0" w:line="1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not permitted to market beloranib in the United States until we receive approval of a New Drug Application, or an NDA, from the FDA, or in any foreign countries until we receive the requisite approval from such countries. We recently completed two Phase 2a clinical trials evaluating beloranib’s ability to reduce body weight and to improve hyperphagia, one in patients with PWS and one in severely obese patients. We expect that the FDA will require us to complete at least one pivotal trial in order to submit an NDA for beloranib as a treatment for PWS patients. However, the FDA may require that we conduct additional pivotal trials or additional Phase 2 trials to prepare for Phase 3 clinical development of beloranib as a treatment for PWS patients. We expect that the FDA will also require us to complete a Phase 2b clinical trial and at least two Phase 3 clinical trials to submit an NDA for beloranib as a treatment for severe obesity. Pursuant to the FDA’s February 2007 draft guidance to industry on the development of weight management drugs, in order to reasonably estimate the safety of a weight-management drug, Phase 3 clinical trials must randomize approximately 3,000 subjects to active doses of the product and 1,500 subjects to placebo for one year of treatment. We have not yet commenced any of these clinical trials. We plan to initiate a Phase 3 clinical trial of beloranib in PWS patients in 2014 after finalizing the trial design based on conversations with the FDA. To initiate a Phase 3 clinical trial for beloranib in PWS patients, we will also need to complete certain pre-clinical animal studies, obtain sufficient supply of finished drug product, which is currently being manufactured by a third party, and validate the instrument used to measure subjective endpoints in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trial, such as hunger. We plan to initiate a Phase 2a clinical trial of beloranib as a treatment for craniopharyngioma-associated obesity in the first half of 2014. We intend to initiate a Phase 2b clinical trial of beloranib as a treatment for severe obesity in the general population in the second half of 2014.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methionine aminopeptidase 2, or MetAP2, inhibitor into early development for severe obesity is anticipated to be made on the basis of results obtained from our planned Phase 3 clinical trial of beloranib in PWS patients and discussions with regulatory authorities. Accordingly, obtaining approval of an NDA is a complex, lengthy, expensive and uncertain process, and the FDA may delay, limit or deny approval of beloranib for many reasons, including, among others:</w:t>
      </w:r>
    </w:p>
    <w:p>
      <w:pPr>
        <w:spacing w:after="0" w:line="84" w:lineRule="exact"/>
        <w:rPr>
          <w:sz w:val="20"/>
          <w:szCs w:val="20"/>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beloranib is safe and effective in treating severe obesity in PWS, craniopharyngioma-associated obesity or severe obesity in the general population, to the satisfaction of the FDA;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 for example, a cardiovascular outcomes trial in severe obesity;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not approve the formulation, labeling or specifications of beloranib;</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find the data from pre-clinical studies and clinical trials insufficient to demonstrate that beloranib’s clinical and other benefits outweigh its safety risks;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13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beloranib. Moreover, because our business is almost entirely dependent upon this one product candidate, any such setback in our pursuit of regulatory approval would have a material adverse effect on our business and prospects.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Positive results from early clinical trials of beloranib are not necessarily predictive of the results of later clinical trials of beloranib. If we cannot replicate the positive results from our earlier clinical trials of beloranib in our later clinical trials, we may be unable to successfully develop, obtain regulatory approval for and commercialize beloranib. It may further be necessary to validate different or additional instruments for measuring subjective endpoints, and to show that beloranib has clinically meaningful impact on those endpoints in order to obtain regulatory approval.</w:t>
      </w:r>
    </w:p>
    <w:p>
      <w:pPr>
        <w:spacing w:after="0" w:line="46"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Positive results from our Phase 1 and Phase 2a clinical trials of beloranib may not necessarily be predictive of the results from required later clinical trials. Similarly, even if we are able to complete our planned Phase 2b or Phase 3 clinical trials of beloranib according to our current development timeline, the positive results from our Phase 1 and Phase 2a clinical trials of beloranib may not be replicated in our Phase 2b or Phase 3 clinical trial results. We believe that the design of our Phase 3 clinical trial of beloranib as a treatment for severe obesity in PWS patients will differ in several respects from our recently completed Phase 2a clinical trial for PWS. For example, PWS patients will not be living in closely-controlled PWS-specific group homes, will not receive an increased daily calorie allowance and will be treated for greater than four weeks. In later-stage clinical trials, we will likely be subject to more rigorous statistical analyses. For example, the results of our Phase 2a clinical trial for severe obesity were based on a per protocol analysis of patients who completed the 12-week dosing in the clinical trial. We expect later-stage clinical trials to be evaluated based on an intent-to-treat analysis that includes all patients enrolled in the clinical trial, which may lead to different results. In addition, prior to commencing our Phase 3 clinical trial of beloranib as a treatment for severe obesity in PWS patients, we will need to validate the questionnaire for measuring subjective endpoints such as hunger, hyperphagia or quality of life to the FDA’s satisfaction. This can be a lengthy process.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If we fail to produce positive results in our planned Phase 2b or Phase 3 clinical trials of beloranib, the development timeline and regulatory approval and commercialization prospects for our leading product candidate, and, correspondingly, our business and financial prospects, would be materially adversely affected.</w:t>
      </w:r>
    </w:p>
    <w:p>
      <w:pPr>
        <w:spacing w:after="0" w:line="2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beloranib could result in increased costs to us and could delay, prevent or limit our ability to generate revenue and continue our business.</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plan to commence a Phase 3 clinical trial of beloranib as a treatment for severe obesity in PWS patients, a Phase 2b clinical trial of beloranib as a treatment for severe obesity in the general population and a Phase 2a clinical trial of beloranib as a treatment for craniopharyngioma-associated obesity. Successful completion of such clinical trials is a prerequisite to submitting an NDA to the FDA and, consequently, the ultimate approval and commercial marketing of beloranib. We do not know whether any of these Phase 2a, Phase 2b or Phase 3 clinical trials will begin or be completed on schedule, if at all, as the commencement and completion of clinical trials can be delayed or prevented for a number of reasons, including, among others:</w:t>
      </w:r>
    </w:p>
    <w:p>
      <w:pPr>
        <w:spacing w:after="0" w:line="64" w:lineRule="exact"/>
        <w:rPr>
          <w:sz w:val="20"/>
          <w:szCs w:val="20"/>
          <w:color w:val="auto"/>
        </w:rPr>
      </w:pPr>
    </w:p>
    <w:p>
      <w:pPr>
        <w:ind w:left="900" w:right="5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Phase 2a, Phase 2b or Phase 3 clinical trials or any other clinical trials we may initiate, or may place a clinical trial on hold;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filing or receiving approvals or additional INDs that may be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results from our ongoing pre-clinical studies;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right="9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 or sites;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size and nature of the patient population, the proximity of patients to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completed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validating any self-reported measures of hunger and related endpoints utilized in a clinical trial;</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weight loss therapies that raise safety or efficacy concerns;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pre-clinical carcinogenicity studies, adverse side effects or lack of effectiveness;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clinical trials of beloranib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Changes in regulatory requirements, FDA guidance or unanticipated events during our clinical trials may force us to amend clinical trial protocols or the FDA may impose additional clinical trial requirements. For instance, the FDA issued draft guidance on developing products for weight management in February 2007, but this guidance may be revised in the near future. In March 2012, the FDA’s Endrocrinologic and Metabolic Drugs Advisory Committee met to discuss possible changes to how the FDA evaluates the cardiovascular safety of weight-management drugs. Amendments to our clinical trial protocols would require resubmission to the FDA and IRBs for review and approval, which may adversely impact the cost, timing or successful completion of a clinical trial. If we experience delays completing, or if we terminate, any of our clinical trials, or if we are required to conduct additional clinical trials, the commercial prospects for beloranib may be harmed and our ability to generate product revenue will be delayed.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future clinical trials for beloranib. If these third parties do not successfully carry out their contractual duties or meet expected deadlines, we may not be able to obtain regulatory approval for or commercialize beloranib and our business could be substantially harmed.</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enter into agreements with third-party CROs to provide monitors for and to manage data for our ongoing clinical trials. We rely heavily on these parties for execution of clinical trials for beloranib and control only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studies is conducted in accordance with the applicable protocol, legal, regulatory and scientific standards, and our reliance on CROs does not relieve us of our regulatory responsibilities. We and our CROs are required to comply with current Good Clinical Practices, or cGCPs, which are regulations and guidelines enforced by the FDA, the Competent Authorities of the Member States of the European Economic Area and comparable foreign regulatory authorities for any products in clinical development. The FDA enforces these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produced under current Good Manufacturing Practices, or cGMPs, regulations and will require a large number of test subjects.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we do design our clinical trials for beloranib, CROs conduct all of the clinical trials. As a result, many important aspects of our drug development programs are outside of our direct control. In addition, the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CROs do not perform clinical trials in a satisfactory manner, breach their obligations to us or fail to comply with regulatory requirements, the development and commercialization of beloranib may be delayed or our development program materially and irreversibly harmed. We cannot control the amount and timing of resources these CROs devote to our program or beloranib. If we are unable to rely on clinical data collected by our CROs,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reasons, any such clinical trials may be extended, delayed or terminated, and we may not be able to obtain regulatory approval for or successfully commercialize beloranib. As a result, our financial results and the commercial prospects for beloranib in the subject indication would be harmed, our costs could increase and our ability to generate revenue could be delayed.</w:t>
      </w:r>
    </w:p>
    <w:p>
      <w:pPr>
        <w:spacing w:after="0" w:line="28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The numbers of patients suffering from PWS and craniopharyngioma are small and have not been established with precision. If the actual number of patients with either of these conditions is smaller than we estimate or if any approval that we obtain is based on a narrower definition of these patient populations, our revenue and ability to achieve profitability will be adversely affected, possibly materially.</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no current patient registry or other method of establishing with precision the actual number of patients with PWS or craniopharyngioma in any geography. Published population studies estimate that the prevalence of PWS in the United States and in the European Union ranges from 1 in 8,000 to 1 in 50,000. Published population studies estimate that the incidence of craniopharyngioma is 0.13 to 0.17 per 100,000 per year, or approximately 400 to 500 cases per year in the United States and 650 to 850 cases per year in the European Union. The total addressable market opportunity for beloranib for the treatment of patients with PWS or craniopharyngioma-associated obesity will ultimately depend upon, among other things, the diagnosis criteria included in the final label for beloranib, if approved for sale for these indications, acceptance by the medical community and patient access, product pricing and reimbursement. If the actual number of PWS or craniopharyngioma patients is lower than we believe or if any approval that we obtain is based on a narrower definition of these patient populations, then the potential markets for beloranib for these indications will be smaller than we anticipate.</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we currently plan to seek approval of beloranib initially for the treatment adult patients with PWS and craniopharyngioma-associated obesity. We are currently engaged in discussions with the FDA regarding the age ranges for adult patients, adolescent patients, or pediatric patients. Approximately 50% of PWS patients are 13 years of age or older. To support approval for younger patients, we will need to conduct pediatric clinical trials of beloranib for the treatment of pediatric and adolescent patients with PWS or craniopharyngioma-associated obesity, but we do not yet have plans regarding when these trials will commence. As a result, any FDA approval would likely, at least initially, be limited to use for treating adult patients with PWS or craniopharyngioma-associated obesity. This would limit our initial product revenue and may make it more difficult for us to achieve or maintain profitability.</w:t>
      </w:r>
    </w:p>
    <w:p>
      <w:pPr>
        <w:spacing w:after="0" w:line="27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rely completely on third-party suppliers to manufacture our clinical drug supplies for beloranib, and we intend to rely on third parties to produce commercial supplies of beloranib and pre-clinical, clinical and commercial supplies of any future product candidate.</w:t>
      </w:r>
    </w:p>
    <w:p>
      <w:pPr>
        <w:spacing w:after="0" w:line="3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do not currently have, nor do we plan to acquire, the infrastructure or capability to internally manufacture our clinical drug supply of beloranib, or any future product candidates, for use in the conduct of our pre-clinical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be approved by the FDA and other comparable foreign regulatory agencies pursuant to inspections that would be conducted after we submit our NDA or relevant foreign regulatory submission to the applicable regulatory agency.</w:t>
      </w:r>
    </w:p>
    <w:p>
      <w:pPr>
        <w:spacing w:after="0" w:line="1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currently in the process of manufacturing finished drug product for use in our upcoming clinical trials. Drug substance is currently in hand and sterile drug substance is expected to be available in the first quarter of 2014. Finished drug product, diluent and placebo are expected to be available in the second quarter of 2014. Aside from our planned Phase 2a clinical trial in patients with craniopharyngioma-associated obesity, we will not be able to commence any additional clinical trials without the production of additional finished drug product. The manufacturing process is under active development and these projections could change based on delays encountered with manufacturing activities, equipment scheduling and material lead times. Any such delays in the manufacturing of finished drug product could delay our planned clinical trials of beloranib, which could delay, prevent or limit our ability to generate revenue and continue our business.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do not have long-term supply agreements in place with our contractors, and each batch of beloranib is individually contracted under a quality and supply agreement. If we engage new contractors, such contractors must be approved by the FDA and other applicable foreign regulatory agencies. We plan to continue to rely upon contract manufacturers and, potentially, collaboration partners to manufacture commercial quantities of beloranib, if approved. Our current scale of manufacturing is adequate to support all of our needs for clinical trial supplies and launch for orphan markets. For peak usage in orphan markets and for indications with larger populations of affected patients, we will need to identify contract manufacturers or partners to produce beloranib on a larger scale.</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beloranib, we may not be able to generate any revenue.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do not currently have an infrastructure for the sales, marketing and distribution of pharmaceutical products. In order to market beloranib,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beloranib in the United States, we may never receive regulatory approval to market beloranib outside of the United States.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beloranib.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obtaining such approval would impair our ability to market beloranib in such foreign markets. Any such impairment would reduce the size of our potential market, which could have a material adverse impact on our business, results of operations and prospects.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beloranib, it may not achieve broad market acceptance, which would limit the revenue that we generate from its sales.</w:t>
      </w:r>
    </w:p>
    <w:p>
      <w:pPr>
        <w:spacing w:after="0" w:line="6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commercial success of beloranib, if approved by the FDA or other applicable regulatory authorities, will depend upon the awareness and acceptance of beloranib among the medical community, including physicians, patients and healthcare payors. Market acceptance of beloranib, if approved, will depend on a number of factors, including, among others:</w:t>
      </w:r>
    </w:p>
    <w:p>
      <w:pPr>
        <w:spacing w:after="0" w:line="87" w:lineRule="exact"/>
        <w:rPr>
          <w:sz w:val="20"/>
          <w:szCs w:val="20"/>
          <w:color w:val="auto"/>
        </w:rPr>
      </w:pPr>
    </w:p>
    <w:p>
      <w:pPr>
        <w:jc w:val="both"/>
        <w:ind w:left="900" w:right="60" w:hanging="325"/>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beloranib’s demonstrated ability to treat severe obesity in PWS patients, craniopharyngioma-associated obsesity, or severe obesity in the general population and, if required by any applicable regulatory authority in connection with the approval for these indications, to provide patients with incremental health benefits, as compared with other available weight loss therapies, devices or surgeries;</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 of beloranib, including as compared with other treatments for severely obese patients;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beloranib, such as nausea, vomiting, headaches and difficulty sleeping or falling asleep;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beloranib by the FDA;</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obesity therapies already approved or expected to be commercially launched in the near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increase awareness of beloranib through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If beloranib is approved but does not achieve an adequate level of acceptance by patients, physicians and payors, we may not generate sufficient revenue from beloranib to become or remain profitable. Before granting reimbursement approval, healthcare payors may require us to demonstrate that, in addition to treating obesity in patients, beloranib also provides incremental health benefits to patients. Our efforts to educate the medical community and third-party payors about the benefits of beloranib may require significant resources and may never be successful.</w:t>
      </w:r>
    </w:p>
    <w:p>
      <w:pPr>
        <w:spacing w:after="0" w:line="2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In our recently completed Phase 2a clinical trials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evaluating beloranib’s ability to reduce body weight and to improve hyperphagia, the main adverse events, or AEs, including those leading to drop-outs, in patients dosed with beloranib, have been sleep disturbances, principally manifested as delayed onset of sleep, nausea and vomiting.</w:t>
      </w:r>
    </w:p>
    <w:p>
      <w:pPr>
        <w:spacing w:after="0" w:line="14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safety data we have disclosed to date represents our interpretation of the data at the time of disclosure and it is subject to our further review and analysis. There have been no serious adverse events, or SAEs, attributed to beloranib in our clinical trials. However, SAEs that are not characterized by clinical investigators as possibly related to beloranib or SAEs that occur in small numbers may not be disclosed to the public until such time the various documents submitted to the FDA as part of the approval process are made public. We are unable to determine if the subsequent disclosure of SAEs will have an adverse effect on our stock price. In addition, our interpretation of the safety data from our clinical trials is contingent upon the review and ultimate approval of the FDA. The FDA may not agree with our methods of analysis or our interpretation of the results.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if beloranib receives marketing approval and we or others identify undesirable side effects caused by the product (or any other similar product)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the approval, a number of potentially significant negative consequences could result, including:</w:t>
      </w:r>
    </w:p>
    <w:p>
      <w:pPr>
        <w:spacing w:after="0" w:line="1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decide to remove the products from the marketplace;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beloranib, we may still face future development and regulatory difficulties.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Even if we receive marketing approval for beloranib, regulatory authorities may still impose significant restrictions on beloranib’s indicated uses or marketing or impose ongoing requirements for potentially costly post-approval studies. Beloranib will also be subject to ongoing FDA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Manufacturers of drug products and their facilities are subject to continual review and periodic inspections by the FDA and other regulatory authorities for compliance with cGMPs and other regulations. If we or a regulatory agency discover problems with beloranib, such as adverse events of unanticipated severity or frequency, or problems with the facility where beloranib is manufactured, a regulatory agency may impose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restrictions on beloranib, the manufacturer or us, including requiring withdrawal of beloranib from the market or suspension of manufacturing. If we, beloranib or the manufacturing facilities for beloranib fail to comply with applicable regulatory requirements, a regulatory agency may, among other things:</w:t>
      </w:r>
    </w:p>
    <w:p>
      <w:pPr>
        <w:spacing w:after="0" w:line="2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beloranib.</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beloranib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beloranib. If we are not able to compete effectively against our current and future competitors, our business will not grow and our financial condition and operations will suffer.</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There are no current pharmacological treatments for regulating hunger and hyperphagia-related behaviors of PWS patients and craniopharyngioma patients, and bariatric surgery is contraindicated in PWS patients and not frequently employed in craniopharyngioma patients. We are aware of a clinical trial planned by Ferring Pharmaceuticals, Inc. to evaluate the use of oxytocin, a brain peptide hormone hypothesized to increase trust, reduce anxiety and improve behavior in patients with PWS. We also are aware of a clinical trial being planned by Essentialis, Inc. to evaluate the safety and tolerability of controlled-release diazoxide in PWS patients and to explore the effects of diazoxide on hyperphagia-related behaviors and energy expenditure. In addition, any of our competitors may develop a drug to treat PWS patients at any time. We are not aware of any clinical trials of drugs specifically targeting patients with craniopharyngioma-associated obesity, or in severe obesity in general.</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potential competitors in the severe obesity market include bariatric surgery providers, and, in addition, other potential approaches which utilize various implantable devices or surgical tools are in development, by companies such as Allergan, Inc., Boston Scientific Corporation, Covidien Ltd., EnteroMedics, Inc., GI Dynamics, Inc., Johnson &amp; Johnson and Medtronic, Inc. In addition, beloranib will compete with orlistat, phentermine/topiramate and lorcaserin, three recently approved and currently marketed pharmaceutical products in the United States for the treatment of obesity, and several older agents, indicated for short-term administration, including phentermine, phendimetrazine, benzphetamine and diethylpropion. Orlistat is marketed in the United States by Roche Group under the brand name Xenical and over-the-counter in the United States at half the prescribed dose by GlaxoSmithKline under the brand name alli. In June 2013, Arena Pharmaceuticals, Inc. launched its lorcaserin product, which is marketed in the United States under the name Belviq and in September 2012, Vivus, Inc. commercially launched its combination product, phentermine/topiramate, under the trade name Qsymia. Despite the large market opportunity for anti-obesity agents, there are relatively few competitive products in late-stage clinical development. In December 2013, Orexigen Therapeutics, Inc., which is developing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Contrave, resubmitted its NDA based on a recently completed cardiovascular outcomes trial. Other companies pursuing pharmaceutical treatments for obesity include Neurosearch A/S, Novo Nordisk A/S and Takeda Pharmaceutical Company Limited.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future profitability will depend, in part, on our ability to commercialize beloranib in foreign markets for which we intend to rely on collaboration with third parties. If we commercialize beloranib in foreign markets, we would be subject to additional risks and uncertainties, including:</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beloranib in foreign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Foreign sales of beloranib could also be adversely affected by the imposition of governmental controls, political and economic instability, trade restrictions and changes in tariffs.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62"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beloranib, if approved. Our future arrangements with third-party payors will expose us to broadly applicable fraud and abuse and other healthcare laws and regulations that may constrain the business or financial arrangements and relationships through which we market, sell and distribute beloranib, if we obtain marketing approval. Restrictions under applicable federal and state healthcare laws and regulations include the following:</w:t>
      </w:r>
    </w:p>
    <w:p>
      <w:pPr>
        <w:spacing w:after="0" w:line="77" w:lineRule="exact"/>
        <w:rPr>
          <w:sz w:val="20"/>
          <w:szCs w:val="20"/>
          <w:color w:val="auto"/>
        </w:rPr>
      </w:pPr>
    </w:p>
    <w:p>
      <w:pPr>
        <w:jc w:val="both"/>
        <w:ind w:left="900" w:right="2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52" w:lineRule="exact"/>
        <w:rPr>
          <w:rFonts w:ascii="Arial" w:cs="Arial" w:eastAsia="Arial" w:hAnsi="Arial"/>
          <w:sz w:val="16"/>
          <w:szCs w:val="16"/>
          <w:color w:val="auto"/>
        </w:rPr>
      </w:pPr>
    </w:p>
    <w:p>
      <w:pPr>
        <w:ind w:left="900" w:right="520" w:hanging="325"/>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6" w:lineRule="exact"/>
        <w:rPr>
          <w:sz w:val="20"/>
          <w:szCs w:val="20"/>
          <w:color w:val="auto"/>
        </w:rPr>
      </w:pPr>
    </w:p>
    <w:p>
      <w:pPr>
        <w:ind w:left="900" w:right="62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160" w:hanging="325"/>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such as beloranib, if approved. In particular, a product may not be promoted for uses that are not approved by the FDA or such other regulatory agencies as reflected in the product’s approved labeling. If we receive marketing approval for beloranib as a treatment for severe obesity in PWS patients or craniopharyngioma-associated obesity, physicians may nevertheless prescribe beloranib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beloranib, if approved, we could become subject to significant liability, which would materially adversely affect our business and financial condition.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beloranib.</w:t>
      </w:r>
    </w:p>
    <w:p>
      <w:pPr>
        <w:spacing w:after="0" w:line="11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Market acceptance and sales of beloranib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Government authorities and these third-party payors have attempted to control costs by limiting coverage and the amount of reimbursement for particular medications. We cannot be sure that reimbursement will be available for beloranib and, if reimbursement is available, the level of such reimbursement. Reimbursement may impact the demand for, or the price of, beloranib. If reimbursement is not available or is available only at limited levels, we may not be able to successfully commercialize beloranib.</w:t>
      </w:r>
    </w:p>
    <w:p>
      <w:pPr>
        <w:spacing w:after="0" w:line="18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beloranib with other available therapies. If reimbursement for beloranib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though we have received orphan drug designation for PWS, we may not receive orphan drug exclusivity for beloranib.</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part of our business strategy, we have obtained orphan drug designation in the United States for beloranib for the treatment of patients with PWS.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To obtain orphan drug exclusivity for a drug that shares the same active chemical entity as an already orphan designated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 development programs for candidates other than beloranib may require substantial financial resources and may ultimately be unsuccessful.</w:t>
      </w:r>
    </w:p>
    <w:p>
      <w:pPr>
        <w:spacing w:after="0" w:line="15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to the development of beloranib, we may pursue development of our other early-stage development programs. None of our other potential product candidates has commenced any clinical trials, and there are a number of FDA requirements that we must satisfy before we can commence clinical trials. Satisfaction of these requirements will entail substantial time, effort and financial resources. We may never satisfy these requirements. Any time, effort and financial resources we expend on our other early-stage development programs may adversely affect our ability to continue development and commercialization of beloranib, and we may never commence clinical trials of such development programs despite expending significant resources in pursuit of their development. If we do commence clinical trials of our other potential product candidates, such product candidates may never be approved by the FDA.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121"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are unable to adequately protect our proprietary technology or maintain issued patents which are sufficient to protect beloranib, others could compete against us more directly, which would have a material adverse impact on our business, results of operations, financial condition and prospects.</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Our owned and licensed patents and patent applications relate to beloranib compositions of matter, formulations, polymorphs, methods of treating obesity using dosing regimens of beloranib, and methods of treating hypothalamic obesity. The issued U.S. and European patents generally directed to beloranib compositions of matter are exclusively licensed and will each expire in 2019. We own an issued U.S. patent relating to beloranib polymorph compositions of matter that will expire in 2031 and an issued U.S. patent to methods of treating obesity that will expire in 2029. We own pending patent applications in Europe to beloranib polymorph composition of matter and methods of treating obesity that we expect to expire, once issued, in 2031.</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of February 28, 2014, we own two issued U.S. patents, eight pending U.S. patent applications and foreign counterpart applications, and one Patent Cooperation Treaty, or PCT, application that will allow us to seek corresponding protection worldwide, all of which relate to beloranib. We have a license to two U.S. issued patents, one with corresponding issued foreign counterpart patents, that also relate to beloranib. We also co-own one patent application relating to methods of using beloranib with an option to exclusively license the co-owner rights.</w:t>
      </w:r>
    </w:p>
    <w:p>
      <w:pPr>
        <w:spacing w:after="0" w:line="17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of February 28, 2014, we own seven pending U.S. patent applications with pending foreign counterpart applications and five PCT patent applications, all of which relate to our MetAP2 inhibitor program. Of these, one pending U.S. patent application with pending foreign counterpart patent applications and one PCT patent application relate to our early-stage product candidate ZGN-839.</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February 28, 2014, we own two pending U.S patent applications with pending foreign counterpart patent applications, one pending PCT patent application and two U.S. provisional patent applications that relate to our second-generation MetAP2 inhibitor program.</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We cannot provide any assurances that any of our patents have, or that any of our pending patent applications that mature into issued patents will include, claims with a scope sufficient to protect beloranib or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 </w:t>
      </w:r>
      <w:r>
        <w:rPr>
          <w:rFonts w:ascii="Arial" w:cs="Arial" w:eastAsia="Arial" w:hAnsi="Arial"/>
          <w:sz w:val="17"/>
          <w:szCs w:val="17"/>
          <w:color w:val="auto"/>
        </w:rPr>
        <w:t>reexamination, or</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proceedings, supplemental examination and challenges in district court. Patents may be subjected to opposition,</w:t>
      </w:r>
      <w:r>
        <w:rPr>
          <w:rFonts w:ascii="Arial" w:cs="Arial" w:eastAsia="Arial" w:hAnsi="Arial"/>
          <w:sz w:val="17"/>
          <w:szCs w:val="17"/>
          <w:i w:val="1"/>
          <w:iCs w:val="1"/>
          <w:color w:val="auto"/>
        </w:rPr>
        <w:t xml:space="preserve"> </w:t>
      </w:r>
      <w:r>
        <w:rPr>
          <w:rFonts w:ascii="Arial" w:cs="Arial" w:eastAsia="Arial" w:hAnsi="Arial"/>
          <w:sz w:val="17"/>
          <w:szCs w:val="17"/>
          <w:color w:val="auto"/>
        </w:rPr>
        <w:t>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beloranib.</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6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beloranib are invalidated or found unenforceable, our financial position and results of operations would be materially and adversely impacted. In addition, if a court found that valid, enforceable patents held by third parties covered beloranib, our financial position and results of operations would also be materially and adversely impacted.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900" w:right="2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beloranib or any other products or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be able to successfully commercialize beloranib, if approved, before our relevant patents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beloranib, if approved.</w:t>
      </w:r>
    </w:p>
    <w:p>
      <w:pPr>
        <w:spacing w:after="0" w:line="62"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beloranib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beloranib.</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beloranib;</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beloranib to avoid infringing the intellectual property rights of third parties, which may not be possible and, even if possible, could be costly and time-consuming.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dependent on licensed intellectual property. If we were to lose our rights to licensed intellectual property, we may not be able to continue developing or commercializing beloranib or our other product candidates, if approved.</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have licensed our rights to beloranib from Chong Kun Dang Pharmaceutical Corp. of South Korea, or CKD. Our license with CKD imposes various obligations on us, including a requirement to use commercially reasonable efforts to develop beloranib and provides CKD the right to terminate the license thereunder in the event of a material breach. For example, CKD may allege that we have breached our license agreement and may accordingly seek to terminate our license with them. Termination of our license from CKD could result in our loss of the right to use the licensed intellectual property, which could materially adversely affect our ability to develop and commercialize beloranib, if approved, as well as harm our competitive business position and our business prospects. We also have an exclusive license with Children’s Medical Center Corporation, or Children’s, pursuant to which we exclusively licensed certain patient rights relating to decreasing the growth of fat tissue from Children’s on a worldwide basis.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enter into additional license(s) to third-party intellectual property that are necessary or useful to our business. Future licensor(s) may also allege that we have breached our license agreement and may accordingly seek to terminate our license with them. In addition,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beloranib and failure to secure such registrations could adversely affect our business.</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not yet registered trademarks for a commercial trade name for beloranib. Any future trademark applications may be rejected during trademark registration proceedings. Although we would be given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beloranib, our business may be materially harmed.</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Depending upon the timing, duration and specifics of FDA marketing approval of beloranib, one or more of the U.S. patents we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United States has recently enacted and is currently implementing the America Invents Act of 2011,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beloranib, which would materially adversely affect our commercial development efforts.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February 28, 2014, we had ten full-time employees and two part-time employee, and 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beloranib.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beloranib, if approved, and compete effectively will depend, in part, on our ability to effectively manage the future development and expansion of our company.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our President and Chief Executive Officer, and to attract, retain and motivate qualified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highly dependent on Dr. Thomas E. Hughes, our President and Chief Executive Officer. We have entered into an employment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Dr. Hughes, but he may terminate his employment with us at any time. Although we do not have any reason to believe that we will lose the services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Hughes in the foreseeable future, the loss of his services might impede the achievement of our research, development and commercialization objectives.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also do not have any key-man life insurance on Dr. Hughes. We rely on consultants and advisors, including scientific and clinical advisors, to assist us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formulating our development and commercialization strategy. Our consultants and advisors may be employed by employers other than us and may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commitments under consulting or advisory contracts with other entities that may limit their availability to us and may not be subject to our standard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compete agreements. Recruiting and retaining qualified scientific personnel and sales and marketing personnel will also be critical to our success. We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able to attract and retain these personnel on acceptable terms given the competition among numerous pharmaceutical and biotechnology companies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similar personnel. We also experience competition for the hiring of scientific personnel from universities and research institutions. Failure to succeed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may make it more challenging to recruit and retain qualified scientific personnel.</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use of beloranib in clinical trials and the sale of beloranib, if approved, exposes us to the risk of product liability claims. Product liability claims might be brought against us by patients, healthcare providers or others selling or otherwise coming into contact with beloranib.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83"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beloranib or any future product candidates following marketing approval, if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successfully commercialize beloranib or any future product candidates, if approved.</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maintain product liability insurance coverage for our clinical trials with a $5.0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beloranib,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must maintain effective internal control over financial reporting in order to accurately and timely report our results of operations and financial condition. In addition, once we are a public company, the Sarbanes-Oxley Act of 2002, or the Sarbanes-Oxley Act, will require, among other things, that we assess the effectiveness of our disclosure controls and procedures quarterly and the effectiveness of our internal control over financial reporting at the end of each fiscal year. We anticipate being first required to issue management’s annual report on internal control over financial reporting, pursuant to Section 404 of the Sarbanes-Oxley Act, in connection with issuing our consolidated financial statements as of and for the year ending December 31, 2015.</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course of preparing for this offering, we determined that material adjustments to various accounts were necessary, which required us to restate our consolidated financial statements as of and for the year ended December 31, 2011 and for the period from inception (November 22, 2005) through December 31, 2011 that had been previously audited by another independent audit firm. These adjustments leading to a restatement of those consolidated financial statements led us to conclude that we had material weaknesses in internal control over financial reporting as of December 31, 2011 as follows: (i) we did not maintain effective controls over accounting policies and application of GAAP—specifically, we did not maintain and communicate sufficient accounting policies, which limited our ability to make accounting decisions and to detect and correct accounting errors; and (ii) we did not maintain a sufficient complement of resources with an appropriate level of accounting knowledge, experience and training commensurate with our structure and financial reporting requirements.</w:t>
      </w:r>
    </w:p>
    <w:p>
      <w:pPr>
        <w:spacing w:after="0" w:line="19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During 2013, we executed on various remediation efforts, including ensuring we had sufficient resources with the appropriate technical accounting expertise and putting in place formalized policies and procedures to ensure complete and accurate consolidated financial statements are prepared. In that year, we hired additional senior accounting and finance employees, including a Chief Financial Officer with significant biotechnology industry experience, and engaged external consultants with significant financial and accounting technical experience. These additional resources have enabled us to (i) implement standardized financial reporting policies and procedures and a more structured close process and (ii) implement financial data reviews that involve separate preparation and review of the monthly, quarterly and annual financial data, reconciliations, analyses and information. Based on our assessment of the additional resources and our enhanced controls and procedures, our management concluded that, as of December 31, 2013, we had remediated the material weaknesses in our internal control over financial reporting described above.</w:t>
      </w:r>
    </w:p>
    <w:p>
      <w:pPr>
        <w:spacing w:after="0" w:line="17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will be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In order to satisfy our obligations as a public company, we will need to hire additional qualified accounting and financial personnel with appropriate public company experience.</w:t>
      </w:r>
    </w:p>
    <w:p>
      <w:pPr>
        <w:spacing w:after="0" w:line="62"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As a newly public company, we will need to establish and maintain effective disclosure and financial controls and make changes in our corporate governance practices. We will need to hire additional accounting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financial personnel with appropriate public company experience and technical accounting knowledge, and it may be difficult to recruit and maintain such personnel. Even if we are able to hire appropriate personnel, our existing operating expenses and operations will be impacted by the direct costs of their employment and the indirect consequences related to the diversion of management resources from product development efforts.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of December 31, 2013, we had federal and state net operating loss carryforwards of $10.5 million and $8.2 million, respectively. Our federal net operating loss carryforwards begin to expire in 2026, and our state net operating loss carryforwards begin to expire in 2014. As of December 31, 2013, we also had federal and state research and development tax credit carryforwards of $4.7 million and $1.3 million, respectively, which begin to expire in 2026 and 2021, respectively. Under Section 382 of the Internal Revenue Code of 1986, as amended, or the Code, changes in our ownership may limit the amount of our net operating loss carryforwards and research and development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research and development tax credit carryforwards before they expire. The completion of this offering, together with private placements and other transactions that have occurred since our inception, may trigger such an ownership change pursuant to Section 382. Any such limitation, whether as the result of this offering, prior private placements, sales of our common stock by our existing stockholders or additional sales of our common stock by us after this offering,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beloranib development programs.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beloranib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beloranib could be delayed.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weight loss platform. Although beloranib is currently in 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We are a development stage biopharmaceutical company with a limited operating history and have not generated any revenue from product sales. We have incurred significant operating losses since our inception, and anticipate that we will incur continued losses for the foreseeable future.</w:t>
      </w:r>
    </w:p>
    <w:p>
      <w:pPr>
        <w:spacing w:after="0" w:line="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are a development stage company with a limited operating history on which to base your investment decision. Biopharmaceutical product development is a highly speculative undertaking and involves a substantial degree of risk. We were incorporated in November 2005. Our operations to date have been limited primarily to organizing and staffing our company and conducting research and development activities for beloranib and ZGN-839. We have never generated any revenue from product sales. We have not obtained regulatory approvals for any of our product candidates.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Since our inception, we have focused substantially all of our efforts and financial resources on developing beloranib, which is currently in Phase 2 clinical development. We have funded our operations to date through proceeds from sales of redeemable convertible preferred stock and convertible debt and have incurred losses in each year since our inception. Our net losses were $13.2 million for the year ended December 31, 2011, $13.9 million for the year ended December 31, 2012 and $14.0 million for the year ended December 31, 2013. As of December 31, 2013, our cash and cash equivalents were $35.5 million. As of December 31, 2013, we had a deficit accumulated during the development stage of $68.9 million. Substantially all of our operating losses resulted from costs incurred in connection with our development program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beloranib and development of ZGN-839 and of any other product candidates we may choose to pursue. In addition, if we obtain marketing approval for beloranib, we will incur significant sales, marketing and outsourced manufacturing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expenses.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lead product candidate, beloranib, and we do not know when, or if, we will generate any revenue. We do not expect to generate significant revenue unless and until we obtain marketing approval of, and begin to sell, beloranib. Our ability to generate revenue depends on a number of factors, including, but not limited to, our ability to:</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later-stage clinical trials that meet their clinical endpoints;</w:t>
      </w:r>
    </w:p>
    <w:p>
      <w:pPr>
        <w:spacing w:after="0" w:line="13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beloranib as a treatment for severe obesity in PWS patients, craniopharyngioma-associated obesity and severely obese patients in the general population;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beloranib, if approved, by developing a sales force or entering into collaborations with third parties;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beloranib in the medical community and with third-party payors.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as we prepare to commercialize beloranib. Even if we initiate and successfully complete our pivotal clinical trials of beloranib, and beloranib is approved for commercial sale, and despite expending these costs, beloranib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29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are currently advancing our beloranib product candidate through clinical development. Developing small molecule products is expensive, and we expect our research and development expenses to increase substantially in connection with our ongoing activities, particularly as we advance our product candidate in clinical trials. Depending on the status of regulatory approval or, if approved, commercialization of beloranib, as well as the progress we make in selling beloranib, we may require additional capital to fund operating needs thereafter. We may also need to raise additional funds sooner if we choose to pursue additional indications and/or geographies for beloranib or otherwise expand more rapidly than we presently anticipate.</w:t>
      </w:r>
    </w:p>
    <w:p>
      <w:pPr>
        <w:spacing w:after="0" w:line="17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December 31, 2013, our cash and cash equivalents were $35.5 million. We estimate that the net proceeds from this offering will be approximately $ million, assuming an initial public offering price of $ per share, the midpoint of the price range set forth on the cover page of this prospectus,</w:t>
      </w:r>
    </w:p>
    <w:p>
      <w:pPr>
        <w:spacing w:after="0"/>
        <w:rPr>
          <w:sz w:val="20"/>
          <w:szCs w:val="20"/>
          <w:color w:val="auto"/>
        </w:rPr>
      </w:pPr>
      <w:r>
        <w:rPr>
          <w:rFonts w:ascii="Arial" w:cs="Arial" w:eastAsia="Arial" w:hAnsi="Arial"/>
          <w:sz w:val="16"/>
          <w:szCs w:val="16"/>
          <w:color w:val="auto"/>
        </w:rPr>
        <w:t>after deducting estimated underwriting discounts and commissions and offering expenses payable by us. We expect that the net proceeds from this offering</w:t>
      </w:r>
    </w:p>
    <w:p>
      <w:pPr>
        <w:spacing w:after="0" w:line="3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and our existing cash and cash equivalents will be sufficient to fund our current operations for at least the next months.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additional challenges. Even if we believe we have sufficient funds for our current or future operating plans, we may seek additional capital if market conditions are favorable or if we have specific strategic considerations.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beloranib, our intellectual property, future revenue streams or grant licenses on terms that are not favorable to 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will suffer immediate and substantial dilution in the net tangible book value of the common stock you purchase in this offering. Assuming an</w:t>
      </w:r>
    </w:p>
    <w:p>
      <w:pPr>
        <w:spacing w:after="0" w:line="3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initial public offering price of $ per share, the midpoint of the price range set forth on the cover page of this prospectus, purchasers of common stock in this offering will experience immediate dilution of $ per share in net tangible book value of the common stock. In addition, investors purchasing common stock in this offering will contribute % of the total amount invested by stockholders since inception but will only own % of the shares of</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common stock outstanding. In the past, we issued options to acquire common stock at prices significantly below the initial public offering price. To the extent these outstanding options are ultimately exercised, investors purchasing common stock in this offering will sustain further dilution. See “Dilution” for a more detailed description of the dilution to new investors in the offering.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Following this offering, the market price for our common stock is likely to be volatile, in part because our common stock has not been previously traded publicly. In addition, the market price of our common stock may fluctuate significantly in response to a number of factors, most of which we cannot control, including, among others:</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plans for, progress of or results from pre-clinical studies and clinical trials of beloranib;</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FDA to approve beloranib;</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or failure of other weight loss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beloranib, if approved, to achieve commercial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3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has been no public market for shares of our common stock. Although we anticipate our common stock being approved for listing on NASDAQ Global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2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16"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Immediately following the completion of this offering, and disregarding any shares of common stock that they purchase in this offering, the existing holdings of our executive officers, directors, principal stockholders and their affiliates, including investment funds affiliated with Atlas Ventures, or Atlas, investment funds affiliated with Third Rock Ventures, or TRV, investment funds affiliated with Alta Partners, or Alta, and entities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affiliated with Fidelity Investment, or Fidelity, will represent beneficial ownership, in the aggregate, of approximately % of our outstanding common stock, assuming no exercise of the underwriters’ option to acquire additional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7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See “Principal Stockholders” in this prospectus for more information regarding the ownership of our outstanding common stock by our executive officers, directors, principal stockholders and their affiliates.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4"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Upon completion of this offering, there will be shares of our common stock outstanding. Of these, shares are being sold in this offering (or shares, if the underwriters exercise their option in full) and will be freely tradable immediately after this offering (except for shares purchased by</w:t>
      </w:r>
    </w:p>
    <w:p>
      <w:pPr>
        <w:spacing w:after="0" w:line="271" w:lineRule="auto"/>
        <w:rPr>
          <w:sz w:val="20"/>
          <w:szCs w:val="20"/>
          <w:color w:val="auto"/>
        </w:rPr>
      </w:pPr>
      <w:r>
        <w:rPr>
          <w:rFonts w:ascii="Arial" w:cs="Arial" w:eastAsia="Arial" w:hAnsi="Arial"/>
          <w:sz w:val="17"/>
          <w:szCs w:val="17"/>
          <w:color w:val="auto"/>
        </w:rPr>
        <w:t>affiliates) and the remaining shares may be sold upon expiration of lock-up agreements six months after the date of this offering (subject in some cases to volume limitations). A large portion of these shares are held by a small number of persons and investment funds. Moreover, after this offering, Atlas, TRV, Alta, Fidelity and certain of our other stockholders will have rights, subject to some conditions, to require us to file registration statements covering the shares of our common stock they currently hold, or to include these shares in registration statements that we may file for ourselves or other stockholders. See “Description of Capital Stock—Registration Rights” in this prospectus for more information regarding these registration rights.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intend to register all the shares of common stock that we may issue under our equity incentive plans. Effective upon the effectiveness of the</w:t>
      </w:r>
    </w:p>
    <w:p>
      <w:pPr>
        <w:spacing w:after="0" w:line="4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registration statement of which this prospectus is a part, an aggregate of shares of our common stock will be reserved for future issuance under these plans. Once we register these shares, which we plan to do shortly after the completion of this offering, they can be freely sold in the public market upon issuance, subject to the lock-up agreements referred to above. If a large number of these shares are sold in the public market, the sales could reduce the trading price of our common stock. See “Shares Eligible for Future Sale” for a more detailed description of sales that may occur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converted basis, outstanding as of February 28, 2014, upon the completion of this offering, we will have outstanding a total of</w:t>
      </w:r>
      <w:r>
        <w:rPr>
          <w:sz w:val="20"/>
          <w:szCs w:val="20"/>
          <w:color w:val="auto"/>
        </w:rPr>
        <w:tab/>
      </w:r>
      <w:r>
        <w:rPr>
          <w:rFonts w:ascii="Arial" w:cs="Arial" w:eastAsia="Arial" w:hAnsi="Arial"/>
          <w:sz w:val="16"/>
          <w:szCs w:val="16"/>
          <w:color w:val="auto"/>
        </w:rPr>
        <w:t>shares of common</w:t>
      </w:r>
    </w:p>
    <w:p>
      <w:pPr>
        <w:spacing w:after="0" w:line="23" w:lineRule="exact"/>
        <w:rPr>
          <w:sz w:val="20"/>
          <w:szCs w:val="20"/>
          <w:color w:val="auto"/>
        </w:rPr>
      </w:pPr>
    </w:p>
    <w:p>
      <w:pPr>
        <w:ind w:left="540" w:right="440" w:hanging="539"/>
        <w:spacing w:after="0" w:line="281" w:lineRule="auto"/>
        <w:rPr>
          <w:sz w:val="20"/>
          <w:szCs w:val="20"/>
          <w:color w:val="auto"/>
        </w:rPr>
      </w:pPr>
      <w:r>
        <w:rPr>
          <w:rFonts w:ascii="Arial" w:cs="Arial" w:eastAsia="Arial" w:hAnsi="Arial"/>
          <w:sz w:val="16"/>
          <w:szCs w:val="16"/>
          <w:color w:val="auto"/>
        </w:rPr>
        <w:t>stock, assuming no exercise of the underwriters’ option to purchase additional shares. Of these shares, as of the date of this prospectus, approximately shares of our common stock, plus any shares sold upon exercise of the underwriters’ option to purchase additional shares, will be freely tradable,</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lock-up agreements pertaining to this offering will expire 180 days from the date of this prospectus. After the lock-up agreements expire, based</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upon the number of shares of common stock, on an as-converted basis, outstanding as of February 28, 2014, up to an additional shares of common stock will be eligible for sale in the public market, of which shares are held by directors, executive officers and other affiliates and will be subject to Rule 144 under the Securities Act of 1933, as amended, or the Securities Act.</w:t>
      </w:r>
    </w:p>
    <w:p>
      <w:pPr>
        <w:spacing w:after="0" w:line="190"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In addition, as of February 28, 2014,</w:t>
      </w:r>
      <w:r>
        <w:rPr>
          <w:sz w:val="20"/>
          <w:szCs w:val="20"/>
          <w:color w:val="auto"/>
        </w:rPr>
        <w:tab/>
      </w:r>
      <w:r>
        <w:rPr>
          <w:rFonts w:ascii="Arial" w:cs="Arial" w:eastAsia="Arial" w:hAnsi="Arial"/>
          <w:sz w:val="16"/>
          <w:szCs w:val="16"/>
          <w:color w:val="auto"/>
        </w:rPr>
        <w:t>shares of common stock that are either subject to outstanding options or reserved for future issuance under</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After this offering, the holders of approximately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our common stock.</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how we use the proceeds of this offering. We may not use these proceeds effectively, which could affect our results of operations and cause our stock price to decline.</w:t>
      </w:r>
    </w:p>
    <w:p>
      <w:pPr>
        <w:spacing w:after="0" w:line="6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advance the clinical development of beloranib as a treatment for severe obesity in PWS patients and craniopharyngioma-associated obesity, to advance the clinical development of beloranib as a treatment for severe obesity in the general population, to continue the development of ZGN-839 and to fund new and ongoing research and development activities, working capital and other general corporate purposes, which may include funding for the hiring of additional personnel, capital expenditures and the costs of operating as a public company.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we choose not to comply with the auditor attestation requirements of Section 404 of the Sarbanes-Oxley Act, our auditors will not be required to attest to the effectiveness of our internal control over financial reporting. As a result, investors may become less comfortable with the effectiveness of our internal controls and the risk that material weaknesses or other deficiencies in our internal controls go undetected may increase. If we choose to provide reduced disclosures in our periodic reports and proxy statements while we are an emerging growth company, investors would have access to less information and analysis about our executive compensation, which may make it difficult for investors to evaluate our executive compensation practices.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w:t>
      </w:r>
      <w:r>
        <w:rPr>
          <w:rFonts w:ascii="Arial" w:cs="Arial" w:eastAsia="Arial" w:hAnsi="Arial"/>
          <w:sz w:val="13"/>
          <w:szCs w:val="13"/>
          <w:color w:val="auto"/>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200" w:lineRule="exact"/>
        <w:rPr>
          <w:sz w:val="20"/>
          <w:szCs w:val="20"/>
          <w:color w:val="auto"/>
        </w:rPr>
      </w:pPr>
    </w:p>
    <w:p>
      <w:pPr>
        <w:spacing w:after="0" w:line="29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our market or our competitors. We do not currently have and may never obtain research coverage by securities and industry analysts. If no or few securities or industry analysts cover our company, the trading price and volume of our stock would likely be negatively impacted. If we obtain securities or industry analyst coverage and if one or more of the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including the sections entitled “Prospectus Summary,” “Risk Factors,” “Management’s Discussion and Analysis of Financial Condition and Results of Operations” and “Business,” contains forward-looking statements that are based on our management’s belief and assumptions and on information currently available to our management. 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73"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develop and commercialize beloranib as a treatment for severe obesity that is a co-morbidity of an underlying rare condition such as PWS or craniopharyngioma, or severe obesity in the general population, or at all;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advance beloranib into pivotal trials, and successfully complete such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our third-party manufacturers and CROs;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the potential markets for beloranib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and degree of market acceptance of beloranib for any indication once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44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8"/>
        </w:trPr>
        <w:tc>
          <w:tcPr>
            <w:tcW w:w="922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our net proceeds from the sale of shares of our common stock in this offering will be approximately $</w:t>
            </w:r>
          </w:p>
        </w:tc>
        <w:tc>
          <w:tcPr>
            <w:tcW w:w="130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880" w:type="dxa"/>
            <w:vAlign w:val="bottom"/>
          </w:tcPr>
          <w:p>
            <w:pPr>
              <w:ind w:left="200"/>
              <w:spacing w:after="0"/>
              <w:rPr>
                <w:sz w:val="20"/>
                <w:szCs w:val="20"/>
                <w:color w:val="auto"/>
              </w:rPr>
            </w:pPr>
            <w:r>
              <w:rPr>
                <w:rFonts w:ascii="Arial" w:cs="Arial" w:eastAsia="Arial" w:hAnsi="Arial"/>
                <w:sz w:val="18"/>
                <w:szCs w:val="18"/>
                <w:color w:val="auto"/>
              </w:rPr>
              <w:t>million if</w:t>
            </w: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w w:val="93"/>
              </w:rPr>
              <w:t>the underwriters exercise in full their option to purchase additional shares, assuming an initial public offering price of $</w:t>
            </w: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per share, the midpoint of the</w:t>
            </w:r>
          </w:p>
        </w:tc>
      </w:tr>
    </w:tbl>
    <w:p>
      <w:pPr>
        <w:ind w:right="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range set forth on the cover page of this prospectus, and after deducting estimated underwriting discounts and commissions and estimated offering expenses payable by us.</w:t>
      </w:r>
    </w:p>
    <w:p>
      <w:pPr>
        <w:spacing w:after="0" w:line="18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this prospectus, would increase (decrease) the net proceeds to us from this offering by $ million, assuming the number of shares offered by us, as set</w:t>
      </w:r>
    </w:p>
    <w:p>
      <w:pPr>
        <w:spacing w:after="0"/>
        <w:rPr>
          <w:sz w:val="20"/>
          <w:szCs w:val="20"/>
          <w:color w:val="auto"/>
        </w:rPr>
      </w:pPr>
      <w:r>
        <w:rPr>
          <w:rFonts w:ascii="Arial" w:cs="Arial" w:eastAsia="Arial" w:hAnsi="Arial"/>
          <w:sz w:val="16"/>
          <w:szCs w:val="16"/>
          <w:color w:val="auto"/>
        </w:rPr>
        <w:t>forth on the cover page of this prospectus, remains the same and after deducting estimated underwriting discounts and commissions and estimated offering</w:t>
      </w:r>
    </w:p>
    <w:p>
      <w:pPr>
        <w:spacing w:after="0" w:line="38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expenses payable by us. An increase (decrease) of shares in the number of shares offered by us, as set forth on the cover page of this prospectus, would increase (decrease) our net proceeds from this offering by $ million, assuming no change in the assumed initial public offering price per share and after</w:t>
      </w:r>
    </w:p>
    <w:p>
      <w:pPr>
        <w:spacing w:after="0"/>
        <w:rPr>
          <w:sz w:val="20"/>
          <w:szCs w:val="20"/>
          <w:color w:val="auto"/>
        </w:rPr>
      </w:pPr>
      <w:r>
        <w:rPr>
          <w:rFonts w:ascii="Arial" w:cs="Arial" w:eastAsia="Arial" w:hAnsi="Arial"/>
          <w:sz w:val="18"/>
          <w:szCs w:val="18"/>
          <w:color w:val="auto"/>
        </w:rPr>
        <w:t>deducting estimated underwriting discounts and commissions and estimated offering expenses payable by 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net proceeds from this offering, plus, if needed, cash on hand, as follows:</w:t>
      </w:r>
    </w:p>
    <w:p>
      <w:pPr>
        <w:spacing w:after="0" w:line="131" w:lineRule="exact"/>
        <w:rPr>
          <w:sz w:val="20"/>
          <w:szCs w:val="20"/>
          <w:color w:val="auto"/>
        </w:rPr>
      </w:pPr>
    </w:p>
    <w:p>
      <w:pPr>
        <w:ind w:left="900" w:right="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 million to advance the clinical development of beloranib as a treatment for severe obesity in PWS patients through Phase 3 clinical trials;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 million to advance the clinical development of beloranib as a treatment for craniopharyngioma-associated obesity through a Phase 2a clinical trial and the initiation of pivotal clinical trials;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 million to initiate IND-enabling studies and clinical development of ZGN-839 through the initiation of Phase 1 clinical development;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initiate a Phase 2b clinical trial of beloranib as a treatment for severe obesity in the general population;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remaining proceeds, if any, to fund new and ongoing research and development activities, working capital and other general corporate purposes.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46"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2013:</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giving effect to the automatic conversion of all outstanding shares of our redeemable convertible preferred stock into an aggregate of 94,483,404 shares of our common stock upon the completion of this offering; and</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 pro forma as adjusted basis, giving effect to the pro forma adjustment listed above as well as the sale by us of shares of our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80" w:firstLine="456"/>
        <w:spacing w:after="0" w:line="279"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this table in conjunction with the sections of this prospectus entitled “Selected Consolidated Financial Data” and “Management’s Discussion and Analysis of Financial Condition and Results of Operations” and with our consolidated financial statements and related notes included elsewhere in this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Pro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Forma</w:t>
            </w: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gridSpan w:val="9"/>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share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35,517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35,517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4"/>
            <w:vMerge w:val="restart"/>
          </w:tcPr>
          <w:p>
            <w:pPr>
              <w:spacing w:after="0"/>
              <w:rPr>
                <w:sz w:val="20"/>
                <w:szCs w:val="20"/>
                <w:color w:val="auto"/>
              </w:rPr>
            </w:pPr>
            <w:r>
              <w:rPr>
                <w:rFonts w:ascii="Arial" w:cs="Arial" w:eastAsia="Arial" w:hAnsi="Arial"/>
                <w:sz w:val="18"/>
                <w:szCs w:val="18"/>
                <w:color w:val="auto"/>
                <w:w w:val="92"/>
              </w:rPr>
              <w:t>Redeemable convertible preferred stock (Series A, B, C, D and E),</w:t>
            </w: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gridSpan w:val="4"/>
            <w:vMerge w:val="continue"/>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tcPr>
          <w:p>
            <w:pPr>
              <w:ind w:left="160"/>
              <w:spacing w:after="0"/>
              <w:rPr>
                <w:sz w:val="20"/>
                <w:szCs w:val="20"/>
                <w:color w:val="auto"/>
              </w:rPr>
            </w:pPr>
            <w:r>
              <w:rPr>
                <w:rFonts w:ascii="Arial" w:cs="Arial" w:eastAsia="Arial" w:hAnsi="Arial"/>
                <w:sz w:val="18"/>
                <w:szCs w:val="18"/>
                <w:color w:val="auto"/>
                <w:w w:val="95"/>
              </w:rPr>
              <w:t>$0.001 par value; 99,292,610 shares authorized, 94,483,404 issued and outstanding, actual; no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4"/>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103,797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8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Preferred stock, $0.001 par value; no shares authorized, issued or outstanding, actual;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4"/>
          </w:tcPr>
          <w:p>
            <w:pPr>
              <w:ind w:left="340"/>
              <w:spacing w:after="0"/>
              <w:rPr>
                <w:sz w:val="20"/>
                <w:szCs w:val="20"/>
                <w:color w:val="auto"/>
              </w:rPr>
            </w:pPr>
            <w:r>
              <w:rPr>
                <w:rFonts w:ascii="Arial" w:cs="Arial" w:eastAsia="Arial" w:hAnsi="Arial"/>
                <w:sz w:val="18"/>
                <w:szCs w:val="18"/>
                <w:color w:val="auto"/>
              </w:rPr>
              <w:t>shares authorized and no shares issued or outstanding, pro forma and pro forma as adjusted</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115,000,000 shares authorized,</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4"/>
              </w:rPr>
              <w:t>4,580,669 shares issued and outstanding, actual; 115,000,000 shares authorized, 99,064,073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issued and outstanding, pro forma;</w:t>
            </w:r>
          </w:p>
        </w:tc>
        <w:tc>
          <w:tcPr>
            <w:tcW w:w="1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authorized,</w:t>
            </w:r>
          </w:p>
        </w:tc>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and outstanding, pro</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forma as adjusted</w:t>
            </w:r>
          </w:p>
        </w:tc>
        <w:tc>
          <w:tcPr>
            <w:tcW w:w="188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104,031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(68,907)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(68,907)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340"/>
              <w:spacing w:after="0"/>
              <w:rPr>
                <w:sz w:val="20"/>
                <w:szCs w:val="20"/>
                <w:color w:val="auto"/>
              </w:rPr>
            </w:pPr>
            <w:r>
              <w:rPr>
                <w:rFonts w:ascii="Arial" w:cs="Arial" w:eastAsia="Arial" w:hAnsi="Arial"/>
                <w:sz w:val="18"/>
                <w:szCs w:val="18"/>
                <w:color w:val="auto"/>
              </w:rPr>
              <w:t>Total stockholders’ equity (deficit)</w:t>
            </w:r>
          </w:p>
        </w:tc>
        <w:tc>
          <w:tcPr>
            <w:tcW w:w="1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(68,574)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87"/>
              </w:rPr>
              <w:t>35,223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35,223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35,223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9"/>
        <w:spacing w:after="0" w:line="288"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the midpoint of the price range set forth on the cover page of this prospectus, would increase (decrease) each of cash and cash equivalents, total stockholders’ equity and total capitalization on a pro forma as adjusted basis by $ million, assuming the number of shares offered by us, as set forth on the cover page of this prospectus, remains the same and</w:t>
      </w:r>
    </w:p>
    <w:p>
      <w:pPr>
        <w:ind w:left="820" w:right="840" w:hanging="359"/>
        <w:spacing w:after="0" w:line="261" w:lineRule="auto"/>
        <w:rPr>
          <w:sz w:val="20"/>
          <w:szCs w:val="20"/>
          <w:color w:val="auto"/>
        </w:rPr>
      </w:pPr>
      <w:r>
        <w:rPr>
          <w:rFonts w:ascii="Arial" w:cs="Arial" w:eastAsia="Arial" w:hAnsi="Arial"/>
          <w:sz w:val="18"/>
          <w:szCs w:val="18"/>
          <w:color w:val="auto"/>
        </w:rPr>
        <w:t>after deducting estimated underwriting discounts and commissions and estimated offering expenses payable by us. An increase (decrease) of shares in the number of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0180" w:val="left"/>
        </w:tabs>
        <w:rPr>
          <w:sz w:val="20"/>
          <w:szCs w:val="20"/>
          <w:color w:val="auto"/>
        </w:rPr>
      </w:pPr>
      <w:r>
        <w:rPr>
          <w:rFonts w:ascii="Arial" w:cs="Arial" w:eastAsia="Arial" w:hAnsi="Arial"/>
          <w:sz w:val="17"/>
          <w:szCs w:val="17"/>
          <w:color w:val="auto"/>
        </w:rPr>
        <w:t>offered by us, as set forth on the cover page of this prospectus, would increase (decrease) our net proceeds from this offering by $</w:t>
      </w:r>
      <w:r>
        <w:rPr>
          <w:sz w:val="20"/>
          <w:szCs w:val="20"/>
          <w:color w:val="auto"/>
        </w:rPr>
        <w:tab/>
      </w:r>
      <w:r>
        <w:rPr>
          <w:rFonts w:ascii="Arial" w:cs="Arial" w:eastAsia="Arial" w:hAnsi="Arial"/>
          <w:sz w:val="18"/>
          <w:szCs w:val="18"/>
          <w:color w:val="auto"/>
        </w:rPr>
        <w:t>million,</w:t>
      </w:r>
    </w:p>
    <w:p>
      <w:pPr>
        <w:spacing w:after="0" w:line="23" w:lineRule="exact"/>
        <w:rPr>
          <w:sz w:val="20"/>
          <w:szCs w:val="20"/>
          <w:color w:val="auto"/>
        </w:rPr>
      </w:pPr>
    </w:p>
    <w:p>
      <w:pPr>
        <w:ind w:left="460" w:right="580"/>
        <w:spacing w:after="0" w:line="261" w:lineRule="auto"/>
        <w:rPr>
          <w:sz w:val="20"/>
          <w:szCs w:val="20"/>
          <w:color w:val="auto"/>
        </w:rPr>
      </w:pPr>
      <w:r>
        <w:rPr>
          <w:rFonts w:ascii="Arial" w:cs="Arial" w:eastAsia="Arial" w:hAnsi="Arial"/>
          <w:sz w:val="18"/>
          <w:szCs w:val="18"/>
          <w:color w:val="auto"/>
        </w:rPr>
        <w:t>assuming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number of common shares shown as outstanding on a pro forma as adjusted basis in the table above is based on 4,580,669 shares of common stock outstanding as of December 31, 2013 and excludes:</w:t>
      </w:r>
    </w:p>
    <w:p>
      <w:pPr>
        <w:spacing w:after="0" w:line="76" w:lineRule="exact"/>
        <w:rPr>
          <w:sz w:val="20"/>
          <w:szCs w:val="20"/>
          <w:color w:val="auto"/>
        </w:rPr>
      </w:pPr>
    </w:p>
    <w:p>
      <w:pPr>
        <w:ind w:left="900" w:right="3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8,228,975 shares of common stock issuable upon the exercise of outstanding options as of December 31, 2013 at a weighted average exercise price of $0.30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2,331,257 shares of common stock reserved for future issuance under our 2006 Stock Option Plan as of December 31, 2013;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2014 Stock Option Plan, which will become effective upon the completion of this offering.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you will pay in this offering and the pro forma as adjusted net tangible book value per share of our common stock immediately after this offering.</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historical net tangible book value (deficit) as of December 31, 2013 was $(69.3) million, or $(15.13) per share of common stock. Our historical net tangible book value (deficit) is the amount of our total tangible assets less our total liabilities and redeemable convertible preferred stock, which is not included within stockholders’ equity (deficit). Historical net tangible book value per share is our historical net tangible book value (deficit) divided by the number of shares of common stock outstanding as of December 31, 2013.</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pro forma net tangible book value as of December 31, 2013 was $34.5 million, or $0.35 per share of common stock. Pro forma net tangible book value represents total tangible assets less total liabilities. Pro forma net tangible book value per share represents pro forma net tangible book value divided by the total number of shares outstanding as of December 31, 2013, after giving effect to the automatic conversion of all outstanding shares of our redeemable convertible preferred stock into an aggregate of 94,483,404 shares of our common stock upon the completion of this offering.</w:t>
      </w:r>
    </w:p>
    <w:p>
      <w:pPr>
        <w:spacing w:after="0" w:line="154"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After giving effect to the sale by us of shares of common stock in this offering at an assumed initial public offering price of $ per share, the midpoint of the price range set forth on the cover page of this prospectus, and after deducting estimated underwriting discounts and commissions and</w:t>
      </w:r>
    </w:p>
    <w:p>
      <w:pPr>
        <w:ind w:right="40"/>
        <w:spacing w:after="0" w:line="265" w:lineRule="auto"/>
        <w:rPr>
          <w:sz w:val="20"/>
          <w:szCs w:val="20"/>
          <w:color w:val="auto"/>
        </w:rPr>
      </w:pPr>
      <w:r>
        <w:rPr>
          <w:rFonts w:ascii="Arial" w:cs="Arial" w:eastAsia="Arial" w:hAnsi="Arial"/>
          <w:sz w:val="17"/>
          <w:szCs w:val="17"/>
          <w:color w:val="auto"/>
        </w:rPr>
        <w:t>estimated offering expenses payable by us, our pro forma as adjusted net tangible book value as of December 31, 2013 would have been $ million, or $ per share. This represents an immediate increase in pro forma as adjusted net tangible book value of $ per share to existing stockholders and an immediate dilution of $ per share to new investors purchasing common stock in this offering at the initial public offering price. Dilution per share to new</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w w:val="93"/>
              </w:rPr>
              <w:t>Historical net tangible book value (deficit) per share as of December 31, 2013</w:t>
            </w:r>
          </w:p>
        </w:tc>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$(15.13)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7"/>
              </w:rPr>
              <w:t>Increase per share attributable to the conversion of all shares of redeemable convertible preferred stock outstanding</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December 31, 2013</w:t>
            </w:r>
          </w:p>
        </w:tc>
        <w:tc>
          <w:tcPr>
            <w:tcW w:w="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38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Increase in pro forma as adjusted net tangible book value per share attributable to new investors purchasing shares in this</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offering</w:t>
            </w:r>
          </w:p>
        </w:tc>
        <w:tc>
          <w:tcPr>
            <w:tcW w:w="6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80" w:type="dxa"/>
            <w:vAlign w:val="bottom"/>
            <w:gridSpan w:val="7"/>
          </w:tcPr>
          <w:p>
            <w:pPr>
              <w:ind w:left="160"/>
              <w:spacing w:after="0"/>
              <w:rPr>
                <w:sz w:val="20"/>
                <w:szCs w:val="20"/>
                <w:color w:val="auto"/>
              </w:rPr>
            </w:pPr>
            <w:r>
              <w:rPr>
                <w:rFonts w:ascii="Arial" w:cs="Arial" w:eastAsia="Arial" w:hAnsi="Arial"/>
                <w:sz w:val="18"/>
                <w:szCs w:val="18"/>
                <w:color w:val="auto"/>
                <w:w w:val="93"/>
              </w:rPr>
              <w:t>per share, the midpoint of the price range set forth on the cover page</w:t>
            </w:r>
          </w:p>
        </w:tc>
      </w:tr>
      <w:tr>
        <w:trPr>
          <w:trHeight w:val="216"/>
        </w:trPr>
        <w:tc>
          <w:tcPr>
            <w:tcW w:w="9400" w:type="dxa"/>
            <w:vAlign w:val="bottom"/>
            <w:gridSpan w:val="4"/>
          </w:tcPr>
          <w:p>
            <w:pPr>
              <w:spacing w:after="0"/>
              <w:rPr>
                <w:sz w:val="20"/>
                <w:szCs w:val="20"/>
                <w:color w:val="auto"/>
              </w:rPr>
            </w:pPr>
            <w:r>
              <w:rPr>
                <w:rFonts w:ascii="Arial" w:cs="Arial" w:eastAsia="Arial" w:hAnsi="Arial"/>
                <w:sz w:val="18"/>
                <w:szCs w:val="18"/>
                <w:color w:val="auto"/>
                <w:w w:val="91"/>
              </w:rPr>
              <w:t>of this prospectus, would increase (decrease) the pro forma as adjusted net tangible book value per share after this offering by $</w:t>
            </w:r>
          </w:p>
        </w:tc>
        <w:tc>
          <w:tcPr>
            <w:tcW w:w="2020" w:type="dxa"/>
            <w:vAlign w:val="bottom"/>
            <w:gridSpan w:val="5"/>
          </w:tcPr>
          <w:p>
            <w:pPr>
              <w:ind w:left="200"/>
              <w:spacing w:after="0"/>
              <w:rPr>
                <w:sz w:val="20"/>
                <w:szCs w:val="20"/>
                <w:color w:val="auto"/>
              </w:rPr>
            </w:pPr>
            <w:r>
              <w:rPr>
                <w:rFonts w:ascii="Arial" w:cs="Arial" w:eastAsia="Arial" w:hAnsi="Arial"/>
                <w:sz w:val="18"/>
                <w:szCs w:val="18"/>
                <w:color w:val="auto"/>
              </w:rPr>
              <w:t>per share and would</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3"/>
              </w:rPr>
              <w:t>increase (decrease) the dilution per share to new investors participating in this offering by $</w:t>
            </w:r>
          </w:p>
        </w:tc>
        <w:tc>
          <w:tcPr>
            <w:tcW w:w="4620" w:type="dxa"/>
            <w:vAlign w:val="bottom"/>
            <w:gridSpan w:val="6"/>
          </w:tcPr>
          <w:p>
            <w:pPr>
              <w:ind w:left="200"/>
              <w:spacing w:after="0"/>
              <w:rPr>
                <w:sz w:val="20"/>
                <w:szCs w:val="20"/>
                <w:color w:val="auto"/>
              </w:rPr>
            </w:pPr>
            <w:r>
              <w:rPr>
                <w:rFonts w:ascii="Arial" w:cs="Arial" w:eastAsia="Arial" w:hAnsi="Arial"/>
                <w:sz w:val="18"/>
                <w:szCs w:val="18"/>
                <w:color w:val="auto"/>
                <w:w w:val="90"/>
              </w:rPr>
              <w:t>per share, assuming that the number of shares offered by us,</w:t>
            </w:r>
          </w:p>
        </w:tc>
      </w:tr>
    </w:tbl>
    <w:p>
      <w:pPr>
        <w:spacing w:after="0"/>
        <w:rPr>
          <w:sz w:val="20"/>
          <w:szCs w:val="20"/>
          <w:color w:val="auto"/>
        </w:rPr>
      </w:pPr>
      <w:r>
        <w:rPr>
          <w:rFonts w:ascii="Arial" w:cs="Arial" w:eastAsia="Arial" w:hAnsi="Arial"/>
          <w:sz w:val="16"/>
          <w:szCs w:val="16"/>
          <w:color w:val="auto"/>
        </w:rPr>
        <w:t>as set forth on the cover page of this prospectus, remains the same and after deducting estimated underwriting discounts and commissions and estimated</w:t>
      </w:r>
    </w:p>
    <w:p>
      <w:pPr>
        <w:spacing w:after="0" w:line="38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offering expenses payable by us. An increase of shares in the number of shares offered by us, as set forth on the cover page of this prospectus, would increase the pro forma as adjusted net tangible book value per share after this offering by $ and decrease the dilution per share to new investors participating in this offering by $ , assuming the assumed initial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remains the same and after deducting estimated underwriting discounts and commissions and estimated offering expenses payable by us.</w:t>
      </w:r>
    </w:p>
    <w:p>
      <w:pPr>
        <w:spacing w:after="0" w:line="46"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share decrease in the number of shares offered by us, as set forth on the cover page of this prospectus, would decrease the pro forma as adjusted net</w:t>
      </w:r>
    </w:p>
    <w:p>
      <w:pPr>
        <w:spacing w:after="0" w:line="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tangible book value per share after this offering by $ and increase the dilution per share to new investors participating in this offering by $ , assuming the assumed initial public offering price remains the same and after deducting the estimated underwriting discounts and commissions and estimated offering expenses payable by us. The information discussed above is illustrative only and will be adjusted based on the actual initial public offering price and other terms of this offering determined at pricing.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the underwriters exercise their option to purchase additional shares in full, the pro forma as adjusted net tangible book value per share after this</w:t>
      </w:r>
    </w:p>
    <w:p>
      <w:pPr>
        <w:sectPr>
          <w:pgSz w:w="11900" w:h="16838" w:orient="portrait"/>
          <w:cols w:equalWidth="0" w:num="1">
            <w:col w:w="11420"/>
          </w:cols>
          <w:pgMar w:left="240" w:top="459" w:right="239" w:bottom="1440" w:gutter="0" w:footer="0" w:header="0"/>
        </w:sectPr>
      </w:pP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offering would be $ per share, representing an increase in pro forma as adjusted net tangible book value per share to existing stockholders of $ share and immediate dilution in pro forma as adjusted net tangible book value per share to new investors purchasing shares in this offering of $ assuming an initial public offering price of $ per share, the midpoint of the price range set forth on the cover page of this prospectus.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461" w:lineRule="exact"/>
        <w:rPr>
          <w:sz w:val="20"/>
          <w:szCs w:val="20"/>
          <w:color w:val="auto"/>
        </w:rPr>
      </w:pPr>
    </w:p>
    <w:p>
      <w:pPr>
        <w:sectPr>
          <w:pgSz w:w="11900" w:h="16838" w:orient="portrait"/>
          <w:cols w:equalWidth="0" w:num="2">
            <w:col w:w="10620" w:space="100"/>
            <w:col w:w="700"/>
          </w:cols>
          <w:pgMar w:left="240" w:top="459" w:right="239" w:bottom="1440" w:gutter="0" w:footer="0" w:header="0"/>
          <w:type w:val="continuous"/>
        </w:sectPr>
      </w:pPr>
    </w:p>
    <w:p>
      <w:pPr>
        <w:ind w:right="200" w:firstLine="456"/>
        <w:spacing w:after="0" w:line="291" w:lineRule="auto"/>
        <w:rPr>
          <w:sz w:val="20"/>
          <w:szCs w:val="20"/>
          <w:color w:val="auto"/>
        </w:rPr>
      </w:pPr>
      <w:r>
        <w:rPr>
          <w:rFonts w:ascii="Arial" w:cs="Arial" w:eastAsia="Arial" w:hAnsi="Arial"/>
          <w:sz w:val="16"/>
          <w:szCs w:val="16"/>
          <w:color w:val="auto"/>
        </w:rPr>
        <w:t>The following table summarizes, as of December 31, 2013, on a pro forma as adjusted basis described above, the number of shares of our common stock, the total consideration and the average price per share (i) paid to us by existing stockholders and (ii) to be paid by new investors purchasing shares of</w:t>
      </w:r>
    </w:p>
    <w:p>
      <w:pPr>
        <w:ind w:right="40"/>
        <w:spacing w:after="0" w:line="261" w:lineRule="auto"/>
        <w:rPr>
          <w:sz w:val="20"/>
          <w:szCs w:val="20"/>
          <w:color w:val="auto"/>
        </w:rPr>
      </w:pPr>
      <w:r>
        <w:rPr>
          <w:rFonts w:ascii="Arial" w:cs="Arial" w:eastAsia="Arial" w:hAnsi="Arial"/>
          <w:sz w:val="18"/>
          <w:szCs w:val="18"/>
          <w:color w:val="auto"/>
        </w:rPr>
        <w:t>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9"/>
              </w:rPr>
              <w:t>Shares Purchased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Total Consideration</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62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66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76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20" w:type="dxa"/>
            <w:vAlign w:val="bottom"/>
            <w:gridSpan w:val="13"/>
          </w:tcPr>
          <w:p>
            <w:pPr>
              <w:ind w:left="460"/>
              <w:spacing w:after="0"/>
              <w:rPr>
                <w:sz w:val="20"/>
                <w:szCs w:val="20"/>
                <w:color w:val="auto"/>
              </w:rPr>
            </w:pPr>
            <w:r>
              <w:rPr>
                <w:rFonts w:ascii="Arial" w:cs="Arial" w:eastAsia="Arial" w:hAnsi="Arial"/>
                <w:sz w:val="18"/>
                <w:szCs w:val="18"/>
                <w:color w:val="auto"/>
                <w:w w:val="92"/>
              </w:rPr>
              <w:t>The table above assumes no exercise of the underwriters’ option to purchase additional shares in this offering. If the underwriters’ option to purchase</w:t>
            </w:r>
          </w:p>
        </w:tc>
        <w:tc>
          <w:tcPr>
            <w:tcW w:w="0" w:type="dxa"/>
            <w:vAlign w:val="bottom"/>
          </w:tcPr>
          <w:p>
            <w:pPr>
              <w:spacing w:after="0"/>
              <w:rPr>
                <w:sz w:val="1"/>
                <w:szCs w:val="1"/>
                <w:color w:val="auto"/>
              </w:rPr>
            </w:pPr>
          </w:p>
        </w:tc>
      </w:tr>
      <w:tr>
        <w:trPr>
          <w:trHeight w:val="230"/>
        </w:trPr>
        <w:tc>
          <w:tcPr>
            <w:tcW w:w="9640" w:type="dxa"/>
            <w:vAlign w:val="bottom"/>
            <w:gridSpan w:val="8"/>
          </w:tcPr>
          <w:p>
            <w:pPr>
              <w:spacing w:after="0"/>
              <w:rPr>
                <w:sz w:val="20"/>
                <w:szCs w:val="20"/>
                <w:color w:val="auto"/>
              </w:rPr>
            </w:pPr>
            <w:r>
              <w:rPr>
                <w:rFonts w:ascii="Arial" w:cs="Arial" w:eastAsia="Arial" w:hAnsi="Arial"/>
                <w:sz w:val="18"/>
                <w:szCs w:val="18"/>
                <w:color w:val="auto"/>
                <w:w w:val="92"/>
              </w:rPr>
              <w:t>additional shares is exercised in full, the number of shares of our common stock held by existing stockholders would be reduced to</w:t>
            </w:r>
          </w:p>
        </w:tc>
        <w:tc>
          <w:tcPr>
            <w:tcW w:w="1780" w:type="dxa"/>
            <w:vAlign w:val="bottom"/>
            <w:gridSpan w:val="5"/>
          </w:tcPr>
          <w:p>
            <w:pPr>
              <w:ind w:left="200"/>
              <w:spacing w:after="0"/>
              <w:rPr>
                <w:sz w:val="20"/>
                <w:szCs w:val="20"/>
                <w:color w:val="auto"/>
              </w:rPr>
            </w:pPr>
            <w:r>
              <w:rPr>
                <w:rFonts w:ascii="Arial" w:cs="Arial" w:eastAsia="Arial" w:hAnsi="Arial"/>
                <w:sz w:val="18"/>
                <w:szCs w:val="18"/>
                <w:color w:val="auto"/>
                <w:w w:val="91"/>
              </w:rPr>
              <w:t>% of the total number</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shares of our common stock outstanding after this offering, and the number of shares of common stock held by new investors participating in the offering</w:t>
      </w:r>
    </w:p>
    <w:p>
      <w:pPr>
        <w:spacing w:after="0" w:line="3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would be increased to</w:t>
      </w:r>
      <w:r>
        <w:rPr>
          <w:sz w:val="20"/>
          <w:szCs w:val="20"/>
          <w:color w:val="auto"/>
        </w:rPr>
        <w:tab/>
      </w:r>
      <w:r>
        <w:rPr>
          <w:rFonts w:ascii="Arial" w:cs="Arial" w:eastAsia="Arial" w:hAnsi="Arial"/>
          <w:sz w:val="16"/>
          <w:szCs w:val="16"/>
          <w:color w:val="auto"/>
        </w:rPr>
        <w:t>% of the total number of shares of our common stock outstanding after this offering.</w:t>
      </w:r>
    </w:p>
    <w:p>
      <w:pPr>
        <w:spacing w:after="0" w:line="21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above discussion and tables are based on 4,580,669 shares of common stock outstanding as of December 31, 2013 and also give effect to the automatic conversion of all outstanding shares of our redeemable convertible preferred stock into an aggregate of 94,483,404 shares of common stock upon the completion of this offering. The discussion and tables above assume no exercise of any outstanding stock options. As of December 31, 2013, there were 8,228,975 shares of common stock issuable upon exercise of outstanding options at a weighted average exercise price of $0.30 per share. The tables above</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also exclude 2,331,257 shares of common stock reserved for future issuance under our 2006 Stock Option Plan as of December 31, 2013 and shares of our common stock reserved for future issuance under our 2014 Stock Option Plan, which will become effective upon the completion of this offering.</w:t>
      </w:r>
    </w:p>
    <w:p>
      <w:pPr>
        <w:spacing w:after="0" w:line="1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2011, 2012 and 2013 and for the cumulative period from inception (November 22, 2005) through December 31, 2013 and the consolidated balance sheet data as of December 31, 2012 and 2013 from our audited consolidated financial statements included elsewhere in this prospectus. Our historical results are not necessarily indicative of the results that should be expected in the future.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(November 22, 2005)</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11,544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9,561</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13,154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13,780</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(13,791)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(13,780)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(68,599)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(14,027)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w w:val="91"/>
              </w:rPr>
              <w:t>Accretion of redeemable convertible preferred stock to redemption value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(13,947)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(69,382)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2"/>
              </w:rPr>
              <w:t>Net loss per share attributable to common stockholders, basic and diluted</w:t>
            </w:r>
            <w:r>
              <w:rPr>
                <w:rFonts w:ascii="Arial" w:cs="Arial" w:eastAsia="Arial" w:hAnsi="Arial"/>
                <w:sz w:val="15"/>
                <w:szCs w:val="15"/>
                <w:color w:val="auto"/>
                <w:w w:val="92"/>
              </w:rPr>
              <w:t>(1)</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15"/>
                <w:szCs w:val="15"/>
                <w:color w:val="auto"/>
              </w:rPr>
              <w:t>(1)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4,578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net loss per share attributable to common stockholders, basic and</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Pro forma weighted average common shares outstanding, basic and diluted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84,190</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49</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2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3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9320" w:type="dxa"/>
            <w:vAlign w:val="bottom"/>
          </w:tcPr>
          <w:p>
            <w:pPr>
              <w:spacing w:after="0"/>
              <w:rPr>
                <w:sz w:val="12"/>
                <w:szCs w:val="12"/>
                <w:color w:val="auto"/>
              </w:rPr>
            </w:pPr>
          </w:p>
        </w:tc>
        <w:tc>
          <w:tcPr>
            <w:tcW w:w="2000" w:type="dxa"/>
            <w:vAlign w:val="bottom"/>
            <w:gridSpan w:val="2"/>
          </w:tcPr>
          <w:p>
            <w:pPr>
              <w:jc w:val="right"/>
              <w:ind w:right="4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257"/>
              <w:spacing w:after="0"/>
              <w:rPr>
                <w:sz w:val="20"/>
                <w:szCs w:val="20"/>
                <w:color w:val="auto"/>
              </w:rPr>
            </w:pPr>
            <w:r>
              <w:rPr>
                <w:rFonts w:ascii="Arial" w:cs="Arial" w:eastAsia="Arial" w:hAnsi="Arial"/>
                <w:sz w:val="18"/>
                <w:szCs w:val="18"/>
                <w:color w:val="auto"/>
                <w:w w:val="98"/>
              </w:rPr>
              <w:t>$  9,935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$ 35,517</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0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7,394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257"/>
              <w:spacing w:after="0"/>
              <w:rPr>
                <w:sz w:val="20"/>
                <w:szCs w:val="20"/>
                <w:color w:val="auto"/>
              </w:rPr>
            </w:pPr>
            <w:r>
              <w:rPr>
                <w:rFonts w:ascii="Arial" w:cs="Arial" w:eastAsia="Arial" w:hAnsi="Arial"/>
                <w:sz w:val="18"/>
                <w:szCs w:val="18"/>
                <w:color w:val="auto"/>
              </w:rPr>
              <w:t>10,986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38,138</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62,785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103,797</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(54,729)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for further details on the calculation of basic and diluted pro forma net loss per share attributable to common stockholders.</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Obesity is a complex medical disorder involving appetite dysregulation and altered lipid and energy metabolism that results in excessive accumulation of fat tissue. Weight loss and hunger control are urgently needed for certain subpopulations of severely obese patients, such as those with PWS and craniopharyngioma, whose severe obesity is life-threatening and a co-morbidity of an underlying condition. These conditions are characterized by uncontrollable hunger resulting from damage to or impaired functioning of the hypothalamus, an area of the brain responsible for many functions including the desire to eat. Published population studies estimate that the prevalence of PWS in the United States and in the European Union ranges from 1 in 8,000 to 1 in 50,000. The physiological drive to eat in PWS patients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PWS patient is morbidly obese and, based on our evaluation of published survival data, has an average life expectancy of 32 years of age. Unfortunately, neither dietary intervention nor currently available pharmaceutical therapies bring meaningful benefit to PWS patients and, as a result, they experience severe and life-threatening consequences of their condition. Furthermore, existing surgical techniques such as bariatric surgery are contraindicated in PWS, as PWS patients often overeat to a point whereby they can rupture their stomachs, which is frequently a cause of death. Since beloranib works through a novel mechanism that does not appear to require a fully functioning hypothalamic control pathway, we believe that obese patients with conditions in which increased hunger is central to the disease may respond well to treatment with beloranib.</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are pursuing clinical development of beloranib as a treatment for severely obese patients in the general population, including patients otherwise eligible for bariatric surgery. Bariatric surgery eligibility criteria generally identify surgical candidates as those patients with body mass indices, or BMIs, greater than 40 kg/m</w:t>
      </w:r>
      <w:r>
        <w:rPr>
          <w:rFonts w:ascii="Arial" w:cs="Arial" w:eastAsia="Arial" w:hAnsi="Arial"/>
          <w:sz w:val="13"/>
          <w:szCs w:val="13"/>
          <w:color w:val="auto"/>
        </w:rPr>
        <w:t>2</w:t>
      </w:r>
      <w:r>
        <w:rPr>
          <w:rFonts w:ascii="Arial" w:cs="Arial" w:eastAsia="Arial" w:hAnsi="Arial"/>
          <w:sz w:val="16"/>
          <w:szCs w:val="16"/>
          <w:color w:val="auto"/>
        </w:rPr>
        <w:t>, or those with BMIs over 35 kg/m</w:t>
      </w:r>
      <w:r>
        <w:rPr>
          <w:rFonts w:ascii="Arial" w:cs="Arial" w:eastAsia="Arial" w:hAnsi="Arial"/>
          <w:sz w:val="13"/>
          <w:szCs w:val="13"/>
          <w:color w:val="auto"/>
        </w:rPr>
        <w:t>2</w:t>
      </w:r>
      <w:r>
        <w:rPr>
          <w:rFonts w:ascii="Arial" w:cs="Arial" w:eastAsia="Arial" w:hAnsi="Arial"/>
          <w:sz w:val="16"/>
          <w:szCs w:val="16"/>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methionine aminopeptidase 2, or MetAP2, inhibitor could become available commercially.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Due to the significant barriers associated with bariatric surgery and the limited weight loss potential of currently marketed pharmaceutical products, there is a significant unmet need for the treatment of patients with severe obesity. We believe this patient population would benefit from MetAP2 inhibitor treatment through the reduction of body weight and through improvement of other co-morbid conditions. 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3 clinical trial of beloranib in PWS patients and discussions with regulatory authorities. MetAP2 inhibitors may also have utility in the treatment of other metabolic diseases, such as nonalcoholic steatohepatitis, or NASH, and type 2 diabetes. In a mouse model of diabetes and NASH, our second product candidate, ZGN-839, a MetAP2 inhibitor, reduced the severity of NASH and reduced plasma glucose.</w:t>
      </w:r>
    </w:p>
    <w:p>
      <w:pPr>
        <w:spacing w:after="0" w:line="182"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beloranib and ZGN-839, building our intellectual property portfolio, developing the supply chain, business planning, raising capital, and providing general and administrative support for these operations. To date, we have funded our operations primarily through sales of redeemable convertible preferred stock and, to a lesser extent, through the issuances of convertible promissory notes. From our inception through December 31, 2013, we have received gross proceeds of $103.6 million from such transactions.</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a development stage company and have not generated any revenue. We have incurred net losses in each year since our inception, and we have a deficit accumulated during the development stage of $68.9 million as of December 31, 2013. Our net losses were $13.2 million, $13.9 million and $14.0 for the years ended December 31, 2011, 2012 and 2013, respectively. These losses have resulted principally from costs incurred in connection with in-licensing our product candidates, research and development activities and general and administrative costs associated with our operations. We expect to incur significant expenses and increasing operating losses for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our expenses will increase substantially in connection with our ongoing activities, as we</w:t>
      </w:r>
      <w:r>
        <w:rPr>
          <w:rFonts w:ascii="Arial" w:cs="Arial" w:eastAsia="Arial" w:hAnsi="Arial"/>
          <w:sz w:val="18"/>
          <w:szCs w:val="18"/>
          <w:i w:val="1"/>
          <w:iCs w:val="1"/>
          <w:color w:val="auto"/>
        </w:rPr>
        <w:t>:</w:t>
      </w:r>
    </w:p>
    <w:p>
      <w:pPr>
        <w:spacing w:after="0" w:line="13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the clinical development of beloranib as a treatment for severe obesity in PWS patients through Phase 3 clinical trials;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the clinical development of beloranib as a treatment for craniopharyngioma-associated obesity through a Phase 2a clinical trial and the initiation of pivotal clinical trials;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initiate Investigational New Drug Application, or IND, enabling studies and clinical development of ZGN-839 and our second-generation MetAP2 inhibitors through the initiation of Phase 1 clinical development;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initiate a Phase 2b clinical trial of beloranib as a treatment for severe obesity in the general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identify additional indications for beloranib;</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or private equity or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our existing cash and cash equivalents as of December 31, 2013, together with anticipated net proceeds from this offering, will enable us</w:t>
      </w:r>
    </w:p>
    <w:p>
      <w:pPr>
        <w:spacing w:after="0" w:line="46"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to fund our operating expenses and capital expenditures requirements for at least</w:t>
      </w:r>
      <w:r>
        <w:rPr>
          <w:sz w:val="20"/>
          <w:szCs w:val="20"/>
          <w:color w:val="auto"/>
        </w:rPr>
        <w:tab/>
      </w:r>
      <w:r>
        <w:rPr>
          <w:rFonts w:ascii="Arial" w:cs="Arial" w:eastAsia="Arial" w:hAnsi="Arial"/>
          <w:sz w:val="16"/>
          <w:szCs w:val="16"/>
          <w:color w:val="auto"/>
        </w:rPr>
        <w:t>months. See “—Liquidity and Capital Resources.”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in-licensing costs of our product candidate beloranib, research and development activities, and general and administrative costs.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900" w:right="1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studies and clinical trial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been developing beloranib, ZGN-839, and our second-generation MetAP2 inhibitors, and typically use our employee, consultant and infrastructure resources across our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We record our research and development expenses net of any research and development tax incentives we are entitled to receive from government authorities.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by program: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80" w:type="dxa"/>
            <w:vAlign w:val="bottom"/>
            <w:gridSpan w:val="7"/>
            <w:vMerge w:val="restart"/>
          </w:tcPr>
          <w:p>
            <w:pPr>
              <w:jc w:val="right"/>
              <w:ind w:right="9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77"/>
        </w:trPr>
        <w:tc>
          <w:tcPr>
            <w:tcW w:w="6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580" w:type="dxa"/>
            <w:vAlign w:val="bottom"/>
            <w:gridSpan w:val="7"/>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gridSpan w:val="3"/>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(November 22, 2005)</w:t>
            </w:r>
          </w:p>
        </w:tc>
        <w:tc>
          <w:tcPr>
            <w:tcW w:w="0" w:type="dxa"/>
            <w:vAlign w:val="bottom"/>
          </w:tcPr>
          <w:p>
            <w:pPr>
              <w:spacing w:after="0"/>
              <w:rPr>
                <w:sz w:val="1"/>
                <w:szCs w:val="1"/>
                <w:color w:val="auto"/>
              </w:rPr>
            </w:pPr>
          </w:p>
        </w:tc>
      </w:tr>
      <w:tr>
        <w:trPr>
          <w:trHeight w:val="52"/>
        </w:trPr>
        <w:tc>
          <w:tcPr>
            <w:tcW w:w="65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Beloranib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6,802</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ZGN-839 and other early-stage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2,193</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2,549</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17,202</w:t>
            </w: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11,403</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9,561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pursue later stages of clinical development of our product candidates.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studies and development of our product candidates will depend on a variety of factors, including:</w:t>
      </w:r>
    </w:p>
    <w:p>
      <w:pPr>
        <w:spacing w:after="0" w:line="92"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scope, rate of progress, and expense of our ongoing as well as any additional clinical trials and other research and development activities;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and professional fees for auditing, tax and legal services, including legal expenses to pursue patent protection of our intellectual property.</w:t>
      </w:r>
    </w:p>
    <w:p>
      <w:pPr>
        <w:spacing w:after="0" w:line="187" w:lineRule="exact"/>
        <w:rPr>
          <w:sz w:val="20"/>
          <w:szCs w:val="20"/>
          <w:color w:val="auto"/>
        </w:rPr>
      </w:pPr>
    </w:p>
    <w:p>
      <w:pPr>
        <w:ind w:right="620" w:firstLine="456"/>
        <w:spacing w:after="0" w:line="286" w:lineRule="auto"/>
        <w:rPr>
          <w:sz w:val="20"/>
          <w:szCs w:val="20"/>
          <w:color w:val="auto"/>
        </w:rPr>
      </w:pPr>
      <w:r>
        <w:rPr>
          <w:rFonts w:ascii="Arial" w:cs="Arial" w:eastAsia="Arial" w:hAnsi="Arial"/>
          <w:sz w:val="17"/>
          <w:szCs w:val="17"/>
          <w:color w:val="auto"/>
        </w:rPr>
        <w:t>We expect that general and administrative expenses will increase in the future as we expand our operating activities and incur additional costs associated with operating as a public company. These public company related increases will likely include additional costs related to personnel; legal, accounting and audit services; directors’ and officers’ liability insurance premiums; and investor relations.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and cash equivalents. Our interest income has not been significant due to low</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earned on invested balances. We anticipate that our interest income will increase in the future due to increased balances from the receipt of proceeds from our sales of Series E redeemable convertible preferred stock in November 2013 and anticipated cash proceeds from this offering.</w:t>
      </w:r>
    </w:p>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expense on our outstanding convertible promissory notes at the stated interest rates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related to the amortization of deferred financing costs associated with our issuances of the convertible promissory notes. As of December 31, 2012, all of our outstanding convertible promissory notes and accrued interest had been converted into shares of our redeemable convertible preferred stock. As a result, we will no longer incur interest expense related to this debt.</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Foreign currency transaction gains (losses), net. </w:t>
      </w:r>
      <w:r>
        <w:rPr>
          <w:rFonts w:ascii="Arial" w:cs="Arial" w:eastAsia="Arial" w:hAnsi="Arial"/>
          <w:sz w:val="16"/>
          <w:szCs w:val="16"/>
          <w:color w:val="auto"/>
        </w:rPr>
        <w:t>Foreign currency transaction gains (losses), net consists of the realized and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research and development tax credits, due to our uncertainty of realizing a benefit from those items. As of December 31, 2013, we had federal and state net operating loss carryforwards of $10.5 million and $8.2 million, respectively. Our federal net operating loss carryforwards begin to expire in 2026, and our state net operating loss carryforwards begin to expire in 2014. We also had federal and state research and development tax credit carryforwards of $4.7 million and $1.3 million, respectively, as of December 31, 2013, which begin to expire in 2026 and 2021,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of our consolidated financial statements included elsewhere in this prospectus for information about these critical accounting policies as well as a description of our other significant accounting policies.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5, 2012, the Jumpstart Our Business Startups Act, or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we are in the process of evaluating the benefits of relying on the other exemptions and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w:t>
      </w:r>
    </w:p>
    <w:p>
      <w:pPr>
        <w:ind w:firstLine="8"/>
        <w:spacing w:after="0" w:line="252"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no longer meet the requirements of being an “emerging growth company,” whichever is earlier.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95"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contract research organizations, or CROs, in connection with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w:t>
      </w:r>
    </w:p>
    <w:p>
      <w:pPr>
        <w:spacing w:after="0" w:line="22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measure stock-based awards granted to employees and directors at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 We have historically granted stock options with exercise prices equivalent to the fair value of our common stock as of the date of grant.</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measure stock-based awards granted to consultants and nonemployees at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fair value of each stock option grant is estimated using the Black-Scholes option-pricing model. We historically have been a private company and lack company-specific historical and implied volatility information. Therefore, we estimate our expected volatility based on the historical volatility of our publicly traded peer companies and expect to continue to do so until such time as we have adequate historical data regarding the volatility of our traded stock price. The expected term of our options has been determined utilizing the “simplified” method for awards that qualify as “plain-vanilla” options, while the expected term of our options granted to consultants and nonemployees has been determined based on the contractual term of the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w:t>
      </w:r>
    </w:p>
    <w:p>
      <w:pPr>
        <w:spacing w:after="0" w:line="192"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assumptions we used to determine the fair value of stock options granted to employees and directors are as follows, presented on a weighted average basis (we did not grant any stock options to employees or directors during the year ended December 31, 2012):</w:t>
      </w:r>
    </w:p>
    <w:p>
      <w:pPr>
        <w:spacing w:after="0" w:line="16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Year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6.25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These assumptions represented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 In developing a forfeiture rate estimate for pre-vesting forfeitures, we have considered our historical experience of actual forfeitures. If our future actual forfeiture rate is materially different from our estimate, our stock-based compensation expense could be significantly different from what we have recorded in the current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classification of our stock-based compensation expenses recognized in our consolidated statements of operations:</w:t>
      </w:r>
    </w:p>
    <w:p>
      <w:pPr>
        <w:spacing w:after="0" w:line="267"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6350</wp:posOffset>
            </wp:positionV>
            <wp:extent cx="14922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9060"/>
        <w:spacing w:after="0"/>
        <w:tabs>
          <w:tab w:leader="none" w:pos="9980" w:val="left"/>
          <w:tab w:leader="none" w:pos="109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-3175</wp:posOffset>
            </wp:positionV>
            <wp:extent cx="14922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97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$ 395</w:t>
            </w: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Valuations of Common Stock</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The fair value of our common stock is determined on each date of grant by our board of directors, with input from management, and considers our most recently available valuation of common stock and our assessment of additional objective and subjective factors that we believe are relevant and which may change from the date of the most recent valuation through the date of the grant. In the absence of a public trading market for our common stock, our determination of the fair value of our common stock was performed using methodologies, approaches and assumptions consistent with the American Institute of Certified Public Accountants Audit and Accounting Practice Aid Series: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In addition, our board of directors considered various objective and subjective factors, along with input from management, to determine its best estimate of the fair value of our common stock as of each grant date, including the following:</w:t>
      </w:r>
    </w:p>
    <w:p>
      <w:pPr>
        <w:spacing w:after="0" w:line="83"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contemporaneous third-party valuations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prices at which we sold shares of preferred stock and the superior rights and preferences of the preferred stock relative to our common stock;</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condition, including cash on hand;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historical and forecasted performance and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sale of our company or an initial public offering, or IPO, given prevailing market conditions;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analysis of initial public offerings and the market performance of similar companies in the biopharmaceutical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trends within the biopharmaceutical industry.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Methodologies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Our common stock valuations have been prepared utilizing either the option-pricing method, or OPM, or a hybrid of the OPM and the probability-weighted expected return method, or PWERM.</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OPM treats common stock and preferred stock as call options on the total equity value of a company, with exercise prices based on the value thresholds at which the allocation among the various holders of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company’s securities changes. Under this method, the common stock has value only if the funds available for distribution to stockholders exceed the value of the preferred stock liquidation preference at the time of a liquidity event, such as a strategic sale, merger or IPO.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OPM backsolve approach was used to estimate enterprise value under the OPM. The OPM backsolve approach uses the OPM to calculate the implied equity value based on recent sales of the company’s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To derive the fair value of the common stock using the OPM, the proceeds to the common stockholders were calculated based on the preferences and priorities of the preferred and common stock, including the participation features of certain series of the preferred stock. We then applied a discount for lack of marketability to the common stock to account for the lack of access to an active public market.</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the PWERM methodology, the fair value of common stock is estimated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We then applied a discount for lack of marketability to the common stock to account for the lack of access to an active public market.</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the hybrid PWERM and OPM, two valuation approaches were used to estimate enterprise value: the market approach and the OPM backsolve approach. Under the market approach, we estimated enterprise value using the guideline public company method, which includes comparisons to publicly traded companies in the relevant industry that recently completed IPOs. The enterprise value is then discounted back to the valuation date at an appropriate risk-adjusted discount rate.</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the hybrid PWERM and OPM, two types of future event scenarios were considered: an IPO and a sale transaction. The IPO scenario was valued using either the OPM backsolve approach or the guideline public company method. The sale scenario was valued using the OPM backsolve approach. The relative probability of each type of future event scenario was determined by our board of directors based on an analysis of market conditions at the time, including then-current IPO valuations of similarly situated companies, and expectations as to the timing and likely prospects of the future-event scenarios.</w:t>
      </w:r>
    </w:p>
    <w:p>
      <w:pPr>
        <w:spacing w:after="0" w:line="154"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To derive the fair value of the common stock for each scenario using the hybrid PWERM and OPM, the proceeds to the common stockholders were calculated based on the preferences and priorities of the preferred and common stock. We then applied a discount for lack of marketability to the common stock to account for the lack of access to an active public market.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i w:val="1"/>
          <w:iCs w:val="1"/>
          <w:color w:val="auto"/>
        </w:rPr>
        <w:t xml:space="preserve">July 31, 2011 Valuation. </w:t>
      </w:r>
      <w:r>
        <w:rPr>
          <w:rFonts w:ascii="Arial" w:cs="Arial" w:eastAsia="Arial" w:hAnsi="Arial"/>
          <w:sz w:val="18"/>
          <w:szCs w:val="18"/>
          <w:color w:val="auto"/>
        </w:rPr>
        <w:t>To aid in the determination of the fair value of our common stock, a third-party valuation analysis was prepared as of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using the OPM. In determining the enterprise value, we applied the OPM backsolve approach to calculate our implied equity value based on the pricing of our Series C preferred stock financing at $0.91 per share in June 2011. We estimated the time to liquidity as 2.0 years based on the then-current plans and estimates of our board of directors and management regarding our likely need to raise additional capital within this timeframe. We assumed volatility of 86% based on historical trading volatility of our publicly traded peer companies. We used a risk-free rate of return of 0.36%, based on the two-year U.S. Treasury yield curve. We then applied a discount for lack of marketability of 35%. The July 31, 2011 analysis resulted in a valuation of our common stock of $0.25 per share.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January 31, 2013 Valuation. </w:t>
      </w:r>
      <w:r>
        <w:rPr>
          <w:rFonts w:ascii="Arial" w:cs="Arial" w:eastAsia="Arial" w:hAnsi="Arial"/>
          <w:sz w:val="17"/>
          <w:szCs w:val="17"/>
          <w:color w:val="auto"/>
        </w:rPr>
        <w:t>To aid in the determination of the fair value of our common stock, a third-party valuation analysis was prepared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31, 2013. Based upon our determination that in late 2012 an IPO had become a possible but uncertain liquidity event, the valuation was prepared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hybrid PWERM and OPM, which considered a sale scenario and an IPO scenario. For those two future-event scenarios, management and our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directors determined that the probability of the sale scenario was 85% and the probability of the IPO scenario was 15%, based on our assessment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pipeline and market conditions. In determining the enterprise value for the sale scenario, we applied the OPM backsolve approach to calculate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implied equity value based on the pricing of our Series D preferred stock financing at $1.36 per share in November 2012 and January 2013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considering the participating nature of the preferred stock in a sale scenario and the expected time to a sale. In determining the enterprise value for the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scenario, we applied the OPM backsolve approach to calculate our implied equity value based on the pricing of our Series D preferred stock financing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$1.36 per share in November 2012 and January 2013 and considering the convertible nature of the preferred stock in an IPO scenario and the expected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IPO. For purposes of the January 31, 2013 valuation, we also estimated that the time to completion of a sale transaction was 1.5 years and the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an IPO was 1.0 year. For the sale and IPO scenarios, we assumed volatility of 67% and 53%, respectively, based on the trading volatilities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publicly traded peer companies for our expected time to liquidity of each scenario. We then applied a discount for lack of marketability of 25% under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each of the sale and IPO scenarios. The January 31, 2013 analysis resulted in a valuation of our common stock of $0.39 per share.</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June 30, 2013 Valuation. </w:t>
      </w:r>
      <w:r>
        <w:rPr>
          <w:rFonts w:ascii="Arial" w:cs="Arial" w:eastAsia="Arial" w:hAnsi="Arial"/>
          <w:sz w:val="16"/>
          <w:szCs w:val="16"/>
          <w:color w:val="auto"/>
        </w:rPr>
        <w:t>To aid in the determination of the fair value of our common stock, a third-party valuation analysis was prepared as of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using the hybrid PWERM and OPM, which considered an IPO scenario and a sale scenario. For those two future-event scenarios, management and our board of directors determined that the probability of each scenario was 50%, based on our assessment of our development pipeline, market conditions and progress towards undertaking an IPO. In determining the enterprise value for the IPO scenario, we applied the guideline public company method under the market approach, which considered the increase in value that occurred from the most recent preferred financing round to the IPO for a group of biopharmaceutical companies that had completed IPOs in the preceding two years. In determining the enterprise value for the sale scenario, we applied the OPM backsolve approach to calculate our implied equity value, using a $2.00 estimated price per share and the rights and preferences of Series E preferred stock in a planned preferred stock financing expected to close in late 2013. For purposes of the June 30, 2013 valuation, we also estimated that the time to completion of an IPO was 0.58 years and the time to completion of a sale transaction was 1.75 years. Our estimate of the time to a liquidity event in a sale transaction increased from our estimate used in the January 31, 2013 valuation due to our reassessment of potential sale transactions and current market conditions. For the IPO scenario, we applied a risk-adjusted discount rate of 30% to the value of common stock. For the sale scenario, we assumed volatility of 68%, based on the trading volatilities of our publicly traded peer companies for our expected time to liquidity. We then applied a discount for lack of marketability of 10% under each of the IPO and sale scenarios. The June 30, 2013 analysis resulted in a valuation of our common stock of $1.08 per share.</w:t>
      </w:r>
    </w:p>
    <w:p>
      <w:pPr>
        <w:spacing w:after="0" w:line="17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December 20, 2013 Valuation. </w:t>
      </w:r>
      <w:r>
        <w:rPr>
          <w:rFonts w:ascii="Arial" w:cs="Arial" w:eastAsia="Arial" w:hAnsi="Arial"/>
          <w:sz w:val="18"/>
          <w:szCs w:val="18"/>
          <w:color w:val="auto"/>
        </w:rPr>
        <w:t>To aid in the determination of the fair value of our common stock, a third-party valuation analysis was prepared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 2013 using the hybrid PWERM and OPM,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considered an IPO scenario, a short-term sale scenario and a long-term sale scenario. For those three future-event scenarios, management and our board of directors determined that the probability of the IPO scenario was 60%, the probability of a short-term sale scenario was 10% and the probability of a long-term sale scenario was 30%. These probabilities were based on our assessment of our development pipeline, market conditions and progress towards undertaking an IPO. In determining the enterprise value for the IPO scenario, we applied the guideline public company method under the market approach, which considered the increase in value that occurred from the most recent preferred financing round to the IPO for a group of biopharmaceutical companies that had completed IPOs in the preceding two years. In determining the enterprise value for the two sale scenarios, we applied the OPM backsolve approach to calculate our implied equity value, using the $2.17 price per share and the rights and preferences of the recently completed Series E preferred stock financing that closed in November 2013. For purposes of the December 20, 2013 valuation, we also estimated that the time to completion of an IPO was 0.42 years and the time to completion of a short-term and long-term sale transaction was 0.75 years and 3.0 years, respectively. For the IPO scenario, we applied a risk-adjusted discount rate of 25% to the value of common stock. For the short-term and long-term sale scenarios, we assumed volatility of 65% and 74%, respectively, based on the trading volatilities of our publicly traded peer companies for our expected time to liquidity. We then applied a discount for lack of marketability of 5% under the IPO scenario, 10% under the short-term sale scenario and 15% under the long-term sale scenario. The December 20, 2013 analysis resulted in a valuation of our common stock of $1.54 per share.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summarizes by grant date the number of shares subject to options granted between January 1, 2012 and February 3, 2014, the per share exercise price of the options, the fair value of common stock underlying the options on date of grant, and the per share estimated fair value of the options: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Per Share</w:t>
            </w:r>
          </w:p>
        </w:tc>
        <w:tc>
          <w:tcPr>
            <w:tcW w:w="420" w:type="dxa"/>
            <w:vAlign w:val="bottom"/>
          </w:tcPr>
          <w:p>
            <w:pPr>
              <w:spacing w:after="0"/>
              <w:rPr>
                <w:sz w:val="14"/>
                <w:szCs w:val="14"/>
                <w:color w:val="auto"/>
              </w:rPr>
            </w:pPr>
          </w:p>
        </w:tc>
        <w:tc>
          <w:tcPr>
            <w:tcW w:w="17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4"/>
                <w:szCs w:val="14"/>
                <w:color w:val="auto"/>
              </w:rPr>
            </w:pPr>
          </w:p>
        </w:tc>
        <w:tc>
          <w:tcPr>
            <w:tcW w:w="1040" w:type="dxa"/>
            <w:vAlign w:val="bottom"/>
            <w:gridSpan w:val="2"/>
          </w:tcPr>
          <w:p>
            <w:pPr>
              <w:jc w:val="center"/>
              <w:ind w:right="28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on Date of</w:t>
            </w:r>
          </w:p>
        </w:tc>
        <w:tc>
          <w:tcPr>
            <w:tcW w:w="120" w:type="dxa"/>
            <w:vAlign w:val="bottom"/>
          </w:tcPr>
          <w:p>
            <w:pPr>
              <w:spacing w:after="0"/>
              <w:rPr>
                <w:sz w:val="12"/>
                <w:szCs w:val="12"/>
                <w:color w:val="auto"/>
              </w:rPr>
            </w:pPr>
          </w:p>
        </w:tc>
        <w:tc>
          <w:tcPr>
            <w:tcW w:w="104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Options Granted</w:t>
            </w: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of Options</w:t>
            </w:r>
            <w:r>
              <w:rPr>
                <w:rFonts w:ascii="Arial" w:cs="Arial" w:eastAsia="Arial" w:hAnsi="Arial"/>
                <w:sz w:val="12"/>
                <w:szCs w:val="12"/>
                <w:b w:val="1"/>
                <w:bCs w:val="1"/>
                <w:color w:val="auto"/>
                <w:w w:val="92"/>
              </w:rPr>
              <w:t>(1)</w:t>
            </w:r>
          </w:p>
        </w:tc>
        <w:tc>
          <w:tcPr>
            <w:tcW w:w="420" w:type="dxa"/>
            <w:vAlign w:val="bottom"/>
          </w:tcPr>
          <w:p>
            <w:pPr>
              <w:spacing w:after="0"/>
              <w:rPr>
                <w:sz w:val="14"/>
                <w:szCs w:val="14"/>
                <w:color w:val="auto"/>
              </w:rPr>
            </w:pPr>
          </w:p>
        </w:tc>
        <w:tc>
          <w:tcPr>
            <w:tcW w:w="17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7"/>
              </w:rPr>
              <w:t>Option Grant</w:t>
            </w:r>
          </w:p>
        </w:tc>
        <w:tc>
          <w:tcPr>
            <w:tcW w:w="120" w:type="dxa"/>
            <w:vAlign w:val="bottom"/>
          </w:tcPr>
          <w:p>
            <w:pPr>
              <w:spacing w:after="0"/>
              <w:rPr>
                <w:sz w:val="14"/>
                <w:szCs w:val="14"/>
                <w:color w:val="auto"/>
              </w:rPr>
            </w:pPr>
          </w:p>
        </w:tc>
        <w:tc>
          <w:tcPr>
            <w:tcW w:w="1040" w:type="dxa"/>
            <w:vAlign w:val="bottom"/>
            <w:gridSpan w:val="2"/>
          </w:tcPr>
          <w:p>
            <w:pPr>
              <w:jc w:val="center"/>
              <w:ind w:right="283"/>
              <w:spacing w:after="0"/>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February</w:t>
            </w: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28, 2012 (nonemployee award)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5"/>
              </w:rPr>
              <w:t>0.20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6"/>
              </w:rPr>
              <w:t>(3)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March 7, 2013</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4,344,748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0.39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 2013</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October 3, 2013 (nonemployee award)</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w w:val="97"/>
              </w:rPr>
              <w:t>0.88</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2013</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January 30, 2014</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3, 2014</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 Share Exercise Price of Options represents the determination by our board of directors of the fair value of our common stock on the date of grant, as determined taking into account our most recently available valuation of common stock as well as additional factors, which may have changed since the date of the most recent contemporaneous valuation through the date of grant.</w:t>
      </w:r>
    </w:p>
    <w:p>
      <w:pPr>
        <w:ind w:left="460" w:hanging="452"/>
        <w:spacing w:after="0" w:line="265"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Per Share Estimated Fair Value of Options reflects the weighted average fair value of options granted on each grant date as estimated at the date of grant using the Black-Scholes option-pricing model. This model estimates the fair value using as inputs the exercise price of the option and assumptions of the risk-free interest rate, expected term of the option, expected share price volatility of the underlying common stock, expected dividends on the underlying common stock, and the per share fair value of the underlying common stock.</w:t>
      </w:r>
    </w:p>
    <w:p>
      <w:pPr>
        <w:ind w:left="460" w:right="8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purposes of recording stock-based compensation for grants of options to nonemployees, we measure the fair value of options on the service completion date (vesting date). At the end of each reporting period prior to completion of the services, we re-measure the value of the unvested portion of the outstanding options at the then-current fair value of our common stock and updated assumption inputs in the Black-Scholes option-pricing model.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board of directors determined the fair value of common stock on each option grant date based on a variety of factors. We determined that the fair value of our common stock increased from $0.25 per share as of January 1, 2012 to $1.54 as of February 3, 2014. The following discussion describes the reasons for the increases in the fair value of our common stock over this period and as compared to the midpoint of the price range set forth on the cover page</w:t>
      </w:r>
    </w:p>
    <w:p>
      <w:pPr>
        <w:spacing w:after="0"/>
        <w:tabs>
          <w:tab w:leader="none" w:pos="2000" w:val="left"/>
        </w:tabs>
        <w:rPr>
          <w:sz w:val="20"/>
          <w:szCs w:val="20"/>
          <w:color w:val="auto"/>
        </w:rPr>
      </w:pPr>
      <w:r>
        <w:rPr>
          <w:rFonts w:ascii="Arial" w:cs="Arial" w:eastAsia="Arial" w:hAnsi="Arial"/>
          <w:sz w:val="18"/>
          <w:szCs w:val="18"/>
          <w:color w:val="auto"/>
        </w:rPr>
        <w:t>of this prospectus of $</w:t>
      </w:r>
      <w:r>
        <w:rPr>
          <w:sz w:val="20"/>
          <w:szCs w:val="20"/>
          <w:color w:val="auto"/>
        </w:rPr>
        <w:tab/>
      </w:r>
      <w:r>
        <w:rPr>
          <w:rFonts w:ascii="Arial" w:cs="Arial" w:eastAsia="Arial" w:hAnsi="Arial"/>
          <w:sz w:val="15"/>
          <w:szCs w:val="15"/>
          <w:color w:val="auto"/>
        </w:rPr>
        <w:t>per share.</w:t>
      </w:r>
    </w:p>
    <w:p>
      <w:pPr>
        <w:spacing w:after="0" w:line="2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Year Ended December 31, 2012</w:t>
      </w:r>
      <w:r>
        <w:rPr>
          <w:rFonts w:ascii="Arial" w:cs="Arial" w:eastAsia="Arial" w:hAnsi="Arial"/>
          <w:sz w:val="18"/>
          <w:szCs w:val="18"/>
          <w:color w:val="auto"/>
        </w:rPr>
        <w:t>. Our board of directors determined that the fair value of our common stock was $0.25 per share as of October 11, 2011.</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the fair value of our common stock remained unchanged through February 28, 2012, when we granted stock options for the purchase of 50,000 shares of common stock to a consultant. During the period from October 11, 2011 through February 28, 2012, we continued to operate our business in the ordinary course. At that time, our lead product candidate beloranib was in early-stage Phase 1b clinical trials, while our other product candidates were in earlier stages of development. In February 2012, we closed the final round of Series C preferred stock financing at $0.91 per share, which matched the price per share paid in our initial issuance of Series C redeemable convertible preferred stock in June 2011. Over this period, we had no plans for an initial public offering in the near term because we did not believe that the public markets presented a favorable environment for a biopharmaceutical company at our stage of development.</w:t>
      </w:r>
    </w:p>
    <w:p>
      <w:pPr>
        <w:spacing w:after="0" w:line="19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the third quarter of 2012, we initiated a 12-week Phase 2a clinical trial of beloranib in Australia. This clinical trial was important in that beloranib was being studied as a longer-term treatment to show that weight loss would continue past the four weeks previously studied and, for the first time, it was studied in males and patients with diabetes. In November 2012, we executed a Series D preferred stock financing, under which we issued shares to a new investor in November 2012 at $1.36 per share and committed to issue shares to existing investors in January 2013 at $1.36 per share. In late 2012, we started to consider whether the markets presented a favorable environment for an IPO for a biopharmaceutical company at our stage of development; however, we did not have any definitive plans to pursue an IPO at that time. We believed that the fair value of our common stock increased to $0.39 per share as of December 31, 2012, based on our board of directors’ determination of the fair value of our common stock as of March 7, 2013.</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Year Ended December 31, 2013. </w:t>
      </w:r>
      <w:r>
        <w:rPr>
          <w:rFonts w:ascii="Arial" w:cs="Arial" w:eastAsia="Arial" w:hAnsi="Arial"/>
          <w:sz w:val="16"/>
          <w:szCs w:val="16"/>
          <w:color w:val="auto"/>
        </w:rPr>
        <w:t>During the first quarter of 2013, we continued to operate our business in the ordinary course. There were no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developments in our clinical trials or in our research and development efforts as our Phase 2a clinical trial of beloranib in Australia was ongoing. In January 2013, we received orphan drug designation for beloranib for the treatment of PWS and also completed our scheduled closing of Series D redeemable convertible preferred stock. In February 2013, we obtained a third-party valuation of our common stock as of January 31, 2013 as one of the factors considered by our board of directors in its determination of the fair value of our common stock. That valuation considered an IPO scenario for the first time as we determined that an IPO had become a possible but uncertain liquidity event and resulted in an estimated fair value of our common stock of $0.39 per share. While we were considering a possible IPO at that time, we did not believe that the markets would be favorable to us for an IPO until we had results from our Phase 2a clinical trial of beloranib for severe obesity. Our board of directors determined that the fair value of common stock was $0.39 per share as of March 7, 2013. We believed that the fair value of our common stock remained unchanged through March 31, 2013.</w:t>
      </w:r>
    </w:p>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April 2013, we filed an IND with the FDA for beloranib to be tested in patients with PWS. In May 2013, we started to receive results from our recently completed Phase 2a clinical trial of beloranib in severely obese patients, which showed rapid, progressive and sustained clinically meaningful body weight loss. Additionally, in June 2013, we initiated a Phase 2a clinical trial in patients with PWS, evaluating beloranib for its ability to reduce body weight and to improve hyperphagia, a condition characterized by increased hunger and hunger-related behaviors. During the second quarter of 2013, we evaluated the public market environment and determined that the market conditions were favorable for biopharmaceutical companies. Those favorable market conditions and positive results from our Phase 2a clinical trial of beloranib in severely obese patients enabled us to pursue an IPO. In June and July 2013, we met with investment bankers to discuss a potential IPO, and we began to engage lawyers and accountants to assist us in preparation for an IPO. In early-August 2013, we obtained a third-party valuation of our common stock as of June 30, 2013 as one of the factors to be considered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by our board of directors in its determination of the fair value of our common stock. In that valuation, we adjusted our model to account for the increased probability of an IPO scenario, in light of continued favorable market conditions and our progress achieved towards a potential IPO of our common stock. Based on the revised valuation model and the changes in our business and in the market values of biopharmaceutical companies, as well as the impact on our common stock of our increasing enterprise value, we determined that the fair value of our common stock had increased to $1.08 per share as of June 30, 2013.</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During the third quarter of 2013, we continued to operate our business in the ordinary course. There were no significant developments in our clinical trials or in our research and development efforts as our Phase 2a clinical trial evaluating beloranib in PWS patients was ongoing. While we continued to meet with investment bankers and continued to carry out activities related to preparation for a potential IPO, we determined that we would need results from our Phase 2a clinical trial of beloranib in patients with PWS before we could engage investment bankers for an IPO. As a result of these factors, we believed that the fair value of our common stock remained unchanged at $1.08 per share through September 30, 2013.</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During the fourth quarter of 2013, we continued to operate our business in the ordinary course. Our board of directors determined that the fair value of our common stock remained at $1.08 per share as of October 3, 2013. Later in October, we started to receive initial results from our ongoing Phase 2a clinical trial of beloranib in patients with PWS. In late October 2013, we engaged investment bankers, in anticipation of receiving final results from the PWS Phase 2a clinical trial completed in the fourth quarter and being able to pursue an IPO shortly thereafter. We held our initial IPO organizational meeting in November 2013. We also executed a Series E preferred stock financing, under which we issued shares to new investors in late November 2013 at $2.17 per share, raising net proceeds of $34.8 million. In December 2013, we obtained a third-party valuation of our common stock as one of the factors considered by our board of directors in its determination of the fair value of our common stock as of December 20, 2013. We adjusted our valuation model to account for the increased probability of an IPO scenario, in light of continued favorable market conditions, favorable results from our Phase 2a clinical trial of beloranib in patients with PWS and our progress achieved towards a potential IPO of our common stock. Based on the revised valuation model and the changes in our business and in the market values of biopharmaceutical companies, as well as the impact on our common stock of our increasing enterprise value, our board of directors determined that the fair value of our common stock had increased to $1.54 per share as of December 20, 2013. We believed that the fair value of our common stock remained unchanged through December 31, 2013.</w:t>
      </w:r>
    </w:p>
    <w:p>
      <w:pPr>
        <w:spacing w:after="0" w:line="18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January 1, 2014 through February 3, 2014. </w:t>
      </w:r>
      <w:r>
        <w:rPr>
          <w:rFonts w:ascii="Arial" w:cs="Arial" w:eastAsia="Arial" w:hAnsi="Arial"/>
          <w:sz w:val="16"/>
          <w:szCs w:val="16"/>
          <w:color w:val="auto"/>
        </w:rPr>
        <w:t>Through February 3, 2014, we continued to operate our business in the ordinary course. On January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we submitted to the SEC a confidential draft registration statement for an IPO as contemplated by our board of directors in its determination of the fair value of our common stock as of December 20, 2013. Our board of directors determined that the fair value of our common stock remained unchanged at $1.54 per share as of January 30, 2014. We believe that the fair value of our common stock remained unchanged through February 3, 2014.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2012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2012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5"/>
          </w:tcPr>
          <w:p>
            <w:pPr>
              <w:ind w:left="1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11,544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4,219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13,780</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(13,791)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(13,780)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2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4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(13,880)</w:t>
            </w:r>
          </w:p>
        </w:tc>
        <w:tc>
          <w:tcPr>
            <w:tcW w:w="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Beloranib:</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Pre-clinical and manufacturing</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Clinical trials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ZGN-839 and other early-stage development</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(1,898)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(2,819)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Unallocated expenses: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Personnel related</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Consultants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1,371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1,981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Licensing, milestone and license maintenance fees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060"/>
              <w:spacing w:after="0"/>
              <w:rPr>
                <w:sz w:val="20"/>
                <w:szCs w:val="20"/>
                <w:color w:val="auto"/>
              </w:rPr>
            </w:pPr>
            <w:r>
              <w:rPr>
                <w:rFonts w:ascii="Arial" w:cs="Arial" w:eastAsia="Arial" w:hAnsi="Arial"/>
                <w:sz w:val="18"/>
                <w:szCs w:val="18"/>
                <w:color w:val="auto"/>
              </w:rPr>
              <w:t>Total research and development expenses</w:t>
            </w:r>
          </w:p>
        </w:tc>
        <w:tc>
          <w:tcPr>
            <w:tcW w:w="234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11,544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9,561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Research and development expenses for the year ended December 31, 2012 were $11.5 million, compared to $9.6 million for the year ended December 31, 2013. The decrease of $1.9 million was primarily due to the decreased costs of $1.9 million associated with ZGN-839 and other early-stage development programs (consisting of our second-generation MetAP2 inhibitors) and decreased costs of $0.9 million associated with beloranib, partially offset by an increase in consultant expenses of $0.6 million and an increase in personnel related costs of $0.4 million. During 2013, we focused our research and development efforts primarily on our ongoing clinical trials for beloranib as opposed to our early-stage programs. Expenses related to beloranib decreased year over year as a result of a $1.5 million decrease in pre-clinical and manufacturing expenses,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partially offset by an increase of $0.5 million from our clinical trial expenses. Pre-clinical and manufacturing costs decreased year over year as a result of completing a significant portion of our development-enabling toxicology and other pre-clinical activities related to beloranib in 2012. Clinical trial expenses for beloranib increased by $0.5 million year over year as a result of expenses incurred for our 12-week Phase 2a clinical trial for severe obesity and for our</w:t>
      </w:r>
    </w:p>
    <w:p>
      <w:pPr>
        <w:ind w:right="40"/>
        <w:spacing w:after="0" w:line="252" w:lineRule="auto"/>
        <w:rPr>
          <w:sz w:val="20"/>
          <w:szCs w:val="20"/>
          <w:color w:val="auto"/>
        </w:rPr>
      </w:pPr>
      <w:r>
        <w:rPr>
          <w:rFonts w:ascii="Arial" w:cs="Arial" w:eastAsia="Arial" w:hAnsi="Arial"/>
          <w:sz w:val="18"/>
          <w:szCs w:val="18"/>
          <w:color w:val="auto"/>
        </w:rPr>
        <w:t>12-week Phase 2a clinical trial for PWS that were both ongoing in 2013, as compared to expenses incurred for our 12-week Phase 2a clinical trial for severe obesity that started in 2012 and for our 4-week Phase 1b clinical trial for severe obesity that was started and completed in 2012. Expenses for our Phase 2a clinical trial for severe obesity, which ran from the third quarter of 2012 through the second quarter of 2013, were recorded net of a 45% research and development tax incentive from the Australian government of $0.6 million and $1.2 million during the years ended December 31, 2012 and 2013, respectively. Consultant costs increased by $0.6 million year over year primarily due to expenses incurred in conjunction with our IND filing for our Phase 2a clinical trial for PWS. Personnel related costs increased by $0.4 million year over year primarily due to the hiring of a new employee of $0.2 million and increased stock-based compensation of $0.1 million.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8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Travel and other</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2,247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4,219</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General and administrative expenses for the year ended December 31, 2012 were $2.2 million, compared to $4.2 million for the year ended December 31, 2013. The increase of $2.0 million in general and administrative expenses was primarily due to increased professional fees of $1.5 million and increased personnel related costs of $0.4 million year over year. The increase in professional fees consisted primarily of a $1.0 million increase in accounting and audit, legal and investor relations fees due to ongoing business activities as well as an increase of $0.4 million related to two external market research studies that were conducted in 2013. Personnel related costs increased by $0.4 million year over year primarily due to employee salary and bonus increases of $0.2 million and increases in stock-based compensation of $0.2 million.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 ended December 31, 2012 was related to interest on convertible promissory notes issued in August 2012</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subsequently converted into shares of our Series D redeemable convertible preferred stock in November 2012. We had no debt outstanding during 2013.</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Net foreign currency transaction losses of $0.2 million for the year ended December 31, 2013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re-measurement of receivables, denominated in Australian dollars, from the Australian government for research and development tax incentives, reflecting both a strengthening of the U.S. dollar relative to the Australian dollar and an increase in our receivable balances for such tax incentives during the year ended December 31, 2013.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2011 and 2012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2011 and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6"/>
            <w:shd w:val="clear" w:color="auto" w:fill="CCEEFF"/>
          </w:tcPr>
          <w:p>
            <w:pPr>
              <w:jc w:val="right"/>
              <w:ind w:right="28"/>
              <w:spacing w:after="0"/>
              <w:rPr>
                <w:sz w:val="20"/>
                <w:szCs w:val="20"/>
                <w:color w:val="auto"/>
              </w:rPr>
            </w:pPr>
            <w:r>
              <w:rPr>
                <w:rFonts w:ascii="Arial" w:cs="Arial" w:eastAsia="Arial" w:hAnsi="Arial"/>
                <w:sz w:val="18"/>
                <w:szCs w:val="18"/>
                <w:color w:val="auto"/>
              </w:rPr>
              <w:t>11,403</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(13,154)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(13,791)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(13,157)</w:t>
            </w: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Beloranib:</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Pre-clinical and manufacturing</w:t>
            </w: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4,533</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Clinical trials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5,523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ZGN-839 and other early-stage development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2,332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7,855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Unallocated expenses:</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Personnel related</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Consultants</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Licensing, milestone and license maintenance fees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1,055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3,548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060"/>
              <w:spacing w:after="0"/>
              <w:rPr>
                <w:sz w:val="20"/>
                <w:szCs w:val="20"/>
                <w:color w:val="auto"/>
              </w:rPr>
            </w:pPr>
            <w:r>
              <w:rPr>
                <w:rFonts w:ascii="Arial" w:cs="Arial" w:eastAsia="Arial" w:hAnsi="Arial"/>
                <w:sz w:val="18"/>
                <w:szCs w:val="18"/>
                <w:color w:val="auto"/>
              </w:rPr>
              <w:t>Total research and development expenses</w:t>
            </w:r>
          </w:p>
        </w:tc>
        <w:tc>
          <w:tcPr>
            <w:tcW w:w="22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11,403</w:t>
            </w:r>
          </w:p>
        </w:tc>
        <w:tc>
          <w:tcPr>
            <w:tcW w:w="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11,544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for the year ended December 31, 2011 were $11.4 million, compared to $11.5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increase of $0.1 million was primarily due to the increased costs of $1.3 million associated with our beloranib product candidate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personnel related costs of $0.3 million, partially offset by a decrease of $0.9 million in licensing, milestone and license maintenance fees, a decrease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$0.4 million in consultant expenses, and a decrease of $0.1 million in costs associated with ZGN-839 and other early-stage development programs,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consisting of our second-generation MetAP2 inhibitors. Expenses related to beloranib increased year over year as a result of a $1.4 million increase from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trial expenses, partially offset by a decrease of $0.2 million in pre-clinical and manufacturing. Clinical trial expenses for beloranib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year over year as a result of expenses incurred for our 4-week Phase 1b clinical trial for severe obesity that was started and completed in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our 12-week Phase 2a clinical trial for severe obesity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commenced in the third quarter of 2012, as compared to expenses incurred solely for our 4-week Phase 1b clinical trial for severe obesity that was completed during 2011. Expenses for our Phase 2a clinical trial for severe obesity incurred in the fourth quarter of 2012 were recorded net of a 45% research and development tax incentive from the Australian government of $0.6 million. There were no research and development tax incentives recorded during the year ended December 31, 2011. Pre-clinical and manufacturing costs associated with beloranib decreased primarily as a result of decreased drug product costs. Personnel related costs increased by $0.3 million year over year primarily due to increased headcount as a result of the addition of our Chief Medical Officer in September 2011, which had the effect of decreasing consultant expense by a similar amount. Licensing, milestone and license maintenance fees decreased by $0.9 million year over year due primarily to the recognition of a $1.0 million milestone payment in 2011.</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Travel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1,751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General and administrative expenses for the year ended December 31, 2011 were $1.8 million compared to $2.2 million for the year ended December 31, 2012. The increase of $0.4 million was primarily attributable to increased professional fees of $0.4 million related to ongoing business activities.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 ended December 31, 2012 was due to interest on convertible promissory notes issued in August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2012 that were subsequently converted into shares of Series D redeemable convertible preferred stock in November 2012. We had no debt outstanding during 2011.</w:t>
      </w:r>
    </w:p>
    <w:p>
      <w:pPr>
        <w:spacing w:after="0" w:line="181"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i w:val="1"/>
          <w:iCs w:val="1"/>
          <w:color w:val="auto"/>
        </w:rPr>
        <w:t>Foreign currency transaction gains (losses), net</w:t>
      </w:r>
      <w:r>
        <w:rPr>
          <w:rFonts w:ascii="Arial" w:cs="Arial" w:eastAsia="Arial" w:hAnsi="Arial"/>
          <w:sz w:val="16"/>
          <w:szCs w:val="16"/>
          <w:color w:val="auto"/>
        </w:rPr>
        <w:t>. We had a small amount of foreign currency transaction losses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2011 compared to a small amount of foreign currency transaction gains during the year ended December 31, 2012. Foreign currency transaction gains and losses related primarily to the re-measurement of foreign currency accounts and foreign currency denominated vendor payables.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our inception in November 2005, we have not generated any revenue and have incurred recurring net losses. As of December 31, 2013, we had a deficit accumulated during the development stage of $68.9 million. We have funded our operations since inception primarily through sales of redeemable convertible preferred stock and, to a lesser extent, through the issuances of convertible promissory notes. From our inception through December 31, 2013, we have received gross proceeds of $103.6 million from such transactions.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2013, we had cash and cash equivalents totaling $35.5 million. We invest our cash equivalents in money market accounts in order to preserve principal.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(12,274)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(13,589)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$(15,004)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10,069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22,059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40,603</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$ 25,582</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During the year ended December 31, 2011, operating activities used $12.3 million of cash, primarily resulting from our net loss of $13.2 million, partially offset by cash provided from changes in our operating assets and liabilities of $0.8 million. Our net loss was primarily attributed to research and development activities related to our beloranib and ZGN-839 programs and our general and administrative expenses, as we had no revenue in the period. Net cash provided by changes in our operating assets and liabilities during the year ended December 31, 2011 consisted primarily of an increase in accrued expenses of $0.9 million. Our accrued expense balances were affected by the timing of vendor invoicing and payments.</w:t>
      </w:r>
    </w:p>
    <w:p>
      <w:pPr>
        <w:spacing w:after="0" w:line="17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year ended December 31, 2012, operating activities used $13.6 million of cash, primarily resulting from our net loss of $13.9 million, partially offset by non-cash charges of $0.2 million and by cash provided from changes in our operating assets and liabilities of $0.1 million. Our net loss was primarily attributed to research and development activities related to our beloranib and ZGN-839 programs and our general and administrative expenses, as we had no revenue in the period. Our net non-cash charges during the year ended December 31, 2012 primarily consisted of stock-based compensation expense of $0.1 million and non-cash interest expense of $0.1 million. Net cash provided by changes in our operating assets and liabilities during the year ended December 31, 2012 consisted primarily of a $1.0 million increase in accounts payable and accrued expenses, partially offset by a $0.6 million increase in our research and development tax incentive receivable from the Australian government and a $0.3 million increase in prepaid expenses and other current assets. Our prepaid expenses and other current assets, accounts payable and accrued expense balances were affected by the timing of vendor invoicing and payments.</w:t>
      </w:r>
    </w:p>
    <w:p>
      <w:pPr>
        <w:spacing w:after="0" w:line="19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During the year ended December 31, 2013, operating activities used $15.0 million of cash, resulting from our net loss of $14.0 million and from cash used by changes in our operating assets and liabilities of $1.6 million, partially offset by non-cash charges of $0.7 million. Our net loss was primarily attributed to research and development activities related to our beloranib program and our general and administrative expenses, as we had no revenue in the period. Net cash used by changes in our operating assets and liabilities during the year ended December 31, 2013 consisted primarily of a $1.2 million increase in our research and development tax incentive receivable from the Australian government. Our net non-cash charges in the year primarily consisted of stock-based compensation expense of $0.4 million and unrealized foreign currency transaction losses of $0.3 million. Unrealized foreign currency transaction losses related to our outstanding foreign currency-denominated research and development tax incentive receivable from the Australian government.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used a small amount of cash during the years ended December 31, 2011, 2012 and 2013 related to purchases of property and equipment. During the year ended December 31, 2011, we also paid a small deposit related to our office lease which we expect to be returned at the completion of the lease.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year ended December 31, 2011, net cash provided by financing activities was $10.1 million as a result of net proceeds raised from issuances of our Series B redeemable convertible preferred stock and Series C redeemable convertible preferred stock.</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year ended December 31, 2012, net cash provided by financing activities was $22.1 million. Net cash provided by financing activities primarily resulted from net proceeds of $16.1 million raised from issuances of our Series C redeemable convertible preferred stock and Series D redeemable convertible preferred stock and net proceeds of $6.0 million from the issuance of convertible promissory notes.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2013, net cash provided by financing activities was $40.6 million as a result of net proceeds of $6.0 million from issuances of our Series D redeemable convertible preferred stock and $34.8 million from issuances of our Series E redeemable convertible preferred stock, partially offset by payments of $0.2 million of deferred offering costs in anticipation of our proposed initial public offering that we expect to complete in 2014.</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Beloranib is still in clinical development and ZGN-839 and our second-generation MetAP2 inhibitors are in pre-clinical development. We expect to continue to incur significant expenses and increasing operating losses for the foreseeable future. We anticipate that our expenses will increase substantially if and as we:</w:t>
      </w:r>
    </w:p>
    <w:p>
      <w:pPr>
        <w:spacing w:after="0" w:line="87"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the clinical development of beloranib as a treatment for severe obesity in PWS patients through Phase 3 clinical trials;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the clinical development of beloranib as a treatment for craniopharyngioma-associated obesity through a Phase 2a clinical trial and the initiation of pivotal clinical trials;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initiate IND-enabling studies and clinical development of ZGN-839 and our second-generation MetAP2 inhibitors through the initiation of Phase 1 clinical development;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initiate a Phase 2b clinical trial of beloranib as a treatment for severe obesity in the general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to identify additional indications for beloranib;</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the net proceeds from this offering, together with our existing cash and cash equivalents as of December 31, 2013, will enable us to fund</w:t>
      </w:r>
    </w:p>
    <w:p>
      <w:pPr>
        <w:spacing w:after="0" w:line="4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operating expenses and capital expenditures requirements for at least months. We have based this estimate on assumptions that may prove to be wrong, and we may use our available capital resources sooner than we currently expect. Because of the numerous risks and uncertainties associated with the development of beloranib, ZGN-839 and our second-generation MetAP2 inhibitors and because the extent to which we may enter into collaborations with third parties for development of these product candidates is unknown, we are unable to estimate the amounts of increased capital outlays and operating expenses associated with completing the research and development of our product candidates. Our future capital requirements for beloranib, ZGN-839 and our second-generation MetAP2 inhibitors will depend on many factors, including:</w:t>
      </w:r>
    </w:p>
    <w:p>
      <w:pPr>
        <w:spacing w:after="0" w:line="8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of beloranib, ZGN-839 or our second-generation MetAP2 inhibitors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beloranib, ZGN-839 or our second-generation MetAP2 inhibitors that we would otherwise prefer to develop and market ourselves.</w:t>
      </w:r>
    </w:p>
    <w:p>
      <w:pPr>
        <w:spacing w:after="0" w:line="18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research and development tax credits, due to our uncertainty of realizing a benefit from those items. As of December 31, 2013, we had federal and state net operating loss carryforwards of $10.5 million and $8.2 million, respectively. Our federal net operating loss carryforwards begin to expire in 2026, and our state net operating loss carryforwards begin to expire in 2014. As of December 31, 2013, we also had federal and state research and development tax credit carryforwards of $4.7 million and $1.3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2013 and the effect such obligations are expected to have on our liquidity and cash flow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Payments Due By Period</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104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w:t>
            </w:r>
          </w:p>
        </w:tc>
        <w:tc>
          <w:tcPr>
            <w:tcW w:w="440" w:type="dxa"/>
            <w:vAlign w:val="bottom"/>
          </w:tcPr>
          <w:p>
            <w:pPr>
              <w:spacing w:after="0"/>
              <w:rPr>
                <w:sz w:val="10"/>
                <w:szCs w:val="10"/>
                <w:color w:val="auto"/>
              </w:rPr>
            </w:pPr>
          </w:p>
        </w:tc>
        <w:tc>
          <w:tcPr>
            <w:tcW w:w="60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3-</w:t>
            </w:r>
          </w:p>
        </w:tc>
        <w:tc>
          <w:tcPr>
            <w:tcW w:w="5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1 Year</w:t>
            </w:r>
          </w:p>
        </w:tc>
        <w:tc>
          <w:tcPr>
            <w:tcW w:w="5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14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8"/>
              </w:rPr>
              <w:t>5 Years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left="29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$ 64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 (3)</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$ 64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8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lease office space in Cambridge, Massachusetts under an operating lease agreement that initially expired on July 31, 2013, but was amended in 2013 to extend the lease through January 31, 2014, with an opportunity to extend for up to two six-month periods. We have extended the lease pursuant to the terms of the first extension option, under which the lease expires on July 31, 2014 and is cancellable upon 30 days’ notice.</w:t>
      </w:r>
    </w:p>
    <w:p>
      <w:pPr>
        <w:ind w:left="460" w:right="140" w:hanging="452"/>
        <w:spacing w:after="0" w:line="253"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acquired exclusive rights to develop patented compounds and related know-how under licensing agreements for beloranib with two third parties. The licensing rights obligate us to make payments to the licensors for license fees, milestones, license maintenance fees and royalties. We are also responsible for patent prosecution costs. We are obligated to make future milestone payments under these agreements of up to $19.0 million upon achieving certain pre-commercialization milestones, such as clinical trials and government approvals, and up to $12.5 million upon achieving certain product commercialization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milestones. In addition, under one of the license agreements, we are obligated to pay up to $1.3 million with respect to each subsequent licensed product, if any, that is a new chemical entity. We reasonably anticipate that we may be required to pay $6.7 million of milestone payments in 2014, provided various development milestones are achieved. Amounts related to contingent milestone payments are not considered contractual obligations as they are contingent on the successful achievement of certain milestones. These milestones may not be achieved. Because the achievement of these milestones has not occurred as of December 31, 2013, no liabilities for such contingencies have been recorded in our consolidated financial statements. In addition, we will owe single-digit royalties on sales of commercial products developed using these licensed technologies, if any. We are obligated to pay to the licensors a percentage of fees received if and when we sublicense the technologies. As of December 31, 2013, we have not yet developed a commercial product using the licensed technologies and we have not entered into any sublicense agreements for the technologies.</w:t>
      </w:r>
    </w:p>
    <w:p>
      <w:pPr>
        <w:spacing w:after="0" w:line="1" w:lineRule="exact"/>
        <w:rPr>
          <w:sz w:val="20"/>
          <w:szCs w:val="20"/>
          <w:color w:val="auto"/>
        </w:rPr>
      </w:pPr>
    </w:p>
    <w:p>
      <w:pPr>
        <w:ind w:left="460" w:right="6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Accounting standards that have been issued or proposed by the Financial Accounting Standards Board or other standards-setting bodies that do not require adoption until a future date are not expected to have a material impact on our consolidated financial statements upon adoption.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right="520" w:firstLine="456"/>
        <w:spacing w:after="0" w:line="257" w:lineRule="auto"/>
        <w:rPr>
          <w:sz w:val="20"/>
          <w:szCs w:val="20"/>
          <w:color w:val="auto"/>
        </w:rPr>
      </w:pPr>
      <w:r>
        <w:rPr>
          <w:rFonts w:ascii="Arial" w:cs="Arial" w:eastAsia="Arial" w:hAnsi="Arial"/>
          <w:sz w:val="18"/>
          <w:szCs w:val="18"/>
          <w:color w:val="auto"/>
        </w:rPr>
        <w:t>Our cash and cash equivalents as of December 31, 2013 consisted of cash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Foreign currency transaction exposure results primarily from transactions with our contract research organizations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consolidated statement of operations. Net foreign currency transaction losses of $0.2 million were recorded for the year ended December 31, 2013.</w:t>
      </w:r>
    </w:p>
    <w:p>
      <w:pPr>
        <w:spacing w:after="0" w:line="1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December 31, 2013, a 10% unfavorable movement in foreign currency exchange rates would expose us to losses in earnings. For the year ended December 31, 2013, we estimated that a 10% unfavorable movement in foreign currency exchange rates would have increased our net loss by $0.2 million. This amount is based on a sensitivity analysis performed on our financial position as of December 31, 2013.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obesity. Beloranib, our lead product candidate, is a novel, first-in-class, twice-weekly subcutaneous injection being developed for the treatment of multiple indications, including severe obesity in Prader-Willi Syndrome, or PWS, craniopharyngioma-associated obesity, and severe obesity in the general population.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PWS is a rare and complex genetic disorder characterized by physiologic, cognitive and behavioral symptoms, including hyperphagia, or insatiable life-threatening hunger and hunger-related behaviors, and severe obesity. We recently completed two Phase 2a clinical trials evaluating beloranib’s ability to reduce body weight and to improve hyperphagia, one in PWS patients and one in severely obese patients. In our Phase 2a clinical trials, we observed reductions in body weight, body mass and body fat content in both patient populations and reductions in hyperphagia-related behaviors in PWS patients. In January 2013, the U.S. Food and Drug Administration, or FDA, granted orphan designation for our application to treat PWS with beloranib. We plan to initiate a Phase 3 clinical trial of beloranib in PWS patients in 2014 after finalizing the trial design based on conversations with the FDA. We plan to file an application to obtain orphan drug designation for beloranib as a treatment for PWS in the European Union in early 2014. We believe that rare conditions such as PWS afford us an opportunity to rapidly develop and commercialize beloranib using smaller, more focused and less costly clinical trials, relative to those required to develop beloranib for the broader severe obesity population.</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Obesity is a complex medical disorder involving appetite dysregulation and altered lipid and energy metabolism that results in excessive accumulation of fat tissue. Weight loss and hunger control are urgently needed for certain subpopulations of severely obese patients, such as those with PWS and craniopharyngioma, whose severe obesity is life-threatening and a co-morbidity of an underlying condition. These conditions are characterized by uncontrollable hunger resulting from damage to or impaired functioning of the hypothalamus, an area of the brain responsible for many functions including the desire to eat. Published population studies estimate that the prevalence of PWS in the United States and in the European Union ranges from 1 in 8,000 to 1 in 50,000. The physiological drive to eat in PWS patients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PWS patient is morbidly obese and, based on our evaluation of published survival data, has an average life expectancy of 32 years of age. Unfortunately, neither dietary intervention nor currently available pharmaceutical therapies bring meaningful benefit to PWS patients and, as a result, they experience severe and life-threatening consequences of their condition. Furthermore, existing surgical techniques such as bariatric surgery are contraindicated in PWS, as PWS patients often overeat to a point whereby they can rupture their stomachs, which is frequently a cause of death. Since beloranib works through a novel mechanism that does not appear to require a fully functioning hypothalamic control pathway, we believe that obese patients with conditions in which increased hunger is central to the disease may respond well to treatment with beloranib.</w:t>
      </w:r>
    </w:p>
    <w:p>
      <w:pPr>
        <w:spacing w:after="0" w:line="17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Zafgen was founded in 2005 to explore novel approaches to obesity therapeutics, including agents known to inhibit methionine aminopeptidase 2, or MetAP2, that had been found to drive unprecedented weight loss and metabolic improvements in mice. After performing a wide range of experiments to validate the effects of MetAP2 inhibitors in validated animal models, we committed the full resources of the company to testing the efficacy and safety of MetAP2 inhibition in obese patients and to establishing the feasibility of MetAP2 inhibitors for eventual commercialization. This effort led to our initiation of medicinal chemistry efforts to identify novel MetAP2 inhibitors, and to search for compounds that were more advanced in clinical development. We identified beloranib as a suitable in-licensing candidate, and, in parallel with preparing beloranib for use in otherwise healthy but obese patients, we conducted our own chemistry program to identify compounds with complementary characteristics. After completing studies to establish preliminary safety, mechanism of action, manufacturing feasibility and clinical proof of concept, we advanced beloranib as a clinical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development candidate and explored its application in severely obese patient populations. Our early clinical experience highlighted several key aspects of beloranib’s actions, including rapid and robust weight loss, changes in circulating hormones known to impact fat metabolism, clinically significant reductions in cardiovascular disease risk markers and a particularly striking impact on hunger. These benefits may be of particular relevance to patients suffering from severe obesity and life-limiting obesity driven by other underlying conditions, and for whom existing therapies fail to bring needed benefits.</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pursuing clinical development of beloranib as a treatment for severely obese patients in the general population, including patients otherwise eligible for bariatric surgery. Bariatric surgery eligibility criteria generally identify surgical candidates as those patients with body mass indices, or BMIs, greater than 40 kg/m</w:t>
      </w:r>
      <w:r>
        <w:rPr>
          <w:rFonts w:ascii="Arial" w:cs="Arial" w:eastAsia="Arial" w:hAnsi="Arial"/>
          <w:sz w:val="13"/>
          <w:szCs w:val="13"/>
          <w:color w:val="auto"/>
        </w:rPr>
        <w:t>2</w:t>
      </w:r>
      <w:r>
        <w:rPr>
          <w:rFonts w:ascii="Arial" w:cs="Arial" w:eastAsia="Arial" w:hAnsi="Arial"/>
          <w:sz w:val="16"/>
          <w:szCs w:val="16"/>
          <w:color w:val="auto"/>
        </w:rPr>
        <w:t>, or those with BMIs over 35 kg/m</w:t>
      </w:r>
      <w:r>
        <w:rPr>
          <w:rFonts w:ascii="Arial" w:cs="Arial" w:eastAsia="Arial" w:hAnsi="Arial"/>
          <w:sz w:val="13"/>
          <w:szCs w:val="13"/>
          <w:color w:val="auto"/>
        </w:rPr>
        <w:t>2</w:t>
      </w:r>
      <w:r>
        <w:rPr>
          <w:rFonts w:ascii="Arial" w:cs="Arial" w:eastAsia="Arial" w:hAnsi="Arial"/>
          <w:sz w:val="16"/>
          <w:szCs w:val="16"/>
          <w:color w:val="auto"/>
        </w:rPr>
        <w:t xml:space="preserve"> who also have a significant and uncontrolled co-morbid condition. Based on these criteria, it is estimated conservatively that there will be at least 16 million adults in the United States eligible for bariatric surgery by the time beloranib or another MetAP2 inhibitor could become available commercially.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Due to the significant barriers associated with bariatric surgery and the limited weight loss potential of currently marketed pharmaceutical products, there is a significant unmet need for the treatment of patients with severe obesity. We believe this patient population would benefit from MetAP2 inhibitor treatment through the reduction of body weight and through improvement of other co-morbid conditions.</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3 clinical trial of beloranib in PWS patients and discussions with regulatory authorities. MetAP2 inhibitors may also have utility in the treatment of other metabolic diseases, such as nonalcoholic steatohepatitis, or NASH, and type 2 diabetes. In a mouse model of diabetes and NASH, our second product candidate, ZGN-839, a MetAP2 inhibitor, reduced the severity of NASH and reduced plasma glucose.</w:t>
      </w:r>
    </w:p>
    <w:p>
      <w:pPr>
        <w:spacing w:after="0" w:line="18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Beloranib is a novel, first-in-class injectable small molecule therapy with a unique mechanism of action that reduces hunger while stimulating the use of stored fat as an energy source. Beloranib is the first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 Beloranib acts through potent inhibition of MetAP2, an enzyme that modulates the activity of key cellular processes that control metabolism. MetAP2 inhibitors work, at least in part, by directing MetAP2 binding to cellular stress mediators, thereby reducing the tone of signals that drive lipid synthesis by the liver and fat storage throughout the body. In this manner, MetAP2 inhibition serves the purpose of re-establishing balance to the ways the body packages and metabolizes fat and glucose. MetAP2 inhibitors reduce the production of new fatty acid molecules by the liver and help convert stored fats into useful energy, while reducing hunger.</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completed five clinical trials, including two Phase 2a clinical trials, evaluating beloranib in over 200 patients. Although these clinical trials were not designed to demonstrate efficacy, significant decreases in both body weight and sense of hunger were observed in patients treated with beloranib. In addition, we observed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improvements in cardiovascular disease risk factors such as plasma total cholesterol, low density lipoprotein cholesterol and C-reactive protein. Across our completed clinical trials, beloranib has been well-tolerated at doses in the range of 1.0 mg to 2.0 mg administered twice weekly, and has not been associated with serious side effects. Laboratory safety measures, vital signs and electrocardiograms have been unremarkable in all completed clinical trials for all doses of beloranib tested.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our product pipeline and development status of our product candidates for the treatment of indications we are currently pursuing: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Indication</w:t>
            </w:r>
          </w:p>
        </w:tc>
        <w:tc>
          <w:tcPr>
            <w:tcW w:w="2320" w:type="dxa"/>
            <w:vAlign w:val="bottom"/>
            <w:vMerge w:val="restart"/>
          </w:tcPr>
          <w:p>
            <w:pPr>
              <w:spacing w:after="0"/>
              <w:rPr>
                <w:sz w:val="14"/>
                <w:szCs w:val="14"/>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Stage of</w:t>
            </w:r>
          </w:p>
        </w:tc>
        <w:tc>
          <w:tcPr>
            <w:tcW w:w="52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Development Status</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gridSpan w:val="2"/>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220" w:type="dxa"/>
            <w:vAlign w:val="bottom"/>
          </w:tcPr>
          <w:p>
            <w:pPr>
              <w:spacing w:after="0"/>
              <w:rPr>
                <w:sz w:val="14"/>
                <w:szCs w:val="14"/>
                <w:color w:val="auto"/>
              </w:rPr>
            </w:pPr>
          </w:p>
        </w:tc>
        <w:tc>
          <w:tcPr>
            <w:tcW w:w="5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gridSpan w:val="3"/>
          </w:tcPr>
          <w:p>
            <w:pPr>
              <w:spacing w:after="0" w:line="165" w:lineRule="exact"/>
              <w:rPr>
                <w:sz w:val="20"/>
                <w:szCs w:val="20"/>
                <w:color w:val="auto"/>
              </w:rPr>
            </w:pPr>
            <w:r>
              <w:rPr>
                <w:rFonts w:ascii="Arial" w:cs="Arial" w:eastAsia="Arial" w:hAnsi="Arial"/>
                <w:sz w:val="17"/>
                <w:szCs w:val="17"/>
                <w:color w:val="auto"/>
              </w:rPr>
              <w:t>Severe obesity in PWS</w:t>
            </w:r>
          </w:p>
        </w:tc>
        <w:tc>
          <w:tcPr>
            <w:tcW w:w="1660" w:type="dxa"/>
            <w:vAlign w:val="bottom"/>
          </w:tcPr>
          <w:p>
            <w:pPr>
              <w:ind w:left="40"/>
              <w:spacing w:after="0" w:line="165" w:lineRule="exact"/>
              <w:rPr>
                <w:sz w:val="20"/>
                <w:szCs w:val="20"/>
                <w:color w:val="auto"/>
              </w:rPr>
            </w:pPr>
            <w:r>
              <w:rPr>
                <w:rFonts w:ascii="Arial" w:cs="Arial" w:eastAsia="Arial" w:hAnsi="Arial"/>
                <w:sz w:val="17"/>
                <w:szCs w:val="17"/>
                <w:color w:val="auto"/>
              </w:rPr>
              <w:t>Beloranib</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line="165" w:lineRule="exact"/>
              <w:rPr>
                <w:sz w:val="20"/>
                <w:szCs w:val="20"/>
                <w:color w:val="auto"/>
              </w:rPr>
            </w:pPr>
            <w:r>
              <w:rPr>
                <w:rFonts w:ascii="Arial" w:cs="Arial" w:eastAsia="Arial" w:hAnsi="Arial"/>
                <w:sz w:val="17"/>
                <w:szCs w:val="17"/>
                <w:color w:val="auto"/>
              </w:rPr>
              <w:t>Phase 2a</w:t>
            </w:r>
          </w:p>
        </w:tc>
        <w:tc>
          <w:tcPr>
            <w:tcW w:w="220" w:type="dxa"/>
            <w:vAlign w:val="bottom"/>
          </w:tcPr>
          <w:p>
            <w:pPr>
              <w:spacing w:after="0"/>
              <w:rPr>
                <w:sz w:val="14"/>
                <w:szCs w:val="14"/>
                <w:color w:val="auto"/>
              </w:rPr>
            </w:pPr>
          </w:p>
        </w:tc>
        <w:tc>
          <w:tcPr>
            <w:tcW w:w="5240" w:type="dxa"/>
            <w:vAlign w:val="bottom"/>
          </w:tcPr>
          <w:p>
            <w:pPr>
              <w:ind w:left="80"/>
              <w:spacing w:after="0" w:line="165" w:lineRule="exact"/>
              <w:rPr>
                <w:sz w:val="20"/>
                <w:szCs w:val="20"/>
                <w:color w:val="auto"/>
              </w:rPr>
            </w:pPr>
            <w:r>
              <w:rPr>
                <w:rFonts w:ascii="Arial" w:cs="Arial" w:eastAsia="Arial" w:hAnsi="Arial"/>
                <w:sz w:val="17"/>
                <w:szCs w:val="17"/>
                <w:color w:val="auto"/>
              </w:rPr>
              <w:t>•Phase 2a clinical trial completed</w:t>
            </w: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7"/>
                <w:szCs w:val="17"/>
                <w:color w:val="auto"/>
              </w:rPr>
              <w:t>patients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vMerge w:val="restart"/>
          </w:tcPr>
          <w:p>
            <w:pPr>
              <w:ind w:left="80"/>
              <w:spacing w:after="0"/>
              <w:rPr>
                <w:sz w:val="20"/>
                <w:szCs w:val="20"/>
                <w:color w:val="auto"/>
              </w:rPr>
            </w:pPr>
            <w:r>
              <w:rPr>
                <w:rFonts w:ascii="Arial" w:cs="Arial" w:eastAsia="Arial" w:hAnsi="Arial"/>
                <w:sz w:val="17"/>
                <w:szCs w:val="17"/>
                <w:color w:val="auto"/>
                <w:w w:val="91"/>
              </w:rPr>
              <w:t>•Phase 2a clinical trial report expected to be ready in the second quarter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ind w:left="260"/>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Arial" w:cs="Arial" w:eastAsia="Arial" w:hAnsi="Arial"/>
                <w:sz w:val="17"/>
                <w:szCs w:val="17"/>
                <w:color w:val="auto"/>
                <w:w w:val="91"/>
              </w:rPr>
              <w:t>•Phase 3 clinical trial design being finalized and expected to begin in 2014,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pending regulatory authority input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tcPr>
          <w:p>
            <w:pPr>
              <w:spacing w:after="0" w:line="185" w:lineRule="exact"/>
              <w:rPr>
                <w:sz w:val="20"/>
                <w:szCs w:val="20"/>
                <w:color w:val="auto"/>
              </w:rPr>
            </w:pPr>
            <w:r>
              <w:rPr>
                <w:rFonts w:ascii="Arial" w:cs="Arial" w:eastAsia="Arial" w:hAnsi="Arial"/>
                <w:sz w:val="17"/>
                <w:szCs w:val="17"/>
                <w:color w:val="auto"/>
              </w:rPr>
              <w:t>Craniopharyngioma-</w:t>
            </w:r>
          </w:p>
        </w:tc>
        <w:tc>
          <w:tcPr>
            <w:tcW w:w="1820" w:type="dxa"/>
            <w:vAlign w:val="bottom"/>
            <w:gridSpan w:val="2"/>
          </w:tcPr>
          <w:p>
            <w:pPr>
              <w:ind w:left="40"/>
              <w:spacing w:after="0" w:line="185" w:lineRule="exact"/>
              <w:rPr>
                <w:sz w:val="20"/>
                <w:szCs w:val="20"/>
                <w:color w:val="auto"/>
              </w:rPr>
            </w:pPr>
            <w:r>
              <w:rPr>
                <w:rFonts w:ascii="Arial" w:cs="Arial" w:eastAsia="Arial" w:hAnsi="Arial"/>
                <w:sz w:val="17"/>
                <w:szCs w:val="17"/>
                <w:color w:val="auto"/>
              </w:rPr>
              <w:t>Beloranib</w:t>
            </w:r>
          </w:p>
        </w:tc>
        <w:tc>
          <w:tcPr>
            <w:tcW w:w="14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Phase 2a</w:t>
            </w:r>
          </w:p>
        </w:tc>
        <w:tc>
          <w:tcPr>
            <w:tcW w:w="5240" w:type="dxa"/>
            <w:vAlign w:val="bottom"/>
          </w:tcPr>
          <w:p>
            <w:pPr>
              <w:ind w:left="80"/>
              <w:spacing w:after="0" w:line="185" w:lineRule="exact"/>
              <w:rPr>
                <w:sz w:val="20"/>
                <w:szCs w:val="20"/>
                <w:color w:val="auto"/>
              </w:rPr>
            </w:pPr>
            <w:r>
              <w:rPr>
                <w:rFonts w:ascii="Arial" w:cs="Arial" w:eastAsia="Arial" w:hAnsi="Arial"/>
                <w:sz w:val="17"/>
                <w:szCs w:val="17"/>
                <w:color w:val="auto"/>
              </w:rPr>
              <w:t>•Phase 2a clinical trial expected to start in the first half of 2014</w:t>
            </w:r>
          </w:p>
        </w:tc>
        <w:tc>
          <w:tcPr>
            <w:tcW w:w="0" w:type="dxa"/>
            <w:vAlign w:val="bottom"/>
          </w:tcPr>
          <w:p>
            <w:pPr>
              <w:spacing w:after="0"/>
              <w:rPr>
                <w:sz w:val="1"/>
                <w:szCs w:val="1"/>
                <w:color w:val="auto"/>
              </w:rPr>
            </w:pPr>
          </w:p>
        </w:tc>
      </w:tr>
      <w:tr>
        <w:trPr>
          <w:trHeight w:val="227"/>
        </w:trPr>
        <w:tc>
          <w:tcPr>
            <w:tcW w:w="29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associated obesity</w:t>
            </w:r>
          </w:p>
        </w:tc>
        <w:tc>
          <w:tcPr>
            <w:tcW w:w="1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gridSpan w:val="3"/>
          </w:tcPr>
          <w:p>
            <w:pPr>
              <w:spacing w:after="0" w:line="185" w:lineRule="exact"/>
              <w:rPr>
                <w:sz w:val="20"/>
                <w:szCs w:val="20"/>
                <w:color w:val="auto"/>
              </w:rPr>
            </w:pPr>
            <w:r>
              <w:rPr>
                <w:rFonts w:ascii="Arial" w:cs="Arial" w:eastAsia="Arial" w:hAnsi="Arial"/>
                <w:sz w:val="17"/>
                <w:szCs w:val="17"/>
                <w:color w:val="auto"/>
              </w:rPr>
              <w:t>Severe obesity in the</w:t>
            </w:r>
          </w:p>
        </w:tc>
        <w:tc>
          <w:tcPr>
            <w:tcW w:w="1820" w:type="dxa"/>
            <w:vAlign w:val="bottom"/>
            <w:gridSpan w:val="2"/>
          </w:tcPr>
          <w:p>
            <w:pPr>
              <w:ind w:left="40"/>
              <w:spacing w:after="0" w:line="185" w:lineRule="exact"/>
              <w:rPr>
                <w:sz w:val="20"/>
                <w:szCs w:val="20"/>
                <w:color w:val="auto"/>
              </w:rPr>
            </w:pPr>
            <w:r>
              <w:rPr>
                <w:rFonts w:ascii="Arial" w:cs="Arial" w:eastAsia="Arial" w:hAnsi="Arial"/>
                <w:sz w:val="17"/>
                <w:szCs w:val="17"/>
                <w:color w:val="auto"/>
              </w:rPr>
              <w:t>Beloranib</w:t>
            </w:r>
          </w:p>
        </w:tc>
        <w:tc>
          <w:tcPr>
            <w:tcW w:w="14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Phase 2a</w:t>
            </w:r>
          </w:p>
        </w:tc>
        <w:tc>
          <w:tcPr>
            <w:tcW w:w="5240" w:type="dxa"/>
            <w:vAlign w:val="bottom"/>
          </w:tcPr>
          <w:p>
            <w:pPr>
              <w:ind w:left="80"/>
              <w:spacing w:after="0" w:line="185" w:lineRule="exact"/>
              <w:rPr>
                <w:sz w:val="20"/>
                <w:szCs w:val="20"/>
                <w:color w:val="auto"/>
              </w:rPr>
            </w:pPr>
            <w:r>
              <w:rPr>
                <w:rFonts w:ascii="Arial" w:cs="Arial" w:eastAsia="Arial" w:hAnsi="Arial"/>
                <w:sz w:val="17"/>
                <w:szCs w:val="17"/>
                <w:color w:val="auto"/>
              </w:rPr>
              <w:t>•Phase 2a clinical trial completed</w:t>
            </w: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7"/>
                <w:szCs w:val="17"/>
                <w:color w:val="auto"/>
              </w:rPr>
              <w:t>general population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vMerge w:val="restart"/>
          </w:tcPr>
          <w:p>
            <w:pPr>
              <w:ind w:left="80"/>
              <w:spacing w:after="0"/>
              <w:rPr>
                <w:sz w:val="20"/>
                <w:szCs w:val="20"/>
                <w:color w:val="auto"/>
              </w:rPr>
            </w:pPr>
            <w:r>
              <w:rPr>
                <w:rFonts w:ascii="Arial" w:cs="Arial" w:eastAsia="Arial" w:hAnsi="Arial"/>
                <w:sz w:val="17"/>
                <w:szCs w:val="17"/>
                <w:color w:val="auto"/>
              </w:rPr>
              <w:t>•Phase 2b clinical trial expected to begin in the second half of 2014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Arial" w:cs="Arial" w:eastAsia="Arial" w:hAnsi="Arial"/>
                <w:sz w:val="17"/>
                <w:szCs w:val="17"/>
                <w:color w:val="auto"/>
              </w:rPr>
              <w:t>•Advancement into pivotal trials under 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20" w:type="dxa"/>
            <w:vAlign w:val="bottom"/>
            <w:gridSpan w:val="2"/>
          </w:tcPr>
          <w:p>
            <w:pPr>
              <w:ind w:left="380"/>
              <w:spacing w:after="0"/>
              <w:rPr>
                <w:sz w:val="20"/>
                <w:szCs w:val="20"/>
                <w:color w:val="auto"/>
              </w:rPr>
            </w:pPr>
            <w:r>
              <w:rPr>
                <w:rFonts w:ascii="Arial" w:cs="Arial" w:eastAsia="Arial" w:hAnsi="Arial"/>
                <w:sz w:val="17"/>
                <w:szCs w:val="17"/>
                <w:color w:val="auto"/>
                <w:w w:val="98"/>
              </w:rPr>
              <w:t>Second-generation</w:t>
            </w:r>
          </w:p>
        </w:tc>
        <w:tc>
          <w:tcPr>
            <w:tcW w:w="1400" w:type="dxa"/>
            <w:vAlign w:val="bottom"/>
            <w:gridSpan w:val="3"/>
          </w:tcPr>
          <w:p>
            <w:pPr>
              <w:ind w:left="160"/>
              <w:spacing w:after="0"/>
              <w:rPr>
                <w:sz w:val="20"/>
                <w:szCs w:val="20"/>
                <w:color w:val="auto"/>
              </w:rPr>
            </w:pPr>
            <w:r>
              <w:rPr>
                <w:rFonts w:ascii="Arial" w:cs="Arial" w:eastAsia="Arial" w:hAnsi="Arial"/>
                <w:sz w:val="17"/>
                <w:szCs w:val="17"/>
                <w:color w:val="auto"/>
              </w:rPr>
              <w:t>Pre-clinical</w:t>
            </w:r>
          </w:p>
        </w:tc>
        <w:tc>
          <w:tcPr>
            <w:tcW w:w="5240" w:type="dxa"/>
            <w:vAlign w:val="bottom"/>
          </w:tcPr>
          <w:p>
            <w:pPr>
              <w:ind w:left="80"/>
              <w:spacing w:after="0"/>
              <w:rPr>
                <w:sz w:val="20"/>
                <w:szCs w:val="20"/>
                <w:color w:val="auto"/>
              </w:rPr>
            </w:pPr>
            <w:r>
              <w:rPr>
                <w:rFonts w:ascii="Arial" w:cs="Arial" w:eastAsia="Arial" w:hAnsi="Arial"/>
                <w:sz w:val="17"/>
                <w:szCs w:val="17"/>
                <w:color w:val="auto"/>
              </w:rPr>
              <w:t>•Development candidates under consideration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7"/>
                <w:szCs w:val="17"/>
                <w:color w:val="auto"/>
              </w:rPr>
              <w:t>MetAP2 inhibitors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tcPr>
          <w:p>
            <w:pPr>
              <w:spacing w:after="0" w:line="182" w:lineRule="exact"/>
              <w:rPr>
                <w:sz w:val="20"/>
                <w:szCs w:val="20"/>
                <w:color w:val="auto"/>
              </w:rPr>
            </w:pPr>
            <w:r>
              <w:rPr>
                <w:rFonts w:ascii="Arial" w:cs="Arial" w:eastAsia="Arial" w:hAnsi="Arial"/>
                <w:sz w:val="17"/>
                <w:szCs w:val="17"/>
                <w:color w:val="auto"/>
                <w:w w:val="99"/>
              </w:rPr>
              <w:t>Nonalcoholic steatohepatitis, or NASH,</w:t>
            </w:r>
          </w:p>
        </w:tc>
        <w:tc>
          <w:tcPr>
            <w:tcW w:w="1820" w:type="dxa"/>
            <w:vAlign w:val="bottom"/>
            <w:gridSpan w:val="2"/>
          </w:tcPr>
          <w:p>
            <w:pPr>
              <w:ind w:left="40"/>
              <w:spacing w:after="0" w:line="182" w:lineRule="exact"/>
              <w:rPr>
                <w:sz w:val="20"/>
                <w:szCs w:val="20"/>
                <w:color w:val="auto"/>
              </w:rPr>
            </w:pPr>
            <w:r>
              <w:rPr>
                <w:rFonts w:ascii="Arial" w:cs="Arial" w:eastAsia="Arial" w:hAnsi="Arial"/>
                <w:sz w:val="17"/>
                <w:szCs w:val="17"/>
                <w:color w:val="auto"/>
              </w:rPr>
              <w:t>ZGN-839</w:t>
            </w:r>
          </w:p>
        </w:tc>
        <w:tc>
          <w:tcPr>
            <w:tcW w:w="1400" w:type="dxa"/>
            <w:vAlign w:val="bottom"/>
            <w:gridSpan w:val="3"/>
          </w:tcPr>
          <w:p>
            <w:pPr>
              <w:ind w:left="160"/>
              <w:spacing w:after="0" w:line="182" w:lineRule="exact"/>
              <w:rPr>
                <w:sz w:val="20"/>
                <w:szCs w:val="20"/>
                <w:color w:val="auto"/>
              </w:rPr>
            </w:pPr>
            <w:r>
              <w:rPr>
                <w:rFonts w:ascii="Arial" w:cs="Arial" w:eastAsia="Arial" w:hAnsi="Arial"/>
                <w:sz w:val="17"/>
                <w:szCs w:val="17"/>
                <w:color w:val="auto"/>
              </w:rPr>
              <w:t>Pre-clinical</w:t>
            </w:r>
          </w:p>
        </w:tc>
        <w:tc>
          <w:tcPr>
            <w:tcW w:w="5240" w:type="dxa"/>
            <w:vAlign w:val="bottom"/>
          </w:tcPr>
          <w:p>
            <w:pPr>
              <w:ind w:left="80"/>
              <w:spacing w:after="0" w:line="182" w:lineRule="exact"/>
              <w:rPr>
                <w:sz w:val="20"/>
                <w:szCs w:val="20"/>
                <w:color w:val="auto"/>
              </w:rPr>
            </w:pPr>
            <w:r>
              <w:rPr>
                <w:rFonts w:ascii="Arial" w:cs="Arial" w:eastAsia="Arial" w:hAnsi="Arial"/>
                <w:sz w:val="17"/>
                <w:szCs w:val="17"/>
                <w:color w:val="auto"/>
              </w:rPr>
              <w:t>•Pre-clinical studies ongoing</w:t>
            </w:r>
          </w:p>
        </w:tc>
        <w:tc>
          <w:tcPr>
            <w:tcW w:w="0" w:type="dxa"/>
            <w:vAlign w:val="bottom"/>
          </w:tcPr>
          <w:p>
            <w:pPr>
              <w:spacing w:after="0"/>
              <w:rPr>
                <w:sz w:val="1"/>
                <w:szCs w:val="1"/>
                <w:color w:val="auto"/>
              </w:rPr>
            </w:pPr>
          </w:p>
        </w:tc>
      </w:tr>
      <w:tr>
        <w:trPr>
          <w:trHeight w:val="203"/>
        </w:trPr>
        <w:tc>
          <w:tcPr>
            <w:tcW w:w="2960" w:type="dxa"/>
            <w:vAlign w:val="bottom"/>
            <w:gridSpan w:val="3"/>
          </w:tcPr>
          <w:p>
            <w:pPr>
              <w:spacing w:after="0"/>
              <w:rPr>
                <w:sz w:val="20"/>
                <w:szCs w:val="20"/>
                <w:color w:val="auto"/>
              </w:rPr>
            </w:pPr>
            <w:r>
              <w:rPr>
                <w:rFonts w:ascii="Arial" w:cs="Arial" w:eastAsia="Arial" w:hAnsi="Arial"/>
                <w:sz w:val="17"/>
                <w:szCs w:val="17"/>
                <w:color w:val="auto"/>
              </w:rPr>
              <w:t>nonalcoholic fatty liver disease,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vMerge w:val="restart"/>
          </w:tcPr>
          <w:p>
            <w:pPr>
              <w:ind w:left="80"/>
              <w:spacing w:after="0"/>
              <w:rPr>
                <w:sz w:val="20"/>
                <w:szCs w:val="20"/>
                <w:color w:val="auto"/>
              </w:rPr>
            </w:pPr>
            <w:r>
              <w:rPr>
                <w:rFonts w:ascii="Arial" w:cs="Arial" w:eastAsia="Arial" w:hAnsi="Arial"/>
                <w:sz w:val="17"/>
                <w:szCs w:val="17"/>
                <w:color w:val="auto"/>
                <w:w w:val="98"/>
              </w:rPr>
              <w:t>•Investigational New Drug Application, or IND, filing anticipated by the</w:t>
            </w:r>
          </w:p>
        </w:tc>
        <w:tc>
          <w:tcPr>
            <w:tcW w:w="0" w:type="dxa"/>
            <w:vAlign w:val="bottom"/>
          </w:tcPr>
          <w:p>
            <w:pPr>
              <w:spacing w:after="0"/>
              <w:rPr>
                <w:sz w:val="1"/>
                <w:szCs w:val="1"/>
                <w:color w:val="auto"/>
              </w:rPr>
            </w:pPr>
          </w:p>
        </w:tc>
      </w:tr>
      <w:tr>
        <w:trPr>
          <w:trHeight w:val="122"/>
        </w:trPr>
        <w:tc>
          <w:tcPr>
            <w:tcW w:w="2960" w:type="dxa"/>
            <w:vAlign w:val="bottom"/>
            <w:gridSpan w:val="3"/>
            <w:vMerge w:val="restart"/>
          </w:tcPr>
          <w:p>
            <w:pPr>
              <w:spacing w:after="0"/>
              <w:rPr>
                <w:sz w:val="20"/>
                <w:szCs w:val="20"/>
                <w:color w:val="auto"/>
              </w:rPr>
            </w:pPr>
            <w:r>
              <w:rPr>
                <w:rFonts w:ascii="Arial" w:cs="Arial" w:eastAsia="Arial" w:hAnsi="Arial"/>
                <w:sz w:val="17"/>
                <w:szCs w:val="17"/>
                <w:color w:val="auto"/>
              </w:rPr>
              <w:t>abdominal obesity and type 2 diabetes</w:t>
            </w: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960" w:type="dxa"/>
            <w:vAlign w:val="bottom"/>
            <w:gridSpan w:val="3"/>
            <w:vMerge w:val="continue"/>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40" w:type="dxa"/>
            <w:vAlign w:val="bottom"/>
            <w:vMerge w:val="restart"/>
          </w:tcPr>
          <w:p>
            <w:pPr>
              <w:ind w:left="260"/>
              <w:spacing w:after="0"/>
              <w:rPr>
                <w:sz w:val="20"/>
                <w:szCs w:val="20"/>
                <w:color w:val="auto"/>
              </w:rPr>
            </w:pPr>
            <w:r>
              <w:rPr>
                <w:rFonts w:ascii="Arial" w:cs="Arial" w:eastAsia="Arial" w:hAnsi="Arial"/>
                <w:sz w:val="17"/>
                <w:szCs w:val="17"/>
                <w:color w:val="auto"/>
              </w:rPr>
              <w:t>first half of 2015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Populations of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Obesity Caused by Rare Conditions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Obesity is a complex medical disorder involving appetite dysregulation and altered lipid and energy metabolism that results in excessive accumulation of fat tissue. We initially plan to develop beloranib for the treatment of subpopulations of severely obese patients, including those with rare conditions such as PWS and craniopharyngioma, where severe obesity is a co-morbidity of an underlying condition. These conditions frequently are characterized by increased and life-threatening hunger that occurs secondary to damage to the hypothalamus, genetic conditions affecting embryological development or function of the hypothalamus, or conditions that occur as a result of certain drug side effects, radiation therapy, or other impairments to the normal function of the hypothalamus. Regardless of the causative agent or condition, the resultant damage to the hypothalamus impairs its normal function, including the ability to modulate hunger. These conditions are most often associated with a severe and life-limiting form of obesity and neither dietary interventions nor currently available pharmaceutical therapies bring meaningful benefit to these patients, for whom bariatric surgery is generally contra-indicated. Based on results from animal experiments in which compromised hypothalamic function caused hunger and obesity, we believe that beloranib may have utility in the treatment of severe obesity and hyperphagia, or excess hunger, in human disease settings in which hypothalamic food intake control centers are compromised. We are developing beloranib in these subpopulations of patients as a treatment for severe obesity in PWS patients and craniopharyngioma-associated obesity, and are continuing to explore the use of beloranib as a treatment for severe obesity in the general population.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PWS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PWS is the most common known genetic cause of life-threatening obesity. PWS is a rare and complex non-inherited genetic disorder, which results from abnormalities of the fifteenth chromosome. Symptoms associated with PWS are believed to result, in part, from a defect in the hypothalamus, an important supervisory center in the brain that controls many important bodily functions, such as hunger, metabolism of fats and carbohydrates, regulation of the sleep-wake cycle and expression of emotions.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Beginning in childhood, the brain of a PWS patient fails to regulate metabolism and appetite normally. As a result, the vast majority of PWS patients suffer from hyperphagia and severe obesity. PWS patients are constantly preoccupied with food and an unrelenting and overriding physiological drive to eat. Hyperphagia, a leading symptom of PWS, has a significant negative impact on the patients’ quality of life as well as drives obesity and a range of associated co-morbidities. Normal satiety, or the feeling of fullness after eating, does not exist in a person with PWS. The physiological drive to eat is so powerful and overwhelming that most PWS patients will go to great lengths to eat large quantities of food, even if it is spoiled, indigestible, or unpalatable to others. Furthermore, PWS patients have a reduced propensity for nausea and vomiting. In addition to obesity, a variety of other symptoms can be associated with PWS, including cognitive challenges, intellectual disabilities, growth hormone deficiency/short stature, low sensitivity to pain, hypersomnolence, or excessive sleepiness, and infertility due to hypogonadism, or insufficient production of sex hormones.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Hyperphagia impairs the PWS patients’ ability to live independently, requiring costly and constant supervision to prevent overeating. Without supervision, PWS patients are likely to die prematurely as a result of choking, stomach rupture or tissue necrosis, or from complications caused by morbid obesity, such as right heart failure and respiratory failure. Based on our evaluation of published survival data, the average life expectancy of PWS patients is approximately 32 years of age. While a small number of PWS patients are cared for in costly group homes, the majority of PWS patients are cared for in their homes and their families undertake substantial effort to create physical barriers to eating. These efforts result in extremely stressful environments as caregivers often place locks and alarms on cabinets and refrigerators that contain food to impede PWS patients’ efforts to obtain food at all times. We estimate the typical annual cost of treating a PWS patient is $100,000 to $200,000, excluding the often significant costs of drug therapies related to other medical and psychological conditions, and the costs of any lost time from work experienced by their families due to responsibilities related to the care of a PWS patient.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Published population studies estimate that the prevalence of PWS in the United States and in the European Union ranges from 1 in 8,000 to 1 in 50,000. PWS is diagnosed at an early age, typically in the first year of life, and we believe that, due to the severity of the condition and its unique attributes, the vast majority of patients affected by PWS are diagnosed. Approximately 50% of PWS patients are 13 years of age or older. We believe that further information regarding the prevalence of PWS will become available through a patient registry that is currently being developed by the Foundation for Prader-Willi Research.</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there are pharmacological treatments for various symptoms of PWS, such as replacement of human growth hormone in PWS patients that are deficient in growth hormone, based on our discussions with physicians who treat PWS patients, there are currently no effective pharmacological treatments for obesity and hyperphagia in PWS. Furthermore, bariatric surgery is contraindicated in PWS patients due to poor outcomes related to an increased risk of rupture of the reduced stomach in the setting of sleeve gastrectomy or gastric bypass procedures, or rupture of the restricted esophagus in the setting of gastric banding procedures with the consequence of life-threatening gastric perforation. Apart from restricted access to food and constant supervision to prevent both life-threatening overeating and morbid obesity, there is currently no treatment for obesity and hyperphagia in PWS patients. We recently completed a Phase 2a clinical trial evaluating beloranib’s ability to reduce body weight and to improve hyperphagia in PWS patients. In this clinical trial, we observed reductions in body weight, body mass, body fat content and hyperphagia-related behaviors in PWS patients treated with beloranib. We plan to initiate a Phase 3 clinical trial of beloranib in PWS patients in 2014 after finalizing the trial design based on conversations with the FDA.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January 2013, the FDA granted orphan designation for our application to treat PWS with beloranib. We plan to file an application to obtain orphan drug designation for beloranib as a treatment for hyperphagia and obesity in PWS in the European Union in early 2014. Orphan drug designation provides for seven years of marketing exclusivity in the United States and ten years of marketing exclusivity in the European Union.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Craniopharyngioma-Associated Obesity</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Craniopharyngioma is a rare form of benign brain tumor that occurs near the optic nerve, pituitary gland and hypothalamus. Approximately 30% to 50% of cases of craniopharyngioma are diagnosed in childhood and adolescence. Manifestations of craniopharyngioma include visual disturbances, headaches and impairment to the hypothalamus-pituitary axis affecting hormone secretion. Treatment of these tumors commonly involves radical surgical removal of the tumor mass by endoscopy or craniotomy, followed by radiation treatment, which results in disruption or removal of neighboring structures including the hypothalamus. Depending on the degree of damage to the hypothalamus caused by tumor removal and subsequent radiation, there may be greater variation in hyperphagia and severe obesity prevalence in craniopharyngioma patients than PWS patients. Post-treatment hypothalamic dysfunction results in hyperphagia in approximately 50% of these patients, resulting in severe obesity and a worsened quality of life.</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Published population studies estimate that the incidence of craniopharyngioma is 0.13 to 0.17 per 100,000 per year, or approximately 400 to 500 cases per year in the United States and 650 to 850 cases per year in the European Union. We believe patients with craniopharyngioma-associated obesity have a longer life expectancy than PWS patients, which contributes to an increased risk of developing obesity-related co-morbid conditions such as type 2 diabetes in such patients.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Currently, there are no pharmacological agents for the treatment of hyperphagia and resultant severe obesity seen in patients with craniopharyngioma-associated obesity, and bariatric surgery is not frequently employed in this patient population. We believe this is related to perceived risks of surgical interventions in this population including increased risk of post-surgical complications.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plan to seek orphan drug designation for the treatment of craniopharyngioma-associated obesity in the United States and the European Union, and anticipate initiating a Phase 2a clinical trial, ZAF-221, evaluating the impact of beloranib treatment on body weight, body composition and hyperphagia in patients with craniopharyngioma-associated obesity in the first half of 2014. Depending upon the outcome of our Phase 2a clinical trial, we anticipate that our Phase 3 clinical trial of beloranib as a treatment of craniopharyngioma-associated obesity will evaluate beloranib’s impact on weight loss, body composition and hyperphagia.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Obesity in the General Population</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Our long-term intention is to pursue clinical development of beloranib or another MetAP2 inhibitor as a treatment for severely obese patients in the general population. We believe this patient population would benefit from MetAP2 inhibitor treatment through the reduction of body weight and through improvement of severity or symptoms of other co-morbid conditions. We believe that MetAP2 inhibitors have the potential to offer this patient population, most of which is not adequately responsive to available therapies, substantial health and quality of life benefits.</w:t>
      </w:r>
    </w:p>
    <w:p>
      <w:pPr>
        <w:spacing w:after="0" w:line="17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The most effective current treatment for severe obesity is bariatric surgery, including procedures such as the Roux-en-Y gastric bypass, adjustable gastric banding, sleeve gastrectomy and biliopancreatic diversion. Bariatric surgery produces dramatic and sustained weight loss, ranging on average from 20% to 35% one year post-procedure and reduces overall mortality, but it can result in numerous complications and adverse events including infection, internal bleeding, pulmonary disease and gastrointestinal obstruction, which sometimes requires reoperation during the post-operative period. Longer-term side effects of bariatric surgery, such as poor nutrient absorption, strictures and hernias, have also been observed.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Bariatric surgery eligibility criteria generally identify surgical candidates as those patients with BMIs, greater than 40 kg/m</w:t>
      </w:r>
      <w:r>
        <w:rPr>
          <w:rFonts w:ascii="Arial" w:cs="Arial" w:eastAsia="Arial" w:hAnsi="Arial"/>
          <w:sz w:val="13"/>
          <w:szCs w:val="13"/>
          <w:color w:val="auto"/>
        </w:rPr>
        <w:t>2</w:t>
      </w:r>
      <w:r>
        <w:rPr>
          <w:rFonts w:ascii="Arial" w:cs="Arial" w:eastAsia="Arial" w:hAnsi="Arial"/>
          <w:sz w:val="16"/>
          <w:szCs w:val="16"/>
          <w:color w:val="auto"/>
        </w:rPr>
        <w:t>, or those with BMIs over 35 kg/m</w:t>
      </w:r>
      <w:r>
        <w:rPr>
          <w:rFonts w:ascii="Arial" w:cs="Arial" w:eastAsia="Arial" w:hAnsi="Arial"/>
          <w:sz w:val="13"/>
          <w:szCs w:val="13"/>
          <w:color w:val="auto"/>
        </w:rPr>
        <w:t>2</w:t>
      </w:r>
      <w:r>
        <w:rPr>
          <w:rFonts w:ascii="Arial" w:cs="Arial" w:eastAsia="Arial" w:hAnsi="Arial"/>
          <w:sz w:val="16"/>
          <w:szCs w:val="16"/>
          <w:color w:val="auto"/>
        </w:rPr>
        <w:t xml:space="preserve"> who also have a significant and uncontrolled co-morbid condition. Based on these criteria, it is estimated conservatively that there will be at least</w:t>
      </w:r>
    </w:p>
    <w:p>
      <w:pPr>
        <w:spacing w:after="0" w:line="252" w:lineRule="auto"/>
        <w:rPr>
          <w:sz w:val="20"/>
          <w:szCs w:val="20"/>
          <w:color w:val="auto"/>
        </w:rPr>
      </w:pPr>
      <w:r>
        <w:rPr>
          <w:rFonts w:ascii="Arial" w:cs="Arial" w:eastAsia="Arial" w:hAnsi="Arial"/>
          <w:sz w:val="18"/>
          <w:szCs w:val="18"/>
          <w:color w:val="auto"/>
        </w:rPr>
        <w:t>16 million adults in the United States eligible for bariatric surgery by the time beloranib or another MetAP2 inhibitor could become available commercially. In addition to the BMI and co-morbidity eligibility criteria, patients need to satisfy a number of other criteria in order to have bariatric surgery; a severely obese patient must not have any known endocrine causes of obesity, a drug or alcohol problem, or an uncontrolled psychological condition, and must understand and appreciate the risks of the surgical intervention. According to the American Society for Metabolic &amp; Bariatric Surgery and to HealthGrades, the average cost of bariatric surgery in the United States is approximately $22,000-$38,000. As a result of these limiting criteria and the financial commitments required, only a few hundred thousand patients undergo bariatric surgery each year even though over 16 million patients in the United States are eligible for the surgery based on BMI alone.</w:t>
      </w:r>
    </w:p>
    <w:p>
      <w:pPr>
        <w:spacing w:after="0" w:line="193"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pharmaceutical industry has undertaken several waves of activity to discover and develop new drugs for the treatment of obesity. Relative to bariatric surgery, pharmaceutical treatments have produced modest efficacy. In addition, existing pharmacotherapeutics for obesity often have undesirable adverse event profiles.</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following table summarizes information from pivotal trials supporting registration for the current pharmacological treatments for severe obesity and the key limitations of these treatments, and unless specified otherwise in the table below, weight loss data is based on one year or longer treatment with the drug: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Treatment</w:t>
            </w:r>
          </w:p>
        </w:tc>
        <w:tc>
          <w:tcPr>
            <w:tcW w:w="840" w:type="dxa"/>
            <w:vAlign w:val="bottom"/>
            <w:vMerge w:val="restart"/>
          </w:tcPr>
          <w:p>
            <w:pPr>
              <w:spacing w:after="0"/>
              <w:rPr>
                <w:sz w:val="14"/>
                <w:szCs w:val="14"/>
                <w:color w:val="auto"/>
              </w:rPr>
            </w:pPr>
          </w:p>
        </w:tc>
        <w:tc>
          <w:tcPr>
            <w:tcW w:w="2500" w:type="dxa"/>
            <w:vAlign w:val="bottom"/>
            <w:gridSpan w:val="2"/>
          </w:tcPr>
          <w:p>
            <w:pPr>
              <w:ind w:left="560"/>
              <w:spacing w:after="0"/>
              <w:rPr>
                <w:sz w:val="20"/>
                <w:szCs w:val="20"/>
                <w:color w:val="auto"/>
              </w:rPr>
            </w:pPr>
            <w:r>
              <w:rPr>
                <w:rFonts w:ascii="Arial" w:cs="Arial" w:eastAsia="Arial" w:hAnsi="Arial"/>
                <w:sz w:val="14"/>
                <w:szCs w:val="14"/>
                <w:b w:val="1"/>
                <w:bCs w:val="1"/>
                <w:color w:val="auto"/>
              </w:rPr>
              <w:t>% Placebo-Adjusted</w:t>
            </w:r>
          </w:p>
        </w:tc>
        <w:tc>
          <w:tcPr>
            <w:tcW w:w="742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Key Limitations**</w:t>
            </w:r>
          </w:p>
        </w:tc>
        <w:tc>
          <w:tcPr>
            <w:tcW w:w="0" w:type="dxa"/>
            <w:vAlign w:val="bottom"/>
          </w:tcPr>
          <w:p>
            <w:pPr>
              <w:spacing w:after="0"/>
              <w:rPr>
                <w:sz w:val="1"/>
                <w:szCs w:val="1"/>
                <w:color w:val="auto"/>
              </w:rPr>
            </w:pPr>
          </w:p>
        </w:tc>
      </w:tr>
      <w:tr>
        <w:trPr>
          <w:trHeight w:val="185"/>
        </w:trPr>
        <w:tc>
          <w:tcPr>
            <w:tcW w:w="660" w:type="dxa"/>
            <w:vAlign w:val="bottom"/>
            <w:tcBorders>
              <w:bottom w:val="single" w:sz="8" w:color="auto"/>
            </w:tcBorders>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4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Weight Loss*</w:t>
            </w:r>
          </w:p>
        </w:tc>
        <w:tc>
          <w:tcPr>
            <w:tcW w:w="100" w:type="dxa"/>
            <w:vAlign w:val="bottom"/>
          </w:tcPr>
          <w:p>
            <w:pPr>
              <w:spacing w:after="0"/>
              <w:rPr>
                <w:sz w:val="16"/>
                <w:szCs w:val="16"/>
                <w:color w:val="auto"/>
              </w:rPr>
            </w:pPr>
          </w:p>
        </w:tc>
        <w:tc>
          <w:tcPr>
            <w:tcW w:w="7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00" w:type="dxa"/>
            <w:vAlign w:val="bottom"/>
            <w:gridSpan w:val="3"/>
          </w:tcPr>
          <w:p>
            <w:pPr>
              <w:spacing w:after="0"/>
              <w:rPr>
                <w:sz w:val="20"/>
                <w:szCs w:val="20"/>
                <w:color w:val="auto"/>
              </w:rPr>
            </w:pPr>
            <w:r>
              <w:rPr>
                <w:rFonts w:ascii="Arial" w:cs="Arial" w:eastAsia="Arial" w:hAnsi="Arial"/>
                <w:sz w:val="18"/>
                <w:szCs w:val="18"/>
                <w:color w:val="auto"/>
              </w:rPr>
              <w:t>Phentermine</w:t>
            </w:r>
          </w:p>
        </w:tc>
        <w:tc>
          <w:tcPr>
            <w:tcW w:w="2400" w:type="dxa"/>
            <w:vAlign w:val="bottom"/>
          </w:tcPr>
          <w:p>
            <w:pPr>
              <w:spacing w:after="0"/>
              <w:rPr>
                <w:sz w:val="20"/>
                <w:szCs w:val="20"/>
                <w:color w:val="auto"/>
              </w:rPr>
            </w:pPr>
            <w:r>
              <w:rPr>
                <w:rFonts w:ascii="Arial" w:cs="Arial" w:eastAsia="Arial" w:hAnsi="Arial"/>
                <w:sz w:val="18"/>
                <w:szCs w:val="18"/>
                <w:color w:val="auto"/>
              </w:rPr>
              <w:t>3.8-4.4% over 6 months</w:t>
            </w:r>
          </w:p>
        </w:tc>
        <w:tc>
          <w:tcPr>
            <w:tcW w:w="100" w:type="dxa"/>
            <w:vAlign w:val="bottom"/>
          </w:tcPr>
          <w:p>
            <w:pPr>
              <w:spacing w:after="0"/>
              <w:rPr>
                <w:sz w:val="19"/>
                <w:szCs w:val="19"/>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  Short-term use only</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  Cannot be used in pregnant women</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Xenical</w:t>
            </w:r>
            <w:r>
              <w:rPr>
                <w:rFonts w:ascii="Arial" w:cs="Arial" w:eastAsia="Arial" w:hAnsi="Arial"/>
                <w:sz w:val="15"/>
                <w:szCs w:val="15"/>
                <w:color w:val="auto"/>
              </w:rPr>
              <w:t>®</w:t>
            </w:r>
            <w:r>
              <w:rPr>
                <w:rFonts w:ascii="Arial" w:cs="Arial" w:eastAsia="Arial" w:hAnsi="Arial"/>
                <w:sz w:val="18"/>
                <w:szCs w:val="18"/>
                <w:color w:val="auto"/>
              </w:rPr>
              <w:t>/ alli</w:t>
            </w:r>
          </w:p>
        </w:tc>
        <w:tc>
          <w:tcPr>
            <w:tcW w:w="2400" w:type="dxa"/>
            <w:vAlign w:val="bottom"/>
          </w:tcPr>
          <w:p>
            <w:pPr>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  Unpleasant gastrointestinal side effects related to dietary fat malabsorption</w:t>
            </w:r>
          </w:p>
        </w:tc>
        <w:tc>
          <w:tcPr>
            <w:tcW w:w="0" w:type="dxa"/>
            <w:vAlign w:val="bottom"/>
          </w:tcPr>
          <w:p>
            <w:pPr>
              <w:spacing w:after="0"/>
              <w:rPr>
                <w:sz w:val="1"/>
                <w:szCs w:val="1"/>
                <w:color w:val="auto"/>
              </w:rPr>
            </w:pPr>
          </w:p>
        </w:tc>
      </w:tr>
      <w:tr>
        <w:trPr>
          <w:trHeight w:val="121"/>
        </w:trPr>
        <w:tc>
          <w:tcPr>
            <w:tcW w:w="1500" w:type="dxa"/>
            <w:vAlign w:val="bottom"/>
            <w:tcBorders>
              <w:bottom w:val="single" w:sz="8" w:color="auto"/>
            </w:tcBorders>
            <w:gridSpan w:val="3"/>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500" w:type="dxa"/>
            <w:vAlign w:val="bottom"/>
            <w:gridSpan w:val="3"/>
          </w:tcPr>
          <w:p>
            <w:pPr>
              <w:spacing w:after="0" w:line="195" w:lineRule="exact"/>
              <w:rPr>
                <w:sz w:val="20"/>
                <w:szCs w:val="20"/>
                <w:color w:val="auto"/>
              </w:rPr>
            </w:pPr>
            <w:r>
              <w:rPr>
                <w:rFonts w:ascii="Arial" w:cs="Arial" w:eastAsia="Arial" w:hAnsi="Arial"/>
                <w:sz w:val="18"/>
                <w:szCs w:val="18"/>
                <w:color w:val="auto"/>
              </w:rPr>
              <w:t>Qsymia</w:t>
            </w:r>
            <w:r>
              <w:rPr>
                <w:rFonts w:ascii="Arial" w:cs="Arial" w:eastAsia="Arial" w:hAnsi="Arial"/>
                <w:sz w:val="15"/>
                <w:szCs w:val="15"/>
                <w:color w:val="auto"/>
              </w:rPr>
              <w:t>®</w:t>
            </w:r>
          </w:p>
        </w:tc>
        <w:tc>
          <w:tcPr>
            <w:tcW w:w="2500" w:type="dxa"/>
            <w:vAlign w:val="bottom"/>
            <w:gridSpan w:val="2"/>
          </w:tcPr>
          <w:p>
            <w:pPr>
              <w:spacing w:after="0" w:line="195" w:lineRule="exact"/>
              <w:rPr>
                <w:sz w:val="20"/>
                <w:szCs w:val="20"/>
                <w:color w:val="auto"/>
              </w:rPr>
            </w:pPr>
            <w:r>
              <w:rPr>
                <w:rFonts w:ascii="Arial" w:cs="Arial" w:eastAsia="Arial" w:hAnsi="Arial"/>
                <w:sz w:val="18"/>
                <w:szCs w:val="18"/>
                <w:color w:val="auto"/>
                <w:w w:val="96"/>
              </w:rPr>
              <w:t>6.6% at target dose of 7.5mg/46</w:t>
            </w:r>
          </w:p>
        </w:tc>
        <w:tc>
          <w:tcPr>
            <w:tcW w:w="7420" w:type="dxa"/>
            <w:vAlign w:val="bottom"/>
          </w:tcPr>
          <w:p>
            <w:pPr>
              <w:ind w:left="100"/>
              <w:spacing w:after="0" w:line="195" w:lineRule="exact"/>
              <w:rPr>
                <w:sz w:val="20"/>
                <w:szCs w:val="20"/>
                <w:color w:val="auto"/>
              </w:rPr>
            </w:pPr>
            <w:r>
              <w:rPr>
                <w:rFonts w:ascii="Arial" w:cs="Arial" w:eastAsia="Arial" w:hAnsi="Arial"/>
                <w:sz w:val="18"/>
                <w:szCs w:val="18"/>
                <w:color w:val="auto"/>
                <w:w w:val="99"/>
              </w:rPr>
              <w:t>•  Known human teratogen – cannot be used in women unless contraception can be assured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mg</w:t>
            </w: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8.6% at high dose of</w:t>
            </w: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15mg/92mg</w:t>
            </w:r>
          </w:p>
        </w:tc>
        <w:tc>
          <w:tcPr>
            <w:tcW w:w="7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Belviq</w:t>
            </w:r>
            <w:r>
              <w:rPr>
                <w:rFonts w:ascii="Arial" w:cs="Arial" w:eastAsia="Arial" w:hAnsi="Arial"/>
                <w:sz w:val="15"/>
                <w:szCs w:val="15"/>
                <w:color w:val="auto"/>
              </w:rPr>
              <w:t>®</w:t>
            </w:r>
          </w:p>
        </w:tc>
        <w:tc>
          <w:tcPr>
            <w:tcW w:w="2400" w:type="dxa"/>
            <w:vAlign w:val="bottom"/>
          </w:tcPr>
          <w:p>
            <w:pPr>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w w:val="99"/>
              </w:rPr>
              <w:t>•  Should not be taken during pregnancy or by women who are planning to become pregnant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140" w:hanging="452"/>
        <w:spacing w:after="0" w:line="29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Placebo-adjusted weight loss refers to the difference in mean weight loss observed in drug-treated patients and the weight change within the same trial observed in placebo-treated patients. This analysis takes into account, at least in part, the impact of diet and lifestyle interventions employed in drug</w:t>
      </w:r>
    </w:p>
    <w:p>
      <w:pPr>
        <w:ind w:left="460"/>
        <w:spacing w:after="0"/>
        <w:rPr>
          <w:sz w:val="20"/>
          <w:szCs w:val="20"/>
          <w:color w:val="auto"/>
        </w:rPr>
      </w:pPr>
      <w:r>
        <w:rPr>
          <w:rFonts w:ascii="Arial" w:cs="Arial" w:eastAsia="Arial" w:hAnsi="Arial"/>
          <w:sz w:val="18"/>
          <w:szCs w:val="18"/>
          <w:color w:val="auto"/>
        </w:rPr>
        <w:t>registration trials.</w:t>
      </w:r>
    </w:p>
    <w:p>
      <w:pPr>
        <w:spacing w:after="0" w:line="9" w:lineRule="exact"/>
        <w:rPr>
          <w:sz w:val="20"/>
          <w:szCs w:val="20"/>
          <w:color w:val="auto"/>
        </w:rPr>
      </w:pPr>
    </w:p>
    <w:p>
      <w:pPr>
        <w:ind w:left="460" w:right="54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Some patients in our clinical trials of beloranib have reported gastrointestinal side effects, such as nausea, diarrhea or vomiting as well as sleep disturbance. In addition, beloranib will likely carry a Category X label and therefore be contraindicated in pregnant women or women looking to become pregnant.</w:t>
      </w:r>
    </w:p>
    <w:p>
      <w:pPr>
        <w:spacing w:after="0" w:line="19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recently completed a 12-week Phase 2a clinical trial of beloranib administered twice weekly in obese patients. We observed placebo-adjusted weight loss, or weight loss observed beyond that seen in the control arm, of up to 10.3% after 12 weeks of treatment with beloranib. In addition, we observed reductions in levels of low density lipoprotein cholesterol, C-reactive protein and systolic blood pressure. Patients treated with beloranib also reported reduced hunger, as assessed using a visual analog scale, a widely used self-reported measure of hunger and related endpoints. We intend to initiate a Phase 2b clinical trial of beloranib as a treatment for severe obesity in the general population. We are also evaluating additional proprietary MetAP2 inhibitors beyond beloranib as potential development candidates that would provide increased patient convenience in the form of oral dosing, or an otherwise improved clinical profile. A decision on whether to subsequently advance beloranib</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into pivotal trials for severe obesity or to leverage the opportunity to advance another MetAP2 inhibitor into early development for severe obesity is anticipated to be made on the basis of results obtained from our planned Phase 3 clinical trial of beloranib in PWS patients and discussions with regulatory authorities. Future clinical development may address the impact of beloranib or a related drug on type 2 diabetes and other common co-morbid conditions associated with obesity.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objective is to be a leader in the discovery, development and commercialization of novel therapies to significantly improve the health and well-being of patients affected by obesity. Key elements of our strategy include:</w:t>
      </w:r>
    </w:p>
    <w:p>
      <w:pPr>
        <w:spacing w:after="0" w:line="76" w:lineRule="exact"/>
        <w:rPr>
          <w:sz w:val="20"/>
          <w:szCs w:val="20"/>
          <w:color w:val="auto"/>
        </w:rPr>
      </w:pPr>
    </w:p>
    <w:p>
      <w:pPr>
        <w:ind w:left="900" w:right="40" w:hanging="325"/>
        <w:spacing w:after="0" w:line="26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clinical development of beloranib in subpopulations of severely obese patients, including those with rare conditions, where severe obesity is a co-morbidity of an underlying condition. </w:t>
      </w:r>
      <w:r>
        <w:rPr>
          <w:rFonts w:ascii="Arial" w:cs="Arial" w:eastAsia="Arial" w:hAnsi="Arial"/>
          <w:sz w:val="17"/>
          <w:szCs w:val="17"/>
          <w:color w:val="auto"/>
        </w:rPr>
        <w:t>Diseases in this category include PWS, hypothalamic damage that is caused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trauma, surgical removal of tumors (including craniopharyngioma), radiation therapy of mid-brain tumors and monogenic loss of function mutations, including leptin deficiency and melanocortin receptor subclass 4 mutations. We believe that rare conditions such as PWS afford us an opportunity to rapidly develop and commercialize beloranib using smaller, more focused and less costly clinical trials, relative to those required to develop beloranib for the broader severe obesity population. Beloranib exerts its weight loss effects using a novel mechanism that does not appear to require fully functioning hypothalamic control pathways. We believe this mechanism is well-suited for patients with severe obesity that is caused by the failure of hypothalamic food intake control mechanisms, in particular the control of relentless and pathological hunger, or hyperphagia. We recently completed a Phase 2a clinical trial of beloranib as a treatment for severe obesity in PWS patients, the most common known genetic cause of life-threatening obesity. In this clinical trial, we observed reductions in body weight, body mass, body fat content and hyperphagia-related behaviors in PWS patients treated with beloranib. We expect the full clinical trial report will be available in the second quarter of 2014. We plan to initiate a Phase 3 clinical trial of beloranib in PWS patients in 2014, after finalizing the trial design based on conversations with the FDA. We also plan to initiate a Phase 2a clinical trial of beloranib in patients with craniopharyngioma-associated obesity in the first half of 2014.</w:t>
      </w:r>
    </w:p>
    <w:p>
      <w:pPr>
        <w:spacing w:after="0" w:line="90" w:lineRule="exact"/>
        <w:rPr>
          <w:rFonts w:ascii="Arial" w:cs="Arial" w:eastAsia="Arial" w:hAnsi="Arial"/>
          <w:sz w:val="17"/>
          <w:szCs w:val="17"/>
          <w:color w:val="auto"/>
        </w:rPr>
      </w:pPr>
    </w:p>
    <w:p>
      <w:pPr>
        <w:ind w:left="900" w:hanging="325"/>
        <w:spacing w:after="0" w:line="284"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the clinical development of MetAP2 inhibitors for the treatment of severely obese patients in the general population, including those who are candidates for bariatric surgery. </w:t>
      </w:r>
      <w:r>
        <w:rPr>
          <w:rFonts w:ascii="Arial" w:cs="Arial" w:eastAsia="Arial" w:hAnsi="Arial"/>
          <w:sz w:val="16"/>
          <w:szCs w:val="16"/>
          <w:color w:val="auto"/>
        </w:rPr>
        <w:t>We believe the severely obese patient population would benefit from MetAP2 inhibitor treatment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reduction of body weight and through improvement of other co-morbid conditions. Bariatric surgery results in significant weight loss, but the financial expense and the potential for complications, adverse events and longer-term side effects limit its overall adoption, with only a few hundred thousand patients in the United States undergoing bariatric surgery each year. Existing pharmacotherapies result in less weight loss than surgical options, and these therapies not only have undesirable side effects, but also have risk of abuse. We recently completed a 12-week Phase 2a clinical trial of beloranib administered twice weekly in obese patients. We observed placebo-adjusted weight loss of up 10.3% after</w:t>
      </w:r>
    </w:p>
    <w:p>
      <w:pPr>
        <w:spacing w:after="0" w:line="2" w:lineRule="exact"/>
        <w:rPr>
          <w:rFonts w:ascii="Arial" w:cs="Arial" w:eastAsia="Arial" w:hAnsi="Arial"/>
          <w:sz w:val="16"/>
          <w:szCs w:val="16"/>
          <w:color w:val="auto"/>
        </w:rPr>
      </w:pPr>
    </w:p>
    <w:p>
      <w:pPr>
        <w:ind w:left="900" w:right="180"/>
        <w:spacing w:after="0" w:line="271" w:lineRule="auto"/>
        <w:rPr>
          <w:rFonts w:ascii="Arial" w:cs="Arial" w:eastAsia="Arial" w:hAnsi="Arial"/>
          <w:sz w:val="16"/>
          <w:szCs w:val="16"/>
          <w:color w:val="auto"/>
        </w:rPr>
      </w:pPr>
      <w:r>
        <w:rPr>
          <w:rFonts w:ascii="Arial" w:cs="Arial" w:eastAsia="Arial" w:hAnsi="Arial"/>
          <w:sz w:val="17"/>
          <w:szCs w:val="17"/>
          <w:color w:val="auto"/>
        </w:rPr>
        <w:t>12 weeks of treatment with beloranib in addition to reductions in levels of low density lipoprotein cholesterol, C-reactive protein and systolic blood pressure. We intend to initiate a Phase 2b clinical trial of beloranib as a treatment for severe obesity in the general population. A decision on whether to subsequently advance beloranib into pivotal trials for severe obesity or to leverage the opportunity to advance another MetAP2 inhibitor into early development for severe obesity is anticipated to be made on the basis of results obtained from our planned Phase 3 clinical trial of beloranib in PWS patients and discussions with regulatory authorities.</w:t>
      </w:r>
    </w:p>
    <w:p>
      <w:pPr>
        <w:spacing w:after="0" w:line="84" w:lineRule="exact"/>
        <w:rPr>
          <w:rFonts w:ascii="Arial" w:cs="Arial" w:eastAsia="Arial" w:hAnsi="Arial"/>
          <w:sz w:val="16"/>
          <w:szCs w:val="16"/>
          <w:color w:val="auto"/>
        </w:rPr>
      </w:pPr>
    </w:p>
    <w:p>
      <w:pPr>
        <w:jc w:val="both"/>
        <w:ind w:left="900" w:right="16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knowledge of our experienced team of drug developers that have deep expertise in the field of obesity, the function of MetAP2 inhibitors and metabolic diseases. </w:t>
      </w:r>
      <w:r>
        <w:rPr>
          <w:rFonts w:ascii="Arial" w:cs="Arial" w:eastAsia="Arial" w:hAnsi="Arial"/>
          <w:sz w:val="16"/>
          <w:szCs w:val="16"/>
          <w:color w:val="auto"/>
        </w:rPr>
        <w:t>Our management team has deep expertise in obesity and related metabolic diseases, the function of MetAP2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inhibitors, the strengths and weaknesses of current treatments for severe obesity and the ability to recognize the potential of novel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therapies for the treatment of severe obesity. Our team is complemented by highly experienced external consultants and collaborators in the areas of drug discovery, development and regulatory approval.</w:t>
      </w:r>
    </w:p>
    <w:p>
      <w:pPr>
        <w:spacing w:after="0" w:line="76" w:lineRule="exact"/>
        <w:rPr>
          <w:sz w:val="20"/>
          <w:szCs w:val="20"/>
          <w:color w:val="auto"/>
        </w:rPr>
      </w:pPr>
    </w:p>
    <w:p>
      <w:pPr>
        <w:ind w:left="900" w:right="100" w:hanging="325"/>
        <w:spacing w:after="0" w:line="297"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flexibility in commercializing and maximizing the value of our development programs. </w:t>
      </w:r>
      <w:r>
        <w:rPr>
          <w:rFonts w:ascii="Arial" w:cs="Arial" w:eastAsia="Arial" w:hAnsi="Arial"/>
          <w:sz w:val="16"/>
          <w:szCs w:val="16"/>
          <w:color w:val="auto"/>
        </w:rPr>
        <w:t>While we intend to develop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commercialize beloranib for indications such as PWS and other rare conditions causing severe obesity, we may enter into strategic relationships with biotechnology or pharmaceutical companies to realize the full value of beloranib or our other earlier-stage development programs. For beloranib, we may enter into one or more strategic relationships to access broader geographic markets or additional indications. These relationships could focus on specific patient populations and their caregivers, on regional development, or on distribution and sales of beloranib.</w:t>
      </w:r>
    </w:p>
    <w:p>
      <w:pPr>
        <w:spacing w:after="0" w:line="63" w:lineRule="exact"/>
        <w:rPr>
          <w:rFonts w:ascii="Arial" w:cs="Arial" w:eastAsia="Arial" w:hAnsi="Arial"/>
          <w:sz w:val="16"/>
          <w:szCs w:val="16"/>
          <w:color w:val="auto"/>
        </w:rPr>
      </w:pPr>
    </w:p>
    <w:p>
      <w:pPr>
        <w:ind w:left="900" w:right="100" w:hanging="325"/>
        <w:spacing w:after="0" w:line="291"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Development of other potential product candidates. </w:t>
      </w:r>
      <w:r>
        <w:rPr>
          <w:rFonts w:ascii="Arial" w:cs="Arial" w:eastAsia="Arial" w:hAnsi="Arial"/>
          <w:sz w:val="16"/>
          <w:szCs w:val="16"/>
          <w:color w:val="auto"/>
        </w:rPr>
        <w:t>We have a second program focused on the delivery of MetAP2 inhibitors with targeted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tissue distribution that shows early promise in animal models of abdominal obesity, fatty liver and type 2 diabetes. Our lead MetAP2 inhibitor in this class of molecules is called ZGN-839. We believe that compounds such as ZGN-839 will have utility in the treatment of type 2 diabetes in humans and will further cause improvements in cardiovascular risk factors including low density lipoprotein cholesterol. We plan to advance multiple candidate drugs into early development to establish clinical proof of concept, safety and tolerability of these molecules as a way to leverage our internal know-how in metabolic diseases and the effects of MetAP2 inhibitors. These compounds, typified by ZGN-839, could provide additional short-term value to our company through focused development partnerships and collaborations.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Beloranib is a novel, first-in-class injectable small molecule therapy with a unique mechanism of action that reduces hunger while stimulating the use of stored fat as an energy source. Beloranib is the first new anti-obesity agent with the potential to address two important abnormalities that are present in the obese patient—hunger that is inappropriate relative to the amount of energy stored as fat and dysregulation of fat metabolism, which causes more fat to be made and stored in an obese patient than in a lean person.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Beloranib is a potent inhibitor of MetAP2, an enzyme that modulates the activity of key cellular processes that control metabolism. MetAP2 inhibitors work, at least in part, by directing MetAP2 binding to cellular stress mediators, and, thus, reducing the tone of signals that drive lipid synthesis by the liver and fat storage throughout the body. In this manner, MetAP2 inhibition increases metabolism of fats as an energy source. MetAP2 inhibitors also reduce hunger and food intake by novel mechanisms that require further study to be fully understood.</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Beloranib was evaluated for its potential for treating obesity following publication of studies in the </w:t>
      </w:r>
      <w:r>
        <w:rPr>
          <w:rFonts w:ascii="Arial" w:cs="Arial" w:eastAsia="Arial" w:hAnsi="Arial"/>
          <w:sz w:val="18"/>
          <w:szCs w:val="18"/>
          <w:i w:val="1"/>
          <w:iCs w:val="1"/>
          <w:color w:val="auto"/>
        </w:rPr>
        <w:t>Proceedings of the National Academy of Sciences</w:t>
      </w:r>
      <w:r>
        <w:rPr>
          <w:rFonts w:ascii="Arial" w:cs="Arial" w:eastAsia="Arial" w:hAnsi="Arial"/>
          <w:sz w:val="18"/>
          <w:szCs w:val="18"/>
          <w:color w:val="auto"/>
        </w:rPr>
        <w:t xml:space="preserve"> in 2002 showing anti-obesity efficacy in animals treated with a prototype MetAP2 inhibitor. These studies showed that MetAP2 inhibitor treatment was associated with loss of fat tissue accompanied by an increase in fat oxidation, indicating a redirection of fuel usage toward utilization of stored fats as a source of energy. Reduced food intake also was observed in treated animals, suggesting either direct effects of the agent on central feeding regulation or activation of a feedback loop linking the release and oxidation of stored fat to appetite.</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MetAP2 inhibitor fumagillin, a structural analog of beloranib, was shown in 2004 to induce a novel protein-protein interaction involving MetAP2 and extracellular-signal-regulated kinase 1, or ERK1, a cell stress- and growth factor-stimulated kinase. This complex reduces the activation state of ERK1. A 2005 publication in </w:t>
      </w:r>
      <w:r>
        <w:rPr>
          <w:rFonts w:ascii="Arial" w:cs="Arial" w:eastAsia="Arial" w:hAnsi="Arial"/>
          <w:sz w:val="17"/>
          <w:szCs w:val="17"/>
          <w:i w:val="1"/>
          <w:iCs w:val="1"/>
          <w:color w:val="auto"/>
        </w:rPr>
        <w:t>Diabetes</w:t>
      </w:r>
      <w:r>
        <w:rPr>
          <w:rFonts w:ascii="Arial" w:cs="Arial" w:eastAsia="Arial" w:hAnsi="Arial"/>
          <w:sz w:val="17"/>
          <w:szCs w:val="17"/>
          <w:color w:val="auto"/>
        </w:rPr>
        <w:t xml:space="preserve"> showed that animals lacking ERK1 resist both high fat diet-induced obesity and insulin resistance, supporting the hypothesis that attenuation of ERK activity could be an important component of the beneficial metabolic effects of MetAP2 inhibitor treatment. Several hormones well-documented to be involved in energy metabolism are affected by beloranib, including leptin, adiponectin and fibroblast growth factor-21. These hormones are thought to contribute to the weight-reducing effects of beloranib and also are known to be involved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control of body weight, fat metabolism and glucose metabolism. This series of mechanistic effects leads to rapid and sustained reduction of excess body weight with beloranib treatment, such as has been observed in animal studies and our clinical trial experience to date.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clinical experience to date shows that beloranib treatment is also associated with improvements in cardiovascular disease risk factors such as plasma total cholesterol, high density lipoprotein cholesterol, or HDL, and C-reactive protein, or CRP. Plasma total cholesterol, HDL, CRP, and systolic blood pressure are considered to be the most rigorous systemic biomarkers of cardiovascular disease risk. Our clinical experience to date with beloranib suggests that its use is not associated with an increase in blood pressure or heart rate, which makes it particularly relevant to severely obese patients, in whom a broad spectrum of elevated cardiovascular risk factors often is seen.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illustration of the MetAP2 inhibitor mechanism of action and therapeutic effects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Beloranib was initially formulated for intravenous administration to facilitate early clinical efforts. Our clinical program has been oriented to first establish whether beloranib would lead to weight loss at tolerated and safe doses, and then to transition to the more convenient subcutaneous injection method of administration for development in our indications of interest, including PWS, craniopharyngioma and severe obesity.</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completed five clinical trials evaluating beloranib in over 200 patients. Our first three clinical trials, ZAF-001, ZAF-003 and ZAF-101, established a working dose range for beloranib above 0.65 mg and below 3 mg. To further explore the efficacy, safety, tolerability and impact of beloranib on severe obesity, we conducted ZAF-201, a 12-week clinical trial of beloranib administered twice weekly to 124 obese patients at doses of 0.6 mg, 1.2 mg, and 2.4 mg. This placebo-controlled, double-blinded trial, established that the efficacy of beloranib continued beyond four weeks and was associated with sustained impact on key biomarkers of effect.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These clinical trials set the stage for continued evaluation of beloranib, by subcutaneous administration, in PWS patients. ZAF-211 was a placebo-controlled, double-blinded trial evaluating safety and tolerability as well as the effects of 1.2 mg or 1.8 mg doses of beloranib in patients with PWS on body weight, body composition and hyperphagia-related behaviors.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structure of and key findings from these five clinical trials of beloranib.</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Trial</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ZAF-001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ZAF-003</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ZAF-101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ZAF-201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BMI</w:t>
            </w:r>
          </w:p>
        </w:tc>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Range</w:t>
            </w:r>
          </w:p>
        </w:tc>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Treatment</w:t>
            </w: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6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Brief Description</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Patients</w:t>
            </w:r>
          </w:p>
        </w:tc>
        <w:tc>
          <w:tcPr>
            <w:tcW w:w="180" w:type="dxa"/>
            <w:vAlign w:val="bottom"/>
          </w:tcPr>
          <w:p>
            <w:pPr>
              <w:spacing w:after="0"/>
              <w:rPr>
                <w:sz w:val="12"/>
                <w:szCs w:val="12"/>
                <w:color w:val="auto"/>
              </w:rPr>
            </w:pPr>
          </w:p>
        </w:tc>
        <w:tc>
          <w:tcPr>
            <w:tcW w:w="42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Observations</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Duration</w:t>
            </w:r>
          </w:p>
        </w:tc>
        <w:tc>
          <w:tcPr>
            <w:tcW w:w="1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(kg/m</w:t>
            </w:r>
            <w:r>
              <w:rPr>
                <w:rFonts w:ascii="Arial" w:cs="Arial" w:eastAsia="Arial" w:hAnsi="Arial"/>
                <w:sz w:val="12"/>
                <w:szCs w:val="12"/>
                <w:b w:val="1"/>
                <w:bCs w:val="1"/>
                <w:color w:val="auto"/>
                <w:w w:val="94"/>
              </w:rPr>
              <w:t>2</w:t>
            </w:r>
            <w:r>
              <w:rPr>
                <w:rFonts w:ascii="Arial" w:cs="Arial" w:eastAsia="Arial" w:hAnsi="Arial"/>
                <w:sz w:val="14"/>
                <w:szCs w:val="14"/>
                <w:b w:val="1"/>
                <w:bCs w:val="1"/>
                <w:color w:val="auto"/>
                <w:w w:val="94"/>
              </w:rPr>
              <w:t>)</w:t>
            </w:r>
          </w:p>
        </w:tc>
        <w:tc>
          <w:tcPr>
            <w:tcW w:w="180" w:type="dxa"/>
            <w:vAlign w:val="bottom"/>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Randomized, double-blind, placebo-controlled trial</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4 weeks</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ind w:right="207"/>
              <w:spacing w:after="0"/>
              <w:rPr>
                <w:sz w:val="20"/>
                <w:szCs w:val="20"/>
                <w:color w:val="auto"/>
              </w:rPr>
            </w:pPr>
            <w:r>
              <w:rPr>
                <w:rFonts w:ascii="Arial" w:cs="Arial" w:eastAsia="Arial" w:hAnsi="Arial"/>
                <w:sz w:val="16"/>
                <w:szCs w:val="16"/>
                <w:color w:val="auto"/>
                <w:w w:val="87"/>
              </w:rPr>
              <w:t>32-45</w:t>
            </w:r>
          </w:p>
        </w:tc>
        <w:tc>
          <w:tcPr>
            <w:tcW w:w="120" w:type="dxa"/>
            <w:vAlign w:val="bottom"/>
          </w:tcPr>
          <w:p>
            <w:pPr>
              <w:spacing w:after="0"/>
              <w:rPr>
                <w:sz w:val="16"/>
                <w:szCs w:val="16"/>
                <w:color w:val="auto"/>
              </w:rPr>
            </w:pP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26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3"/>
                <w:szCs w:val="13"/>
                <w:color w:val="auto"/>
              </w:rPr>
              <w:t>Dose dependent weight reductions with 0.9 mg/m</w:t>
            </w:r>
            <w:r>
              <w:rPr>
                <w:rFonts w:ascii="Arial" w:cs="Arial" w:eastAsia="Arial" w:hAnsi="Arial"/>
                <w:sz w:val="21"/>
                <w:szCs w:val="21"/>
                <w:color w:val="auto"/>
                <w:vertAlign w:val="superscript"/>
              </w:rPr>
              <w:t>2</w:t>
            </w:r>
            <w:r>
              <w:rPr>
                <w:rFonts w:ascii="Arial" w:cs="Arial" w:eastAsia="Arial" w:hAnsi="Arial"/>
                <w:sz w:val="13"/>
                <w:szCs w:val="13"/>
                <w:color w:val="auto"/>
              </w:rPr>
              <w:t xml:space="preserve"> twice weekly</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line="270" w:lineRule="exact"/>
              <w:rPr>
                <w:sz w:val="20"/>
                <w:szCs w:val="20"/>
                <w:color w:val="auto"/>
              </w:rPr>
            </w:pPr>
            <w:r>
              <w:rPr>
                <w:rFonts w:ascii="Arial" w:cs="Arial" w:eastAsia="Arial" w:hAnsi="Arial"/>
                <w:sz w:val="16"/>
                <w:szCs w:val="16"/>
                <w:color w:val="auto"/>
                <w:w w:val="94"/>
              </w:rPr>
              <w:t>• Escalating doses of 0.1 mg/m</w:t>
            </w:r>
            <w:r>
              <w:rPr>
                <w:rFonts w:ascii="Arial" w:cs="Arial" w:eastAsia="Arial" w:hAnsi="Arial"/>
                <w:sz w:val="27"/>
                <w:szCs w:val="27"/>
                <w:color w:val="auto"/>
                <w:w w:val="94"/>
                <w:vertAlign w:val="superscript"/>
              </w:rPr>
              <w:t>2</w:t>
            </w:r>
            <w:r>
              <w:rPr>
                <w:rFonts w:ascii="Arial" w:cs="Arial" w:eastAsia="Arial" w:hAnsi="Arial"/>
                <w:sz w:val="16"/>
                <w:szCs w:val="16"/>
                <w:color w:val="auto"/>
                <w:w w:val="94"/>
              </w:rPr>
              <w:t>, 0.3 mg/m</w:t>
            </w:r>
            <w:r>
              <w:rPr>
                <w:rFonts w:ascii="Arial" w:cs="Arial" w:eastAsia="Arial" w:hAnsi="Arial"/>
                <w:sz w:val="27"/>
                <w:szCs w:val="27"/>
                <w:color w:val="auto"/>
                <w:w w:val="94"/>
                <w:vertAlign w:val="superscript"/>
              </w:rPr>
              <w:t>2</w:t>
            </w:r>
            <w:r>
              <w:rPr>
                <w:rFonts w:ascii="Arial" w:cs="Arial" w:eastAsia="Arial" w:hAnsi="Arial"/>
                <w:sz w:val="16"/>
                <w:szCs w:val="16"/>
                <w:color w:val="auto"/>
                <w:w w:val="94"/>
              </w:rPr>
              <w:t>, and 0.9 mg/m</w:t>
            </w:r>
            <w:r>
              <w:rPr>
                <w:rFonts w:ascii="Arial" w:cs="Arial" w:eastAsia="Arial" w:hAnsi="Arial"/>
                <w:sz w:val="27"/>
                <w:szCs w:val="27"/>
                <w:color w:val="auto"/>
                <w:w w:val="94"/>
                <w:vertAlign w:val="superscript"/>
              </w:rPr>
              <w:t>2</w:t>
            </w:r>
            <w:r>
              <w:rPr>
                <w:rFonts w:ascii="Arial" w:cs="Arial" w:eastAsia="Arial" w:hAnsi="Arial"/>
                <w:sz w:val="16"/>
                <w:szCs w:val="16"/>
                <w:color w:val="auto"/>
                <w:w w:val="94"/>
              </w:rPr>
              <w: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resulting in -3.6 kg weight loss versus -1.2 kg change with</w:t>
            </w:r>
          </w:p>
        </w:tc>
        <w:tc>
          <w:tcPr>
            <w:tcW w:w="0" w:type="dxa"/>
            <w:vAlign w:val="bottom"/>
          </w:tcPr>
          <w:p>
            <w:pPr>
              <w:spacing w:after="0"/>
              <w:rPr>
                <w:sz w:val="1"/>
                <w:szCs w:val="1"/>
                <w:color w:val="auto"/>
              </w:rPr>
            </w:pPr>
          </w:p>
        </w:tc>
      </w:tr>
      <w:tr>
        <w:trPr>
          <w:trHeight w:val="68"/>
        </w:trPr>
        <w:tc>
          <w:tcPr>
            <w:tcW w:w="4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placebo over 4 weeks</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4060" w:type="dxa"/>
            <w:vAlign w:val="bottom"/>
            <w:gridSpan w:val="2"/>
            <w:vMerge w:val="restart"/>
          </w:tcPr>
          <w:p>
            <w:pPr>
              <w:ind w:left="140"/>
              <w:spacing w:after="0"/>
              <w:rPr>
                <w:sz w:val="20"/>
                <w:szCs w:val="20"/>
                <w:color w:val="auto"/>
              </w:rPr>
            </w:pPr>
            <w:r>
              <w:rPr>
                <w:rFonts w:ascii="Arial" w:cs="Arial" w:eastAsia="Arial" w:hAnsi="Arial"/>
                <w:sz w:val="16"/>
                <w:szCs w:val="16"/>
                <w:color w:val="auto"/>
              </w:rPr>
              <w:t>or approx. 0.2 mg, 0.6 mg, and 2 mg</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w w:val="93"/>
              </w:rPr>
              <w:t>Metabolic benefits (C-reactive protein and metabolic hormones)</w:t>
            </w:r>
          </w:p>
        </w:tc>
        <w:tc>
          <w:tcPr>
            <w:tcW w:w="0" w:type="dxa"/>
            <w:vAlign w:val="bottom"/>
          </w:tcPr>
          <w:p>
            <w:pPr>
              <w:spacing w:after="0"/>
              <w:rPr>
                <w:sz w:val="1"/>
                <w:szCs w:val="1"/>
                <w:color w:val="auto"/>
              </w:rPr>
            </w:pPr>
          </w:p>
        </w:tc>
      </w:tr>
      <w:tr>
        <w:trPr>
          <w:trHeight w:val="199"/>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1-hour intravenous infusion twice weekly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80" w:type="dxa"/>
            <w:vAlign w:val="bottom"/>
            <w:vMerge w:val="continue"/>
          </w:tcPr>
          <w:p>
            <w:pPr>
              <w:spacing w:after="0"/>
              <w:rPr>
                <w:sz w:val="6"/>
                <w:szCs w:val="6"/>
                <w:color w:val="auto"/>
              </w:rPr>
            </w:pPr>
          </w:p>
        </w:tc>
        <w:tc>
          <w:tcPr>
            <w:tcW w:w="40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observed in dose dependent fashion</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Safe and well tolerated at all dose levels</w:t>
            </w:r>
          </w:p>
        </w:tc>
        <w:tc>
          <w:tcPr>
            <w:tcW w:w="0" w:type="dxa"/>
            <w:vAlign w:val="bottom"/>
          </w:tcPr>
          <w:p>
            <w:pPr>
              <w:spacing w:after="0"/>
              <w:rPr>
                <w:sz w:val="1"/>
                <w:szCs w:val="1"/>
                <w:color w:val="auto"/>
              </w:rPr>
            </w:pPr>
          </w:p>
        </w:tc>
      </w:tr>
      <w:tr>
        <w:trPr>
          <w:trHeight w:val="212"/>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Randomized, double-blind, placebo-controlled trial</w:t>
            </w:r>
          </w:p>
        </w:tc>
        <w:tc>
          <w:tcPr>
            <w:tcW w:w="900" w:type="dxa"/>
            <w:vAlign w:val="bottom"/>
          </w:tcPr>
          <w:p>
            <w:pPr>
              <w:spacing w:after="0"/>
              <w:rPr>
                <w:sz w:val="20"/>
                <w:szCs w:val="20"/>
                <w:color w:val="auto"/>
              </w:rPr>
            </w:pPr>
            <w:r>
              <w:rPr>
                <w:rFonts w:ascii="Arial" w:cs="Arial" w:eastAsia="Arial" w:hAnsi="Arial"/>
                <w:sz w:val="16"/>
                <w:szCs w:val="16"/>
                <w:color w:val="auto"/>
                <w:w w:val="96"/>
              </w:rPr>
              <w:t>4 weeks or 7</w:t>
            </w:r>
          </w:p>
        </w:tc>
        <w:tc>
          <w:tcPr>
            <w:tcW w:w="780" w:type="dxa"/>
            <w:vAlign w:val="bottom"/>
            <w:gridSpan w:val="2"/>
          </w:tcPr>
          <w:p>
            <w:pPr>
              <w:jc w:val="right"/>
              <w:ind w:right="207"/>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w w:val="92"/>
              </w:rPr>
              <w:t>Dose dependent weight reductions with 6.0 mg dose resulting in</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rPr>
                <w:sz w:val="20"/>
                <w:szCs w:val="20"/>
                <w:color w:val="auto"/>
              </w:rPr>
            </w:pPr>
            <w:r>
              <w:rPr>
                <w:rFonts w:ascii="Arial" w:cs="Arial" w:eastAsia="Arial" w:hAnsi="Arial"/>
                <w:sz w:val="16"/>
                <w:szCs w:val="16"/>
                <w:color w:val="auto"/>
              </w:rPr>
              <w:t>• Static dosing scheme of 3.0 mg, 6.0 mg, and 2.5 mg</w:t>
            </w:r>
          </w:p>
        </w:tc>
        <w:tc>
          <w:tcPr>
            <w:tcW w:w="900" w:type="dxa"/>
            <w:vAlign w:val="bottom"/>
          </w:tcPr>
          <w:p>
            <w:pPr>
              <w:spacing w:after="0"/>
              <w:rPr>
                <w:sz w:val="20"/>
                <w:szCs w:val="20"/>
                <w:color w:val="auto"/>
              </w:rPr>
            </w:pPr>
            <w:r>
              <w:rPr>
                <w:rFonts w:ascii="Arial" w:cs="Arial" w:eastAsia="Arial" w:hAnsi="Arial"/>
                <w:sz w:val="16"/>
                <w:szCs w:val="16"/>
                <w:color w:val="auto"/>
              </w:rPr>
              <w:t>weeks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6"/>
              </w:rPr>
              <w:t>-6.7 kg weight loss, 3.0 mg in -4.7 kg, and placebo in -0.3 kg</w:t>
            </w:r>
          </w:p>
        </w:tc>
        <w:tc>
          <w:tcPr>
            <w:tcW w:w="0" w:type="dxa"/>
            <w:vAlign w:val="bottom"/>
          </w:tcPr>
          <w:p>
            <w:pPr>
              <w:spacing w:after="0"/>
              <w:rPr>
                <w:sz w:val="1"/>
                <w:szCs w:val="1"/>
                <w:color w:val="auto"/>
              </w:rPr>
            </w:pPr>
          </w:p>
        </w:tc>
      </w:tr>
      <w:tr>
        <w:trPr>
          <w:trHeight w:val="71"/>
        </w:trPr>
        <w:tc>
          <w:tcPr>
            <w:tcW w:w="424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over 4 weeks</w:t>
            </w:r>
          </w:p>
        </w:tc>
        <w:tc>
          <w:tcPr>
            <w:tcW w:w="0" w:type="dxa"/>
            <w:vAlign w:val="bottom"/>
          </w:tcPr>
          <w:p>
            <w:pPr>
              <w:spacing w:after="0"/>
              <w:rPr>
                <w:sz w:val="1"/>
                <w:szCs w:val="1"/>
                <w:color w:val="auto"/>
              </w:rPr>
            </w:pPr>
          </w:p>
        </w:tc>
      </w:tr>
      <w:tr>
        <w:trPr>
          <w:trHeight w:val="135"/>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1-hour intravenous infusion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vMerge w:val="continue"/>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w w:val="92"/>
              </w:rPr>
              <w:t>Once weekly 2.5 mg dose resulted in weight loss of -3.1 kg over</w:t>
            </w: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4060" w:type="dxa"/>
            <w:vAlign w:val="bottom"/>
            <w:gridSpan w:val="2"/>
            <w:vMerge w:val="restart"/>
          </w:tcPr>
          <w:p>
            <w:pPr>
              <w:ind w:left="220"/>
              <w:spacing w:after="0"/>
              <w:rPr>
                <w:sz w:val="20"/>
                <w:szCs w:val="20"/>
                <w:color w:val="auto"/>
              </w:rPr>
            </w:pPr>
            <w:r>
              <w:rPr>
                <w:rFonts w:ascii="Arial" w:cs="Arial" w:eastAsia="Arial" w:hAnsi="Arial"/>
                <w:sz w:val="16"/>
                <w:szCs w:val="16"/>
                <w:color w:val="auto"/>
              </w:rPr>
              <w:t>• 3.0 mg and 6.0 mg doses given twice weekly for 4</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7 weeks and with greater variability</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4060" w:type="dxa"/>
            <w:vAlign w:val="bottom"/>
            <w:gridSpan w:val="2"/>
            <w:vMerge w:val="restart"/>
          </w:tcPr>
          <w:p>
            <w:pPr>
              <w:ind w:left="460"/>
              <w:spacing w:after="0"/>
              <w:rPr>
                <w:sz w:val="20"/>
                <w:szCs w:val="20"/>
                <w:color w:val="auto"/>
              </w:rPr>
            </w:pPr>
            <w:r>
              <w:rPr>
                <w:rFonts w:ascii="Arial" w:cs="Arial" w:eastAsia="Arial" w:hAnsi="Arial"/>
                <w:sz w:val="16"/>
                <w:szCs w:val="16"/>
                <w:color w:val="auto"/>
              </w:rPr>
              <w:t>weeks</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w w:val="95"/>
              </w:rPr>
              <w:t>6.0 mg not very well tolerated with gastrointestinal side effects</w:t>
            </w: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4060" w:type="dxa"/>
            <w:vAlign w:val="bottom"/>
            <w:gridSpan w:val="2"/>
            <w:vMerge w:val="restart"/>
          </w:tcPr>
          <w:p>
            <w:pPr>
              <w:ind w:left="220"/>
              <w:spacing w:after="0"/>
              <w:rPr>
                <w:sz w:val="20"/>
                <w:szCs w:val="20"/>
                <w:color w:val="auto"/>
              </w:rPr>
            </w:pPr>
            <w:r>
              <w:rPr>
                <w:rFonts w:ascii="Arial" w:cs="Arial" w:eastAsia="Arial" w:hAnsi="Arial"/>
                <w:sz w:val="16"/>
                <w:szCs w:val="16"/>
                <w:color w:val="auto"/>
                <w:w w:val="98"/>
              </w:rPr>
              <w:t>• 2.5 mg dose given twice weekly for the first week and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and sleep disturbance emerging as dose limiting adverse</w:t>
            </w: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060" w:type="dxa"/>
            <w:vAlign w:val="bottom"/>
            <w:gridSpan w:val="2"/>
            <w:vMerge w:val="restart"/>
          </w:tcPr>
          <w:p>
            <w:pPr>
              <w:ind w:left="460"/>
              <w:spacing w:after="0"/>
              <w:rPr>
                <w:sz w:val="20"/>
                <w:szCs w:val="20"/>
                <w:color w:val="auto"/>
              </w:rPr>
            </w:pPr>
            <w:r>
              <w:rPr>
                <w:rFonts w:ascii="Arial" w:cs="Arial" w:eastAsia="Arial" w:hAnsi="Arial"/>
                <w:sz w:val="16"/>
                <w:szCs w:val="16"/>
                <w:color w:val="auto"/>
              </w:rPr>
              <w:t>once weekly for the subsequent 6 weeks.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effects; Doses of 3.0 mg or lower were well tolerated and</w:t>
            </w:r>
          </w:p>
        </w:tc>
        <w:tc>
          <w:tcPr>
            <w:tcW w:w="0" w:type="dxa"/>
            <w:vAlign w:val="bottom"/>
          </w:tcPr>
          <w:p>
            <w:pPr>
              <w:spacing w:after="0"/>
              <w:rPr>
                <w:sz w:val="1"/>
                <w:szCs w:val="1"/>
                <w:color w:val="auto"/>
              </w:rPr>
            </w:pPr>
          </w:p>
        </w:tc>
      </w:tr>
      <w:tr>
        <w:trPr>
          <w:trHeight w:val="64"/>
        </w:trPr>
        <w:tc>
          <w:tcPr>
            <w:tcW w:w="18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effective</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Once-weekly regimen was less effective than bi-weekly</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administration</w:t>
            </w:r>
          </w:p>
        </w:tc>
        <w:tc>
          <w:tcPr>
            <w:tcW w:w="0" w:type="dxa"/>
            <w:vAlign w:val="bottom"/>
          </w:tcPr>
          <w:p>
            <w:pPr>
              <w:spacing w:after="0"/>
              <w:rPr>
                <w:sz w:val="1"/>
                <w:szCs w:val="1"/>
                <w:color w:val="auto"/>
              </w:rPr>
            </w:pPr>
          </w:p>
        </w:tc>
      </w:tr>
      <w:tr>
        <w:trPr>
          <w:trHeight w:val="212"/>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Randomized, double-blind, placebo-controlled trial</w:t>
            </w:r>
          </w:p>
        </w:tc>
        <w:tc>
          <w:tcPr>
            <w:tcW w:w="900" w:type="dxa"/>
            <w:vAlign w:val="bottom"/>
          </w:tcPr>
          <w:p>
            <w:pPr>
              <w:spacing w:after="0"/>
              <w:rPr>
                <w:sz w:val="20"/>
                <w:szCs w:val="20"/>
                <w:color w:val="auto"/>
              </w:rPr>
            </w:pPr>
            <w:r>
              <w:rPr>
                <w:rFonts w:ascii="Arial" w:cs="Arial" w:eastAsia="Arial" w:hAnsi="Arial"/>
                <w:sz w:val="16"/>
                <w:szCs w:val="16"/>
                <w:color w:val="auto"/>
              </w:rPr>
              <w:t>4 weeks</w:t>
            </w:r>
          </w:p>
        </w:tc>
        <w:tc>
          <w:tcPr>
            <w:tcW w:w="780" w:type="dxa"/>
            <w:vAlign w:val="bottom"/>
            <w:gridSpan w:val="2"/>
          </w:tcPr>
          <w:p>
            <w:pPr>
              <w:jc w:val="right"/>
              <w:ind w:right="207"/>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Significant weight reduction with all doses; 4.0 mg dose</w:t>
            </w:r>
          </w:p>
        </w:tc>
        <w:tc>
          <w:tcPr>
            <w:tcW w:w="0" w:type="dxa"/>
            <w:vAlign w:val="bottom"/>
          </w:tcPr>
          <w:p>
            <w:pPr>
              <w:spacing w:after="0"/>
              <w:rPr>
                <w:sz w:val="1"/>
                <w:szCs w:val="1"/>
                <w:color w:val="auto"/>
              </w:rPr>
            </w:pPr>
          </w:p>
        </w:tc>
      </w:tr>
      <w:tr>
        <w:trPr>
          <w:trHeight w:val="203"/>
        </w:trPr>
        <w:tc>
          <w:tcPr>
            <w:tcW w:w="4240" w:type="dxa"/>
            <w:vAlign w:val="bottom"/>
            <w:gridSpan w:val="3"/>
            <w:vMerge w:val="restart"/>
          </w:tcPr>
          <w:p>
            <w:pPr>
              <w:ind w:left="80"/>
              <w:spacing w:after="0"/>
              <w:rPr>
                <w:sz w:val="20"/>
                <w:szCs w:val="20"/>
                <w:color w:val="auto"/>
              </w:rPr>
            </w:pPr>
            <w:r>
              <w:rPr>
                <w:rFonts w:ascii="Arial" w:cs="Arial" w:eastAsia="Arial" w:hAnsi="Arial"/>
                <w:sz w:val="16"/>
                <w:szCs w:val="16"/>
                <w:color w:val="auto"/>
              </w:rPr>
              <w:t>• 1.0 mg, 2.0 mg, and 4.0 mg were evaluated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7"/>
              </w:rPr>
              <w:t>resulting in -6.1 kg, 2.0 mg in -4.2 kg, 1.0 mg in -4.3 kg, and</w:t>
            </w:r>
          </w:p>
        </w:tc>
        <w:tc>
          <w:tcPr>
            <w:tcW w:w="0" w:type="dxa"/>
            <w:vAlign w:val="bottom"/>
          </w:tcPr>
          <w:p>
            <w:pPr>
              <w:spacing w:after="0"/>
              <w:rPr>
                <w:sz w:val="1"/>
                <w:szCs w:val="1"/>
                <w:color w:val="auto"/>
              </w:rPr>
            </w:pPr>
          </w:p>
        </w:tc>
      </w:tr>
      <w:tr>
        <w:trPr>
          <w:trHeight w:val="71"/>
        </w:trPr>
        <w:tc>
          <w:tcPr>
            <w:tcW w:w="424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placebo in -1.2 kg</w:t>
            </w:r>
          </w:p>
        </w:tc>
        <w:tc>
          <w:tcPr>
            <w:tcW w:w="0" w:type="dxa"/>
            <w:vAlign w:val="bottom"/>
          </w:tcPr>
          <w:p>
            <w:pPr>
              <w:spacing w:after="0"/>
              <w:rPr>
                <w:sz w:val="1"/>
                <w:szCs w:val="1"/>
                <w:color w:val="auto"/>
              </w:rPr>
            </w:pPr>
          </w:p>
        </w:tc>
      </w:tr>
      <w:tr>
        <w:trPr>
          <w:trHeight w:val="135"/>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Subcutaneous injection twice weekly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vMerge w:val="continue"/>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rPr>
              <w:t>Comparable metabolic benefits observed as in prior trials,</w:t>
            </w: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7"/>
              </w:rPr>
              <w:t>including body composition improvements; sense of hunger</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reduced with all doses</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w w:val="95"/>
              </w:rPr>
              <w:t>4.0 mg not as well tolerated with similar adverse event profiles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as with 6.0 mg intravenous dose in ZAF-003 – mainly</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5"/>
              </w:rPr>
              <w:t>gastrointestinal side effects and sleep disturbances; injection</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site adverse events unremarkable</w:t>
            </w:r>
          </w:p>
        </w:tc>
        <w:tc>
          <w:tcPr>
            <w:tcW w:w="0" w:type="dxa"/>
            <w:vAlign w:val="bottom"/>
          </w:tcPr>
          <w:p>
            <w:pPr>
              <w:spacing w:after="0"/>
              <w:rPr>
                <w:sz w:val="1"/>
                <w:szCs w:val="1"/>
                <w:color w:val="auto"/>
              </w:rPr>
            </w:pPr>
          </w:p>
        </w:tc>
      </w:tr>
      <w:tr>
        <w:trPr>
          <w:trHeight w:val="212"/>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w w:val="99"/>
              </w:rPr>
              <w:t>Randomized, placebo controlled, double-blinded, parallel</w:t>
            </w:r>
          </w:p>
        </w:tc>
        <w:tc>
          <w:tcPr>
            <w:tcW w:w="900" w:type="dxa"/>
            <w:vAlign w:val="bottom"/>
          </w:tcPr>
          <w:p>
            <w:pPr>
              <w:spacing w:after="0"/>
              <w:rPr>
                <w:sz w:val="20"/>
                <w:szCs w:val="20"/>
                <w:color w:val="auto"/>
              </w:rPr>
            </w:pPr>
            <w:r>
              <w:rPr>
                <w:rFonts w:ascii="Arial" w:cs="Arial" w:eastAsia="Arial" w:hAnsi="Arial"/>
                <w:sz w:val="16"/>
                <w:szCs w:val="16"/>
                <w:color w:val="auto"/>
              </w:rPr>
              <w:t>12 weeks</w:t>
            </w:r>
          </w:p>
        </w:tc>
        <w:tc>
          <w:tcPr>
            <w:tcW w:w="780" w:type="dxa"/>
            <w:vAlign w:val="bottom"/>
            <w:gridSpan w:val="2"/>
          </w:tcPr>
          <w:p>
            <w:pPr>
              <w:jc w:val="right"/>
              <w:ind w:right="207"/>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0.3 mg not effective, 3.2 mg not well tolerated; both doses</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060" w:type="dxa"/>
            <w:vAlign w:val="bottom"/>
            <w:gridSpan w:val="2"/>
          </w:tcPr>
          <w:p>
            <w:pPr>
              <w:ind w:left="140"/>
              <w:spacing w:after="0"/>
              <w:rPr>
                <w:sz w:val="20"/>
                <w:szCs w:val="20"/>
                <w:color w:val="auto"/>
              </w:rPr>
            </w:pPr>
            <w:r>
              <w:rPr>
                <w:rFonts w:ascii="Arial" w:cs="Arial" w:eastAsia="Arial" w:hAnsi="Arial"/>
                <w:sz w:val="16"/>
                <w:szCs w:val="16"/>
                <w:color w:val="auto"/>
              </w:rPr>
              <w:t>design trial</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eliminated after first 2-4 weeks of dosing (pre-defined)</w:t>
            </w:r>
          </w:p>
        </w:tc>
        <w:tc>
          <w:tcPr>
            <w:tcW w:w="0" w:type="dxa"/>
            <w:vAlign w:val="bottom"/>
          </w:tcPr>
          <w:p>
            <w:pPr>
              <w:spacing w:after="0"/>
              <w:rPr>
                <w:sz w:val="1"/>
                <w:szCs w:val="1"/>
                <w:color w:val="auto"/>
              </w:rPr>
            </w:pPr>
          </w:p>
        </w:tc>
      </w:tr>
      <w:tr>
        <w:trPr>
          <w:trHeight w:val="266"/>
        </w:trPr>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Fixed beloranib doses including 0.3 mg, 0.6 mg, 1.2 mg,</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w w:val="95"/>
              </w:rPr>
              <w:t>Progressive and dose dependent weight reduction; -10.9 kg in</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060" w:type="dxa"/>
            <w:vAlign w:val="bottom"/>
            <w:gridSpan w:val="2"/>
          </w:tcPr>
          <w:p>
            <w:pPr>
              <w:ind w:left="140"/>
              <w:spacing w:after="0"/>
              <w:rPr>
                <w:sz w:val="20"/>
                <w:szCs w:val="20"/>
                <w:color w:val="auto"/>
              </w:rPr>
            </w:pPr>
            <w:r>
              <w:rPr>
                <w:rFonts w:ascii="Arial" w:cs="Arial" w:eastAsia="Arial" w:hAnsi="Arial"/>
                <w:sz w:val="16"/>
                <w:szCs w:val="16"/>
                <w:color w:val="auto"/>
              </w:rPr>
              <w:t>2.4 mg, and 3.2 mg or placebo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7"/>
              </w:rPr>
              <w:t>the 2.4 mg group, -6.9 kg in the 1.2 mg group, -5.5 kg in the</w:t>
            </w:r>
          </w:p>
        </w:tc>
        <w:tc>
          <w:tcPr>
            <w:tcW w:w="0" w:type="dxa"/>
            <w:vAlign w:val="bottom"/>
          </w:tcPr>
          <w:p>
            <w:pPr>
              <w:spacing w:after="0"/>
              <w:rPr>
                <w:sz w:val="1"/>
                <w:szCs w:val="1"/>
                <w:color w:val="auto"/>
              </w:rPr>
            </w:pPr>
          </w:p>
        </w:tc>
      </w:tr>
      <w:tr>
        <w:trPr>
          <w:trHeight w:val="206"/>
        </w:trPr>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Subcutaneous injections twice weekly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0.6 mg group, versus -0.4 kg in placebo</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w w:val="93"/>
              </w:rPr>
              <w:t>Comparable metabolic and body composition benefits observed</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as with prior studies</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Most adverse events, including sleep disturbances, mild-</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moderate and transient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81</w:t>
      </w:r>
    </w:p>
    <w:p>
      <w:pPr>
        <w:sectPr>
          <w:pgSz w:w="11900" w:h="16838" w:orient="portrait"/>
          <w:cols w:equalWidth="0" w:num="2">
            <w:col w:w="660" w:space="280"/>
            <w:col w:w="10480"/>
          </w:cols>
          <w:pgMar w:left="240" w:top="459"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ZAF-211</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2a</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980" w:type="dxa"/>
            <w:vAlign w:val="bottom"/>
          </w:tcPr>
          <w:p>
            <w:pPr>
              <w:ind w:left="40"/>
              <w:spacing w:after="0"/>
              <w:rPr>
                <w:sz w:val="20"/>
                <w:szCs w:val="20"/>
                <w:color w:val="auto"/>
              </w:rPr>
            </w:pPr>
            <w:r>
              <w:rPr>
                <w:rFonts w:ascii="Arial" w:cs="Arial" w:eastAsia="Arial" w:hAnsi="Arial"/>
                <w:sz w:val="16"/>
                <w:szCs w:val="16"/>
                <w:color w:val="auto"/>
              </w:rPr>
              <w:t>Randomized, double-blind, parallel design trial</w:t>
            </w:r>
          </w:p>
        </w:tc>
        <w:tc>
          <w:tcPr>
            <w:tcW w:w="860" w:type="dxa"/>
            <w:vAlign w:val="bottom"/>
          </w:tcPr>
          <w:p>
            <w:pPr>
              <w:ind w:left="80"/>
              <w:spacing w:after="0"/>
              <w:rPr>
                <w:sz w:val="20"/>
                <w:szCs w:val="20"/>
                <w:color w:val="auto"/>
              </w:rPr>
            </w:pPr>
            <w:r>
              <w:rPr>
                <w:rFonts w:ascii="Arial" w:cs="Arial" w:eastAsia="Arial" w:hAnsi="Arial"/>
                <w:sz w:val="16"/>
                <w:szCs w:val="16"/>
                <w:color w:val="auto"/>
              </w:rPr>
              <w:t>4 weeks</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26-44</w:t>
            </w: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Trend toward reduction in body weight measured by scale</w:t>
            </w:r>
          </w:p>
        </w:tc>
        <w:tc>
          <w:tcPr>
            <w:tcW w:w="0" w:type="dxa"/>
            <w:vAlign w:val="bottom"/>
          </w:tcPr>
          <w:p>
            <w:pPr>
              <w:spacing w:after="0"/>
              <w:rPr>
                <w:sz w:val="1"/>
                <w:szCs w:val="1"/>
                <w:color w:val="auto"/>
              </w:rPr>
            </w:pPr>
          </w:p>
        </w:tc>
      </w:tr>
      <w:tr>
        <w:trPr>
          <w:trHeight w:val="203"/>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980" w:type="dxa"/>
            <w:vAlign w:val="bottom"/>
            <w:vMerge w:val="restart"/>
          </w:tcPr>
          <w:p>
            <w:pPr>
              <w:ind w:left="40"/>
              <w:spacing w:after="0"/>
              <w:rPr>
                <w:sz w:val="20"/>
                <w:szCs w:val="20"/>
                <w:color w:val="auto"/>
              </w:rPr>
            </w:pPr>
            <w:r>
              <w:rPr>
                <w:rFonts w:ascii="Arial" w:cs="Arial" w:eastAsia="Arial" w:hAnsi="Arial"/>
                <w:sz w:val="16"/>
                <w:szCs w:val="16"/>
                <w:color w:val="auto"/>
                <w:w w:val="92"/>
              </w:rPr>
              <w:t>1.2 mg and 1.8 mg doses of beloranib or placebo in patients</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5"/>
              </w:rPr>
              <w:t>weight; -1.27% in beloranib-treated patients (pooled analysis</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w w:val="93"/>
              </w:rPr>
              <w:t>of 1.2 and 1.8 mg treatment groups) versus +0.34% change in</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80" w:type="dxa"/>
            <w:vAlign w:val="bottom"/>
            <w:vMerge w:val="restart"/>
          </w:tcPr>
          <w:p>
            <w:pPr>
              <w:ind w:left="140"/>
              <w:spacing w:after="0"/>
              <w:rPr>
                <w:sz w:val="20"/>
                <w:szCs w:val="20"/>
                <w:color w:val="auto"/>
              </w:rPr>
            </w:pPr>
            <w:r>
              <w:rPr>
                <w:rFonts w:ascii="Arial" w:cs="Arial" w:eastAsia="Arial" w:hAnsi="Arial"/>
                <w:sz w:val="16"/>
                <w:szCs w:val="16"/>
                <w:color w:val="auto"/>
              </w:rPr>
              <w:t>with Prader-Willi Syndrome</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60" w:type="dxa"/>
            <w:vAlign w:val="bottom"/>
            <w:vMerge w:val="restart"/>
          </w:tcPr>
          <w:p>
            <w:pPr>
              <w:ind w:left="140"/>
              <w:spacing w:after="0"/>
              <w:rPr>
                <w:sz w:val="20"/>
                <w:szCs w:val="20"/>
                <w:color w:val="auto"/>
              </w:rPr>
            </w:pPr>
            <w:r>
              <w:rPr>
                <w:rFonts w:ascii="Arial" w:cs="Arial" w:eastAsia="Arial" w:hAnsi="Arial"/>
                <w:sz w:val="16"/>
                <w:szCs w:val="16"/>
                <w:color w:val="auto"/>
              </w:rPr>
              <w:t>placebo-treated patients</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Subcutaneous injections twice weekly</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vMerge w:val="continue"/>
          </w:tcPr>
          <w:p>
            <w:pPr>
              <w:spacing w:after="0"/>
              <w:rPr>
                <w:sz w:val="11"/>
                <w:szCs w:val="11"/>
                <w:color w:val="auto"/>
              </w:rPr>
            </w:pPr>
          </w:p>
        </w:tc>
        <w:tc>
          <w:tcPr>
            <w:tcW w:w="39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260" w:type="dxa"/>
            <w:vAlign w:val="bottom"/>
            <w:vMerge w:val="restart"/>
          </w:tcPr>
          <w:p>
            <w:pPr>
              <w:ind w:left="40"/>
              <w:spacing w:after="0"/>
              <w:rPr>
                <w:sz w:val="20"/>
                <w:szCs w:val="20"/>
                <w:color w:val="auto"/>
              </w:rPr>
            </w:pPr>
            <w:r>
              <w:rPr>
                <w:rFonts w:ascii="Arial" w:cs="Arial" w:eastAsia="Arial" w:hAnsi="Arial"/>
                <w:sz w:val="16"/>
                <w:szCs w:val="16"/>
                <w:color w:val="auto"/>
              </w:rPr>
              <w:t>Reduction in body mass assessed by dual-energy x-ray</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8"/>
              </w:rPr>
              <w:t>absorptiometry (DEXA); -2.1% in beloranib-treated patients</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versus +2.0% change in placebo-treated patients</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rPr>
              <w:t>Reduction in total fat mass assessed by DEXA; -2.9% in</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w w:val="96"/>
              </w:rPr>
              <w:t>beloranib-treated patients versus +3.6% change in placebo-</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treated patients</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c>
          <w:tcPr>
            <w:tcW w:w="4260" w:type="dxa"/>
            <w:vAlign w:val="bottom"/>
          </w:tcPr>
          <w:p>
            <w:pPr>
              <w:ind w:left="40"/>
              <w:spacing w:after="0"/>
              <w:rPr>
                <w:sz w:val="20"/>
                <w:szCs w:val="20"/>
                <w:color w:val="auto"/>
              </w:rPr>
            </w:pPr>
            <w:r>
              <w:rPr>
                <w:rFonts w:ascii="Arial" w:cs="Arial" w:eastAsia="Arial" w:hAnsi="Arial"/>
                <w:sz w:val="16"/>
                <w:szCs w:val="16"/>
                <w:color w:val="auto"/>
                <w:w w:val="90"/>
              </w:rPr>
              <w:t>Reduction in hyperphagia related behaviors (at 1.8 mg dose level</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auto"/>
              </w:rPr>
              <w:t>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0" w:space="420"/>
            <w:col w:w="10400"/>
          </w:cols>
          <w:pgMar w:left="240" w:top="459" w:right="239" w:bottom="1440" w:gutter="0" w:footer="0" w:header="0"/>
          <w:type w:val="continuous"/>
        </w:sectPr>
      </w:pPr>
    </w:p>
    <w:p>
      <w:pPr>
        <w:spacing w:after="0" w:line="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Across all our clinical trials, beloranib has been well-tolerated at doses we would expect to explore in the future. There have been no serious adverse events, or SAEs, attributed to beloranib in our clinical trials. The main adverse events, or AEs, including those leading to drop-outs, in patients dosed with beloranib have been sleep disturbances, principally manifested as delayed onset of sleep, nausea and vomiting. For certain of our clinical trials, we performed statistical analysis of our results and report the p-value, which is a statistical calculation that relates to the probability that a difference between groups happened by chance, with a p-value of less than 0.05 (i.e., less than 5% probability that the difference happened by chance) generally being used as the threshold to indicate statistical significance. Each of our clinical trials is discussed in more detail below.</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Clinical Trials</w:t>
      </w:r>
    </w:p>
    <w:p>
      <w:pPr>
        <w:spacing w:after="0" w:line="113" w:lineRule="exact"/>
        <w:rPr>
          <w:sz w:val="20"/>
          <w:szCs w:val="20"/>
          <w:color w:val="auto"/>
        </w:rPr>
      </w:pPr>
    </w:p>
    <w:p>
      <w:pPr>
        <w:ind w:left="460" w:right="560"/>
        <w:spacing w:after="0" w:line="282" w:lineRule="auto"/>
        <w:rPr>
          <w:sz w:val="20"/>
          <w:szCs w:val="20"/>
          <w:color w:val="auto"/>
        </w:rPr>
      </w:pPr>
      <w:r>
        <w:rPr>
          <w:rFonts w:ascii="Arial" w:cs="Arial" w:eastAsia="Arial" w:hAnsi="Arial"/>
          <w:sz w:val="18"/>
          <w:szCs w:val="18"/>
          <w:b w:val="1"/>
          <w:bCs w:val="1"/>
          <w:color w:val="auto"/>
        </w:rPr>
        <w:t>ZAF-001—A Randomized, Double-Blind, Placebo-Controlled Multiple Dose Study, to Assess Safety, Tolerability, Pharmacokinetics and Pharmacodynamics of ZGN-433 (Beloranib for Intravenous Infusion) in Obese Volunteers</w:t>
      </w:r>
    </w:p>
    <w:p>
      <w:pPr>
        <w:spacing w:after="0" w:line="5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ZAF-001 was a four-week double-blind, placebo controlled, dose escalation and multiple dose trial conducted in Australia. The primary clinical</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endpoints of this clinical trial were safety, tolerability, pharmacokinetics and pharmacodynamics of beloranib administered by intravenous administration. 31 Caucasian female patients, with an average age of 52.2 years and BMI range of 32-45 kg/m</w:t>
      </w:r>
      <w:r>
        <w:rPr>
          <w:rFonts w:ascii="Arial" w:cs="Arial" w:eastAsia="Arial" w:hAnsi="Arial"/>
          <w:sz w:val="13"/>
          <w:szCs w:val="13"/>
          <w:color w:val="auto"/>
        </w:rPr>
        <w:t>2</w:t>
      </w:r>
      <w:r>
        <w:rPr>
          <w:rFonts w:ascii="Arial" w:cs="Arial" w:eastAsia="Arial" w:hAnsi="Arial"/>
          <w:sz w:val="16"/>
          <w:szCs w:val="16"/>
          <w:color w:val="auto"/>
        </w:rPr>
        <w:t>, were enrolled in this clinical trial. 22 patients received beloranib and nine patients received placebo. The patients were divided into three different cohorts, with each cohort receiving 0.10 mg/m</w:t>
      </w:r>
      <w:r>
        <w:rPr>
          <w:rFonts w:ascii="Arial" w:cs="Arial" w:eastAsia="Arial" w:hAnsi="Arial"/>
          <w:sz w:val="13"/>
          <w:szCs w:val="13"/>
          <w:color w:val="auto"/>
        </w:rPr>
        <w:t>2</w:t>
      </w:r>
      <w:r>
        <w:rPr>
          <w:rFonts w:ascii="Arial" w:cs="Arial" w:eastAsia="Arial" w:hAnsi="Arial"/>
          <w:sz w:val="16"/>
          <w:szCs w:val="16"/>
          <w:color w:val="auto"/>
        </w:rPr>
        <w:t>, 0.30 mg/m</w:t>
      </w:r>
      <w:r>
        <w:rPr>
          <w:rFonts w:ascii="Arial" w:cs="Arial" w:eastAsia="Arial" w:hAnsi="Arial"/>
          <w:sz w:val="13"/>
          <w:szCs w:val="13"/>
          <w:color w:val="auto"/>
        </w:rPr>
        <w:t>2</w:t>
      </w:r>
      <w:r>
        <w:rPr>
          <w:rFonts w:ascii="Arial" w:cs="Arial" w:eastAsia="Arial" w:hAnsi="Arial"/>
          <w:sz w:val="16"/>
          <w:szCs w:val="16"/>
          <w:color w:val="auto"/>
        </w:rPr>
        <w:t>, or 0.90 mg/m</w:t>
      </w:r>
      <w:r>
        <w:rPr>
          <w:rFonts w:ascii="Arial" w:cs="Arial" w:eastAsia="Arial" w:hAnsi="Arial"/>
          <w:sz w:val="13"/>
          <w:szCs w:val="13"/>
          <w:color w:val="auto"/>
        </w:rPr>
        <w:t>2</w:t>
      </w:r>
      <w:r>
        <w:rPr>
          <w:rFonts w:ascii="Arial" w:cs="Arial" w:eastAsia="Arial" w:hAnsi="Arial"/>
          <w:sz w:val="16"/>
          <w:szCs w:val="16"/>
          <w:color w:val="auto"/>
        </w:rPr>
        <w:t xml:space="preserve"> of beloranib or placebo via intravenous infusion twice weekly for four weeks. The primary objectives of this clinical trial were to (i) evaluate the safety and tolerability of beloranib in obese patients and (ii) determine the plasma pharmacokinetics and pharmacodynamics of beloranib in obese patients. A secondary objective was to obtain information on weight loss in obese patients exposed to beloranib for eight intravenous doses over a one-month period. A total of 26 of the 31 enrolled patients completed this clinical trial as planned, receiving all 8 infusions of study drug. Three placebo patients and two beloranib-treated patients withdrew from this clinical trial because of loss of venous access and other reasons unrelated to drug treatment.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key results of this clinical trial are summarized for the Per Protocol population, patients completing the full dosing period and receiving a minimum of six doses,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4-week Phase 1b Proof of Concept Clinical Trial in Obese Patients (ZAF-001)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Baseline Body</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Average</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Trial Arm</w:t>
            </w:r>
          </w:p>
        </w:tc>
        <w:tc>
          <w:tcPr>
            <w:tcW w:w="33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Patients Per</w:t>
            </w:r>
          </w:p>
        </w:tc>
        <w:tc>
          <w:tcPr>
            <w:tcW w:w="1540" w:type="dxa"/>
            <w:vAlign w:val="bottom"/>
            <w:gridSpan w:val="2"/>
            <w:vMerge w:val="continue"/>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Weight</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Protocol</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 (kg)</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Change (kg)</w:t>
            </w:r>
          </w:p>
        </w:tc>
        <w:tc>
          <w:tcPr>
            <w:tcW w:w="400" w:type="dxa"/>
            <w:vAlign w:val="bottom"/>
          </w:tcPr>
          <w:p>
            <w:pPr>
              <w:spacing w:after="0"/>
              <w:rPr>
                <w:sz w:val="20"/>
                <w:szCs w:val="20"/>
                <w:color w:val="auto"/>
              </w:rPr>
            </w:pPr>
            <w:r>
              <w:rPr>
                <w:rFonts w:ascii="Arial" w:cs="Arial" w:eastAsia="Arial" w:hAnsi="Arial"/>
                <w:sz w:val="14"/>
                <w:szCs w:val="14"/>
                <w:b w:val="1"/>
                <w:bCs w:val="1"/>
                <w:color w:val="auto"/>
                <w:w w:val="92"/>
              </w:rPr>
              <w:t>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96.0</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-1.2</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Beloranib 0.1 mg/m</w:t>
            </w:r>
            <w:r>
              <w:rPr>
                <w:rFonts w:ascii="Arial" w:cs="Arial" w:eastAsia="Arial" w:hAnsi="Arial"/>
                <w:sz w:val="15"/>
                <w:szCs w:val="15"/>
                <w:color w:val="auto"/>
              </w:rPr>
              <w:t>2</w:t>
            </w:r>
          </w:p>
        </w:tc>
        <w:tc>
          <w:tcPr>
            <w:tcW w:w="4060" w:type="dxa"/>
            <w:vAlign w:val="bottom"/>
            <w:gridSpan w:val="2"/>
          </w:tcPr>
          <w:p>
            <w:pPr>
              <w:jc w:val="center"/>
              <w:ind w:left="3210"/>
              <w:spacing w:after="0"/>
              <w:rPr>
                <w:sz w:val="20"/>
                <w:szCs w:val="20"/>
                <w:color w:val="auto"/>
              </w:rPr>
            </w:pPr>
            <w:r>
              <w:rPr>
                <w:rFonts w:ascii="Arial" w:cs="Arial" w:eastAsia="Arial" w:hAnsi="Arial"/>
                <w:sz w:val="18"/>
                <w:szCs w:val="18"/>
                <w:color w:val="auto"/>
                <w:w w:val="79"/>
              </w:rPr>
              <w:t>6</w:t>
            </w:r>
          </w:p>
        </w:tc>
        <w:tc>
          <w:tcPr>
            <w:tcW w:w="6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-0.9</w:t>
            </w:r>
          </w:p>
        </w:tc>
        <w:tc>
          <w:tcPr>
            <w:tcW w:w="7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Beloranib 0.3 mg/m</w:t>
            </w:r>
            <w:r>
              <w:rPr>
                <w:rFonts w:ascii="Arial" w:cs="Arial" w:eastAsia="Arial" w:hAnsi="Arial"/>
                <w:sz w:val="15"/>
                <w:szCs w:val="15"/>
                <w:color w:val="auto"/>
              </w:rPr>
              <w:t>2</w:t>
            </w:r>
          </w:p>
        </w:tc>
        <w:tc>
          <w:tcPr>
            <w:tcW w:w="4060" w:type="dxa"/>
            <w:vAlign w:val="bottom"/>
            <w:gridSpan w:val="2"/>
            <w:shd w:val="clear" w:color="auto" w:fill="CCEEFF"/>
          </w:tcPr>
          <w:p>
            <w:pPr>
              <w:jc w:val="center"/>
              <w:ind w:left="3210"/>
              <w:spacing w:after="0"/>
              <w:rPr>
                <w:sz w:val="20"/>
                <w:szCs w:val="20"/>
                <w:color w:val="auto"/>
              </w:rPr>
            </w:pPr>
            <w:r>
              <w:rPr>
                <w:rFonts w:ascii="Arial" w:cs="Arial" w:eastAsia="Arial" w:hAnsi="Arial"/>
                <w:sz w:val="18"/>
                <w:szCs w:val="18"/>
                <w:color w:val="auto"/>
                <w:w w:val="79"/>
              </w:rPr>
              <w:t>6</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100.3</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Beloranib 0.9 mg/m</w:t>
            </w:r>
            <w:r>
              <w:rPr>
                <w:rFonts w:ascii="Arial" w:cs="Arial" w:eastAsia="Arial" w:hAnsi="Arial"/>
                <w:sz w:val="15"/>
                <w:szCs w:val="15"/>
                <w:color w:val="auto"/>
              </w:rPr>
              <w:t>2</w:t>
            </w:r>
          </w:p>
        </w:tc>
        <w:tc>
          <w:tcPr>
            <w:tcW w:w="4060" w:type="dxa"/>
            <w:vAlign w:val="bottom"/>
            <w:gridSpan w:val="2"/>
          </w:tcPr>
          <w:p>
            <w:pPr>
              <w:jc w:val="center"/>
              <w:ind w:left="3210"/>
              <w:spacing w:after="0"/>
              <w:rPr>
                <w:sz w:val="20"/>
                <w:szCs w:val="20"/>
                <w:color w:val="auto"/>
              </w:rPr>
            </w:pPr>
            <w:r>
              <w:rPr>
                <w:rFonts w:ascii="Arial" w:cs="Arial" w:eastAsia="Arial" w:hAnsi="Arial"/>
                <w:sz w:val="18"/>
                <w:szCs w:val="18"/>
                <w:color w:val="auto"/>
                <w:w w:val="79"/>
              </w:rPr>
              <w:t>8</w:t>
            </w:r>
          </w:p>
        </w:tc>
        <w:tc>
          <w:tcPr>
            <w:tcW w:w="6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6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-3.6</w:t>
            </w:r>
          </w:p>
        </w:tc>
        <w:tc>
          <w:tcPr>
            <w:tcW w:w="7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statistical analysis was not performed in this proof of concept trial</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Post hoc analyses suggested that beloranib had favorable effects on other parameters, including body fat content, C-reactive protein, low density lipoprotein cholesterol and hunger.</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There were no drug-related SAEs or treatment emergent adverse events, or TEAEs. Headaches and gastrointestinal symptoms were the most common TEAEs in all groups including placebo and tended to be mild in intensity and transient. Contusions or bruising which occurred at infusion sites, often due to difficulty in IV access, were reported. There were no clinically significant changes reported as TEAEs in hematology, serum chemistry or urinalysis values for any of the patients in any of the dose groups. The objectives of this clinical trial were met. Weight loss was a secondary clinical endpoint and was not subjected to statistical analysis.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ZAF-003—Phase 1b Trial of Beloranib, a Novel Methionine Aminopeptidase 2 (MetAP-2) Inhibitor for Treatment of Extreme Obesity: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Randomized, Double-Blind, Placebo-Controlled, Escalating Doses in Female Volunteers</w:t>
      </w:r>
    </w:p>
    <w:p>
      <w:pPr>
        <w:spacing w:after="0" w:line="10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ZAF-003 was a double-blind, placebo controlled, dose escalation and multiple dose trial conducted in Australia. A static dosing scheme of 3.0 mg, 6.0 mg, and 2.5 mg was evaluated and all doses were administered via 1-hour intravenous infusion, with 3.0 mg and 6.0 mg doses given twice weekly for four weeks, and the 2.5 mg dose given twice weekly for the first week and once weekly for the subsequent six weeks for total of seven weeks of treatment. Patients who qualified after the screening round were randomized 2:1 to treatment with beloranib or placebo. 25 obese female patients were enrolled, and 22 patients completed this clinical trial. Three patients withdrew from this clinical trial, two from the 6.0 mg treatment group, due to tolerability limitations and one from the 2.5 mg treatment group due to an adverse event deemed not to be related to study drug. 92% of the patients were Caucasian, 4% of the patients were Asian and 4% of the patients were Pacific Islanders. The average ages were between 44.0 and 51.3 years for the various treatment groups. The primary objective of this clinical trial was to demonstrate safe doses of intravenous infusion of beloranib for reduction of body weight in female obese patients with baseline BMIs ranging from 30 to 50 kg/m</w:t>
      </w:r>
      <w:r>
        <w:rPr>
          <w:rFonts w:ascii="Arial" w:cs="Arial" w:eastAsia="Arial" w:hAnsi="Arial"/>
          <w:sz w:val="13"/>
          <w:szCs w:val="13"/>
          <w:color w:val="auto"/>
        </w:rPr>
        <w:t>2</w:t>
      </w:r>
      <w:r>
        <w:rPr>
          <w:rFonts w:ascii="Arial" w:cs="Arial" w:eastAsia="Arial" w:hAnsi="Arial"/>
          <w:sz w:val="16"/>
          <w:szCs w:val="16"/>
          <w:color w:val="auto"/>
        </w:rPr>
        <w:t>. The secondary objectives of this clinical trial were to (i) confirm the safety profile of beloranib in obese female patients receiving incrementally larger fixed doses than the dose regimen previously tested in ZAF-001, (ii) evaluate the tolerance, weight loss and ease of administration for continuing a safe dose of beloranib on a weekly schedule, (ii) correlate higher dose levels of beloranib with measures of reduction in body weight and hunger, (iii) confirm the pharmacokinetic profile of beloranib, and (iv) correlate exposure of beloranib with changes in biomarkers for fasting plasma lipids, lipid metabolism, fasting insulin and thyroid function.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key results of this clinical trial are summarized for the Per Protocol population, patients completing the full dosing period and receiving a minimum of six doses, as follows: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4-week Phase 1b Proof of Concept Clinical Trial in Obese Patients (ZAF-003)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Baseline Body</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Average</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Trial Arm</w:t>
            </w:r>
          </w:p>
        </w:tc>
        <w:tc>
          <w:tcPr>
            <w:tcW w:w="33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Patients Per</w:t>
            </w:r>
          </w:p>
        </w:tc>
        <w:tc>
          <w:tcPr>
            <w:tcW w:w="1540" w:type="dxa"/>
            <w:vAlign w:val="bottom"/>
            <w:gridSpan w:val="2"/>
            <w:vMerge w:val="continue"/>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Weight</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Protocol</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 (kg)</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Change (kg)</w:t>
            </w:r>
          </w:p>
        </w:tc>
        <w:tc>
          <w:tcPr>
            <w:tcW w:w="400" w:type="dxa"/>
            <w:vAlign w:val="bottom"/>
          </w:tcPr>
          <w:p>
            <w:pPr>
              <w:spacing w:after="0"/>
              <w:rPr>
                <w:sz w:val="20"/>
                <w:szCs w:val="20"/>
                <w:color w:val="auto"/>
              </w:rPr>
            </w:pPr>
            <w:r>
              <w:rPr>
                <w:rFonts w:ascii="Arial" w:cs="Arial" w:eastAsia="Arial" w:hAnsi="Arial"/>
                <w:sz w:val="14"/>
                <w:szCs w:val="14"/>
                <w:b w:val="1"/>
                <w:bCs w:val="1"/>
                <w:color w:val="auto"/>
                <w:w w:val="92"/>
              </w:rPr>
              <w:t>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104.6</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-0.1</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Beloranib 3.0 mg twice weekly</w:t>
            </w:r>
          </w:p>
        </w:tc>
        <w:tc>
          <w:tcPr>
            <w:tcW w:w="4060" w:type="dxa"/>
            <w:vAlign w:val="bottom"/>
            <w:gridSpan w:val="2"/>
          </w:tcPr>
          <w:p>
            <w:pPr>
              <w:jc w:val="center"/>
              <w:ind w:left="3210"/>
              <w:spacing w:after="0"/>
              <w:rPr>
                <w:sz w:val="20"/>
                <w:szCs w:val="20"/>
                <w:color w:val="auto"/>
              </w:rPr>
            </w:pPr>
            <w:r>
              <w:rPr>
                <w:rFonts w:ascii="Arial" w:cs="Arial" w:eastAsia="Arial" w:hAnsi="Arial"/>
                <w:sz w:val="18"/>
                <w:szCs w:val="18"/>
                <w:color w:val="auto"/>
                <w:w w:val="79"/>
              </w:rPr>
              <w:t>6</w:t>
            </w:r>
          </w:p>
        </w:tc>
        <w:tc>
          <w:tcPr>
            <w:tcW w:w="6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-4.7</w:t>
            </w:r>
          </w:p>
        </w:tc>
        <w:tc>
          <w:tcPr>
            <w:tcW w:w="7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Beloranib 6.0 mg twice weekly</w:t>
            </w:r>
          </w:p>
        </w:tc>
        <w:tc>
          <w:tcPr>
            <w:tcW w:w="4060" w:type="dxa"/>
            <w:vAlign w:val="bottom"/>
            <w:gridSpan w:val="2"/>
            <w:shd w:val="clear" w:color="auto" w:fill="CCEEFF"/>
          </w:tcPr>
          <w:p>
            <w:pPr>
              <w:jc w:val="center"/>
              <w:ind w:left="3210"/>
              <w:spacing w:after="0"/>
              <w:rPr>
                <w:sz w:val="20"/>
                <w:szCs w:val="20"/>
                <w:color w:val="auto"/>
              </w:rPr>
            </w:pPr>
            <w:r>
              <w:rPr>
                <w:rFonts w:ascii="Arial" w:cs="Arial" w:eastAsia="Arial" w:hAnsi="Arial"/>
                <w:sz w:val="18"/>
                <w:szCs w:val="18"/>
                <w:color w:val="auto"/>
                <w:w w:val="79"/>
              </w:rPr>
              <w:t>3</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105.5</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Beloranib 2.5 mg once weekly</w:t>
            </w:r>
          </w:p>
        </w:tc>
        <w:tc>
          <w:tcPr>
            <w:tcW w:w="4060" w:type="dxa"/>
            <w:vAlign w:val="bottom"/>
            <w:gridSpan w:val="2"/>
          </w:tcPr>
          <w:p>
            <w:pPr>
              <w:jc w:val="center"/>
              <w:ind w:left="3210"/>
              <w:spacing w:after="0"/>
              <w:rPr>
                <w:sz w:val="20"/>
                <w:szCs w:val="20"/>
                <w:color w:val="auto"/>
              </w:rPr>
            </w:pPr>
            <w:r>
              <w:rPr>
                <w:rFonts w:ascii="Arial" w:cs="Arial" w:eastAsia="Arial" w:hAnsi="Arial"/>
                <w:sz w:val="18"/>
                <w:szCs w:val="18"/>
                <w:color w:val="auto"/>
                <w:w w:val="79"/>
              </w:rPr>
              <w:t>5</w:t>
            </w:r>
          </w:p>
        </w:tc>
        <w:tc>
          <w:tcPr>
            <w:tcW w:w="6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94.0</w:t>
            </w:r>
          </w:p>
        </w:tc>
        <w:tc>
          <w:tcPr>
            <w:tcW w:w="6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-2.7</w:t>
            </w:r>
          </w:p>
        </w:tc>
        <w:tc>
          <w:tcPr>
            <w:tcW w:w="7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statistical analysis was not performed in this proof of concept trial</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Post hoc analyses suggested that beloranib had favorable effects on other parameters, including body fat content, C-reactive protein, low density lipoprotein cholesterol and hunger.</w:t>
      </w:r>
    </w:p>
    <w:p>
      <w:pPr>
        <w:spacing w:after="0" w:line="170" w:lineRule="exact"/>
        <w:rPr>
          <w:sz w:val="20"/>
          <w:szCs w:val="20"/>
          <w:color w:val="auto"/>
        </w:rPr>
      </w:pPr>
    </w:p>
    <w:p>
      <w:pPr>
        <w:jc w:val="both"/>
        <w:ind w:right="340" w:firstLine="456"/>
        <w:spacing w:after="0" w:line="279" w:lineRule="auto"/>
        <w:rPr>
          <w:sz w:val="20"/>
          <w:szCs w:val="20"/>
          <w:color w:val="auto"/>
        </w:rPr>
      </w:pPr>
      <w:r>
        <w:rPr>
          <w:rFonts w:ascii="Arial" w:cs="Arial" w:eastAsia="Arial" w:hAnsi="Arial"/>
          <w:sz w:val="17"/>
          <w:szCs w:val="17"/>
          <w:color w:val="auto"/>
        </w:rPr>
        <w:t>The primary and secondary objectives of this clinical trial were met, showing the maximally tolerated dose of 3.0 mg of beloranib administered by intravenous infusion was identified, weight loss was uniformly observed at both 3.0 mg and 6.0 mg dose levels of beloranib, and a visual analog scale of hunger revealed reduction in hunger at both doses. Further, a once-weekly regimen was evaluated with 2.5 mg of beloranib, which was well-tolerated and showed limited evidence of weight loss efficacy or reduction in hunger despite being well-tolerated.</w:t>
      </w:r>
    </w:p>
    <w:p>
      <w:pPr>
        <w:spacing w:after="0" w:line="276" w:lineRule="exact"/>
        <w:rPr>
          <w:sz w:val="20"/>
          <w:szCs w:val="20"/>
          <w:color w:val="auto"/>
        </w:rPr>
      </w:pPr>
    </w:p>
    <w:p>
      <w:pPr>
        <w:ind w:left="460" w:right="140"/>
        <w:spacing w:after="0" w:line="266" w:lineRule="auto"/>
        <w:rPr>
          <w:sz w:val="20"/>
          <w:szCs w:val="20"/>
          <w:color w:val="auto"/>
        </w:rPr>
      </w:pPr>
      <w:r>
        <w:rPr>
          <w:rFonts w:ascii="Arial" w:cs="Arial" w:eastAsia="Arial" w:hAnsi="Arial"/>
          <w:sz w:val="18"/>
          <w:szCs w:val="18"/>
          <w:b w:val="1"/>
          <w:bCs w:val="1"/>
          <w:color w:val="auto"/>
        </w:rPr>
        <w:t>ZAF-101- ZGN-440 (Beloranib for Subcutaneous Injection), A Novel Methionine Aminopeptidase 2 Inhibitor for Treatment of Obesity: A Randomized Double-Blind Placebo Controlled Dose Escalation Phase 1b Trial to Evaluate Safety, Pharmacokinetics, Pharmacodynamics and Initial Weight Loss</w:t>
      </w:r>
    </w:p>
    <w:p>
      <w:pPr>
        <w:spacing w:after="0" w:line="7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ZAF-101 was a four-week, multi-dose trial using beloranib formulated for subcutaneous, or SC, injection in obese, otherwise healthy females, conducted in Australia. This clinical trial was a double-blind, placebo controlled, dose escalation and multiple dose study. Doses of 1.0 mg, 2.0 mg, and 4.0 mg of beloranib were evaluated and all doses were administered by SC injection twice weekly for four weeks. Patients who qualified after the screening were randomized 1:1:1:1 to treatment with the three dose levels of beloranib or placebo. 25 female Caucasian patients were enrolled. Four patients withdrew from this clinical trial, three from the 4.0 mg treatment group and one from the 2.0 mg treatment group due to sleep disturbance. The average ages were 46.0 to 49.9 years for the various treatment groups and the BMI range of the patients was 30-45 kg/m</w:t>
      </w:r>
      <w:r>
        <w:rPr>
          <w:rFonts w:ascii="Arial" w:cs="Arial" w:eastAsia="Arial" w:hAnsi="Arial"/>
          <w:sz w:val="14"/>
          <w:szCs w:val="14"/>
          <w:color w:val="auto"/>
        </w:rPr>
        <w:t>2</w:t>
      </w:r>
      <w:r>
        <w:rPr>
          <w:rFonts w:ascii="Arial" w:cs="Arial" w:eastAsia="Arial" w:hAnsi="Arial"/>
          <w:sz w:val="17"/>
          <w:szCs w:val="17"/>
          <w:color w:val="auto"/>
        </w:rPr>
        <w:t>. This clinical trial was designed to evaluate the safety and tolerability of beloranib administered SC in obese female patients. Secondary objectives of this clinical trial were to assess weight loss and responses in metabolic biomarkers over a dose range of beloranib in obese female patients and to compare weight loss due to beloranib administered SC to that previously observed by beloranib administered intravenously.</w:t>
      </w:r>
    </w:p>
    <w:p>
      <w:pPr>
        <w:spacing w:after="0" w:line="18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key results of this clinical trial are summarized for the Per Protocol population, patients completing the four-week dosing period and receiving a minimum of six doses,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4-week Phase 1b Proof of Concept Clinical Trial in Obese Patients (ZAF-101)</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Number of</w:t>
            </w:r>
          </w:p>
        </w:tc>
        <w:tc>
          <w:tcPr>
            <w:tcW w:w="10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Baseline</w:t>
            </w:r>
          </w:p>
        </w:tc>
        <w:tc>
          <w:tcPr>
            <w:tcW w:w="19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7"/>
              </w:rPr>
              <w:t>Trial Arm</w:t>
            </w:r>
          </w:p>
        </w:tc>
        <w:tc>
          <w:tcPr>
            <w:tcW w:w="20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Patients Per</w:t>
            </w:r>
          </w:p>
        </w:tc>
        <w:tc>
          <w:tcPr>
            <w:tcW w:w="100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Body</w:t>
            </w:r>
          </w:p>
        </w:tc>
        <w:tc>
          <w:tcPr>
            <w:tcW w:w="19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4"/>
              </w:rPr>
              <w:t>Weight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Protocol</w:t>
            </w:r>
          </w:p>
        </w:tc>
        <w:tc>
          <w:tcPr>
            <w:tcW w:w="10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Weight (kg)</w:t>
            </w:r>
          </w:p>
        </w:tc>
        <w:tc>
          <w:tcPr>
            <w:tcW w:w="19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1"/>
              </w:rPr>
              <w:t>Change (kg)</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Placebo</w:t>
            </w:r>
          </w:p>
        </w:tc>
        <w:tc>
          <w:tcPr>
            <w:tcW w:w="6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97.3</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Beloranib 1.0 mg</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740" w:type="dxa"/>
            <w:vAlign w:val="bottom"/>
            <w:gridSpan w:val="2"/>
          </w:tcPr>
          <w:p>
            <w:pPr>
              <w:jc w:val="center"/>
              <w:ind w:left="910"/>
              <w:spacing w:after="0"/>
              <w:rPr>
                <w:sz w:val="20"/>
                <w:szCs w:val="20"/>
                <w:color w:val="auto"/>
              </w:rPr>
            </w:pPr>
            <w:r>
              <w:rPr>
                <w:rFonts w:ascii="Arial" w:cs="Arial" w:eastAsia="Arial" w:hAnsi="Arial"/>
                <w:sz w:val="18"/>
                <w:szCs w:val="18"/>
                <w:color w:val="auto"/>
                <w:w w:val="85"/>
              </w:rPr>
              <w:t>99.1</w:t>
            </w:r>
          </w:p>
        </w:tc>
        <w:tc>
          <w:tcPr>
            <w:tcW w:w="580" w:type="dxa"/>
            <w:vAlign w:val="bottom"/>
          </w:tcPr>
          <w:p>
            <w:pPr>
              <w:spacing w:after="0"/>
              <w:rPr>
                <w:sz w:val="18"/>
                <w:szCs w:val="18"/>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&lt;0.001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Beloranib 2.0 mg</w:t>
            </w:r>
          </w:p>
        </w:tc>
        <w:tc>
          <w:tcPr>
            <w:tcW w:w="2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7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5"/>
              </w:rPr>
              <w:t>92.7</w:t>
            </w:r>
          </w:p>
        </w:tc>
        <w:tc>
          <w:tcPr>
            <w:tcW w:w="5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-4.2</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&lt;0.001</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Beloranib 4.0 mg</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740" w:type="dxa"/>
            <w:vAlign w:val="bottom"/>
            <w:gridSpan w:val="2"/>
          </w:tcPr>
          <w:p>
            <w:pPr>
              <w:jc w:val="center"/>
              <w:ind w:left="910"/>
              <w:spacing w:after="0"/>
              <w:rPr>
                <w:sz w:val="20"/>
                <w:szCs w:val="20"/>
                <w:color w:val="auto"/>
              </w:rPr>
            </w:pPr>
            <w:r>
              <w:rPr>
                <w:rFonts w:ascii="Arial" w:cs="Arial" w:eastAsia="Arial" w:hAnsi="Arial"/>
                <w:sz w:val="18"/>
                <w:szCs w:val="18"/>
                <w:color w:val="auto"/>
                <w:w w:val="85"/>
              </w:rPr>
              <w:t>93.9</w:t>
            </w:r>
          </w:p>
        </w:tc>
        <w:tc>
          <w:tcPr>
            <w:tcW w:w="580" w:type="dxa"/>
            <w:vAlign w:val="bottom"/>
          </w:tcPr>
          <w:p>
            <w:pPr>
              <w:spacing w:after="0"/>
              <w:rPr>
                <w:sz w:val="20"/>
                <w:szCs w:val="20"/>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-6.1</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&lt;0.001</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right"/>
              <w:ind w:right="690"/>
              <w:spacing w:after="0"/>
              <w:rPr>
                <w:sz w:val="20"/>
                <w:szCs w:val="20"/>
                <w:color w:val="auto"/>
              </w:rPr>
            </w:pPr>
            <w:r>
              <w:rPr>
                <w:rFonts w:ascii="Arial" w:cs="Arial" w:eastAsia="Arial" w:hAnsi="Arial"/>
                <w:sz w:val="18"/>
                <w:szCs w:val="18"/>
                <w:color w:val="auto"/>
                <w:w w:val="99"/>
              </w:rPr>
              <w:t>84</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There were no clinically significant changes in laboratory parameters, electrocardiograms, or vital signs with any of the doses. There were no deaths or severe AEs reported in this clinical trial. Aside from mild and transient injection site reactions, which were observed across all treatment groups, including placebo, SC administration of the drug appeared to be locally well-tolerated. However, the highest dose, or 4.0 mg of beloranib, appeared to be less well-tolerated systemically and led to more frequent moderate intensity TEAEs and premature trial withdrawals, mainly due to gastrointestinal events and sleep disturbance. Sleep disturbance AEs were reported by 100% of subjects in the 2.0 mg group (6 events), 85.7% of subjects in the 4.0 mg group (6 events),</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83.3% of subjects in the 1.0 mg treatment group (5 events) and 16.7% of subjects in the placebo treatment group (1 event). All events of sleep disturbance were deemed to be probably related to study drug. Abnormal dreams, mostly vivid dreams, were the other frequently reported sleep abnormalities reported as TEAEs reported by 83.3% of subjects in the 2.0 mg dose group, 85.7% in the 4.0 mg dose group and 66.7% in the 1.0 mg dose group. No subjects reported abnormal dreams in the placebo group. The majority of sleep disorders were of mild severity—83.3% in the 2.0 mg dose group, 33.3% in the 4.0 mg dose group, 100% in the 1.0 mg dose group; as were the majority of abnormal dreams—83.3% in the 2.0 mg dose group, 85.7% in the 4.0 mg dose group, and</w:t>
      </w:r>
    </w:p>
    <w:p>
      <w:pPr>
        <w:spacing w:after="0" w:line="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66.7% in the 1.0 mg dose group. All remaining events were moderate in severity. A total of four subjects including one subject in the 2.0 mg dose group and three subjects from the 4.0 mg dose group withdrew from the trial due to sleep disturbance. The increased incidence of early trial withdrawal due to sleep disturbance in the 4.0 mg treatment group suggested that this dose was less well tolerated. Gastrointestinal disorders were frequently reported across all dose groups. The greatest percentage of subjects to report gastrointestinal adverse events, such as diarrhea and nausea, were in the placebo group, 50.0% (3 events in 3 subjects) and 33.3% (2 events in 2 subjects), respectively. Occurrence of diarrhea in beloranib-treated subjects ranged between 16.7% (1 event in 1 subject) for the 2.0 mg dose group, and 42.9% (3 events in 3 subjects) in the 4.0 mg dose group. Occurrence of nausea in beloranib-treated subjects ranged from 14.3% (1 event in 1 subject) for the 4.0 mg dose group, and 16.7% (1 event in 1 subject) in both the 1.0 and 2.0 mg dose groups.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2a Clinical Trials</w:t>
      </w:r>
    </w:p>
    <w:p>
      <w:pPr>
        <w:spacing w:after="0" w:line="113" w:lineRule="exact"/>
        <w:rPr>
          <w:sz w:val="20"/>
          <w:szCs w:val="20"/>
          <w:color w:val="auto"/>
        </w:rPr>
      </w:pPr>
    </w:p>
    <w:p>
      <w:pPr>
        <w:ind w:left="460" w:right="140"/>
        <w:spacing w:after="0" w:line="266" w:lineRule="auto"/>
        <w:rPr>
          <w:sz w:val="20"/>
          <w:szCs w:val="20"/>
          <w:color w:val="auto"/>
        </w:rPr>
      </w:pPr>
      <w:r>
        <w:rPr>
          <w:rFonts w:ascii="Arial" w:cs="Arial" w:eastAsia="Arial" w:hAnsi="Arial"/>
          <w:sz w:val="18"/>
          <w:szCs w:val="18"/>
          <w:b w:val="1"/>
          <w:bCs w:val="1"/>
          <w:color w:val="auto"/>
        </w:rPr>
        <w:t>ZAF-201—Randomized, Double-Blind, Placebo-Controlled, Dose Ranging Phase 2 Trial of Beloranib (ZGN-440 for Subcutaneous Injection), A Novel Methionine Aminopeptidase 2 Inhibitor, in Obese Subjects to Evaluate Weight Reduction, Safety, and Pharmacokinetics Over 12 Weeks</w:t>
      </w:r>
    </w:p>
    <w:p>
      <w:pPr>
        <w:spacing w:after="0" w:line="18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ZAF-201 was a 12-week Phase 2a proof-of-concept clinical trial in 160 obese patients, of whom 122 were dosed with beloranib, across eight participating trial sites in Australia. 93.8% of patients were female, 97.5% were Caucasian, the average age was 48.4 years and patients had a BMI range of 30-54 kg/m</w:t>
      </w:r>
      <w:r>
        <w:rPr>
          <w:rFonts w:ascii="Arial" w:cs="Arial" w:eastAsia="Arial" w:hAnsi="Arial"/>
          <w:sz w:val="13"/>
          <w:szCs w:val="13"/>
          <w:color w:val="auto"/>
        </w:rPr>
        <w:t>2</w:t>
      </w:r>
      <w:r>
        <w:rPr>
          <w:rFonts w:ascii="Arial" w:cs="Arial" w:eastAsia="Arial" w:hAnsi="Arial"/>
          <w:sz w:val="16"/>
          <w:szCs w:val="16"/>
          <w:color w:val="auto"/>
        </w:rPr>
        <w:t>. Patients were excluded from this clinical trial if they had been involved recently in another weight loss trial, or if they had clinically significant liver, renal, pulmonary, cardiovascular, oncologic, gastrointestinal disease, or severe mental illness. This clinical trial was designed to evaluate weight loss and responses in metabolic biomarkers over a dose range of beloranib and to assess safety and tolerability of beloranib over 12 weeks in obese patients. This was a randomized, placebo controlled, double-blinded, parallel design trial to evaluate a range of fixed beloranib doses, including 0.3 mg, 0.6 mg, 1.2 mg, 2.4 mg and 3.2 mg, in comparison to placebo. All doses were administered as SC injections twice weekly for 12 weeks.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Trial endpoints included safety and tolerability, weight loss, body composition by bio-impedence, pharmacokinetic, or PK, and pharmacodynamic assessment. As stipulated in the protocol, our Safety Review Committee for this clinical trial, or SRC, reviewed interim safety and PK results after 36 patients from the initial part of this clinical trial completed at least 2 weeks of treatment. Laboratory, electrocardiogram, and vital sign reviews were deemed to be unremarkable and lacking any significant safety concerns. The SRC recommended to eliminate the lowest and highest active dose groups, 0.3 mg and 3.2 mg, thus leaving the doses of 0.6 mg, 1.2 mg, 2.4 mg or placebo to be studied in the remainder of this clinical trial. This was based on the conclusion that the weight loss for the 0.3 mg dose was not clinically meaningful and the 3.2 mg dose was not well-tolerated. The most common AE leading to early termination at the 2.4 mg and 3.2 mg dose levels was sleep disturbance.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key results of this trial are summarized for the Per Protocol population, patients completing the 12-week dosing period and receiving a minimum of 16 of 24 doses,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12-week Phase 2a Proof of Concept Clinical Trial in Obese Patients (ZAF-201)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Percent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Baseline</w:t>
            </w:r>
          </w:p>
        </w:tc>
        <w:tc>
          <w:tcPr>
            <w:tcW w:w="18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Mean</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Placebo-</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Adjusted</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Trial Arm</w:t>
            </w:r>
          </w:p>
        </w:tc>
        <w:tc>
          <w:tcPr>
            <w:tcW w:w="162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Patients Per</w:t>
            </w:r>
          </w:p>
        </w:tc>
        <w:tc>
          <w:tcPr>
            <w:tcW w:w="18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Body</w:t>
            </w: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Weight</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Weight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p-value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Protocol</w:t>
            </w: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Weight (kg)</w:t>
            </w: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Change (kg)</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Placebo</w:t>
            </w:r>
          </w:p>
        </w:tc>
        <w:tc>
          <w:tcPr>
            <w:tcW w:w="6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5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102.3</w:t>
            </w:r>
          </w:p>
        </w:tc>
        <w:tc>
          <w:tcPr>
            <w:tcW w:w="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Beloranib 0.6 mg</w:t>
            </w:r>
          </w:p>
        </w:tc>
        <w:tc>
          <w:tcPr>
            <w:tcW w:w="288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34</w:t>
            </w:r>
          </w:p>
        </w:tc>
        <w:tc>
          <w:tcPr>
            <w:tcW w:w="5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5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-5.5</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-5.0</w:t>
            </w:r>
          </w:p>
        </w:tc>
        <w:tc>
          <w:tcPr>
            <w:tcW w:w="5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&lt;0.0001</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Beloranib 1.2 mg</w:t>
            </w:r>
          </w:p>
        </w:tc>
        <w:tc>
          <w:tcPr>
            <w:tcW w:w="288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31</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&lt;0.0001</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Beloranib 2.4 mg</w:t>
            </w:r>
          </w:p>
        </w:tc>
        <w:tc>
          <w:tcPr>
            <w:tcW w:w="288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15</w:t>
            </w:r>
          </w:p>
        </w:tc>
        <w:tc>
          <w:tcPr>
            <w:tcW w:w="5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5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-10.9</w:t>
            </w:r>
          </w:p>
        </w:tc>
        <w:tc>
          <w:tcPr>
            <w:tcW w:w="5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-10.3</w:t>
            </w:r>
          </w:p>
        </w:tc>
        <w:tc>
          <w:tcPr>
            <w:tcW w:w="5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&lt;0.0001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00" w:right="6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Levels of the cardiovascular disease risk marker C-reactive protein were reduced by an average of 2.5, 2.3 and 1.9 µg/ml, or 23%, 22% and 37%, respectively, for patients treated with beloranib at 0.6 mg, 1.2 mg and 2.4 mg, respectively, compared to an average increase of 1.0 µg/ml for patients dosed with placebo (p&lt;0.0001).</w:t>
      </w:r>
    </w:p>
    <w:p>
      <w:pPr>
        <w:spacing w:after="0" w:line="86"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Levels of low density lipoprotein cholesterol, or LDL-c, were reduced by an average of 0.3, 0.5 and 1.0 mmol/l, or 9.4%, 14.5% and 29.7%, respectively, for patients treated with beloranib at 0.6 mg, 1.2 mg and 2.4 mg, respectively, compared to an average reduction of 0.3 mmol/l for patients dosed with placebo (p&lt;0.001 for patients treated with 2.4 mg beloranib).</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Levels of high density lipoprotein cholesterol, or HDL-c, were increased by an average of 0.1, 0.1 and 0.2 mmol/l, or 7.6%, 11.6% and 14.6%, respectively, for patients treated with beloranib at 0.6 mg, 1.2 mg and 2.4 mg, respectively, compared to no change for patients dosed with placebo (p&lt;0.05 for patients treated with 1.2 mg and 2.4 mg beloranib).</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Levels of triglycerides were reduced by an average of 0.2, 0.3 and 0.4 mmol/l, or 8.8%, 9.0% and 20.3%, respectively, for patients treated with beloranib at 0.6 mg, 1.2 mg and 2.4 mg, respectively, compared to a reduction of 0.3 mmol/l for patients dosed with placebo (p&lt;0.05 for patients treated with 1.2 mg and 2.4 mg beloranib).</w:t>
      </w:r>
    </w:p>
    <w:p>
      <w:pPr>
        <w:spacing w:after="0" w:line="86" w:lineRule="exact"/>
        <w:rPr>
          <w:rFonts w:ascii="Arial" w:cs="Arial" w:eastAsia="Arial" w:hAnsi="Arial"/>
          <w:sz w:val="18"/>
          <w:szCs w:val="18"/>
          <w:color w:val="auto"/>
        </w:rPr>
      </w:pPr>
    </w:p>
    <w:p>
      <w:pPr>
        <w:ind w:left="900" w:right="260" w:hanging="325"/>
        <w:spacing w:after="0" w:line="31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Systolic blood pressure was reduced by an average of 6.3 mmHg, 6.3 mmHg and 13.6 mmHg for patients treated with beloranib at 0.6 mg, 1.2 mg and 2.4 mg, respectively, compared to an average of 1.4 mmHg reduction for patients dosed with placebo (p&lt;0.05 for 1.2 mg and 2.4 mg doses). Trends toward reduction in diastolic blood pressure also were observed, although these changes did not reach statistical significance.</w:t>
      </w:r>
    </w:p>
    <w:p>
      <w:pPr>
        <w:spacing w:after="0" w:line="5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Sense of hunger was reduced by an average of 1.5 cm, 2.2 cm and 3.3 cm (out of a maximum number of 10 cm using a standardized visual analog scale asking how hungry the participant had been over the prior trial days) and compared to an average reduction of 0.1 cm in placebo, respectively (p&lt;0.05 for all doses). Baseline values were, on average, 5.0 cm, 5.3 cm, 5.8 cm and 6.4 cm for placebo, for doses of 0.6 mg, 1.2 mg and 2.4 mg of beloranib, respectively.</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Post hoc analyses suggest that beloranib also may have favorable effects on body fat content.</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While results from this clinical trial showed that beloranib doses ranging from 0.6 mg to 2.4 mg administered by SC injection resulted in dose-related weight loss, the highest dose, 2.4 mg, was associated with the most significant and rapid onset of weight loss whereas the lower doses, 0.6 mg and 1.2 mg, tended to result in slower initiation of weight reduction. However, the highest dose, 2.4 mg, of beloranib appeared to be less well-tolerated systemically and led to more frequent severe intensity TEAEs. 21 patients treated with 2.4 mg beloranib prematurely withdrew from the trial, mainly due to sleep disturbance reflective of increased sleep latency, the time patients reported taking to fall asleep at night. There were no deaths or any SAEs deemed to be possibly,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probably, or definitely related to beloranib, although there were two serious thrombotic adverse events which, while not attributed to beloranib treatment, may point to the utility of assessment of prior history of thrombotic events in patients enrolled in subsequent trials and added vigilance for AEs related to blood clotting during future clinical trials. The most commonly reported TEAEs were gastrointestinal disorders, mainly nausea, diarrhea, or vomiting, nervous system disorders, mainly dizziness, and psychiatric disorders, mainly insomnia, sleep disorder, or abnormal dreams. TEAEs were generally mild in severity and transient. Other frequently reported TEAEs were headaches and injection site bruising/itching, although the incidences were comparable to placebo and not observed to be dose-related. Laboratory assessments, vital signs and electrocardiograms revealed no unexplained abnormalities or clinically significant trends. The primary objectives of this clinical trial were met, including demonstration of continued weight loss beyond the four-week trial duration evaluated in prior trials, demonstration of the tolerability profile at effective doses, and demonstration of reductions in key cardiometabolic risk parameters and hunger as well as improved body composition (reduced waist circumference and fat mass) as assessed by bioelectrical impedance.</w:t>
      </w:r>
    </w:p>
    <w:p>
      <w:pPr>
        <w:spacing w:after="0" w:line="271" w:lineRule="exact"/>
        <w:rPr>
          <w:sz w:val="20"/>
          <w:szCs w:val="20"/>
          <w:color w:val="auto"/>
        </w:rPr>
      </w:pPr>
    </w:p>
    <w:p>
      <w:pPr>
        <w:jc w:val="both"/>
        <w:ind w:left="460" w:right="20"/>
        <w:spacing w:after="0" w:line="314" w:lineRule="auto"/>
        <w:rPr>
          <w:sz w:val="20"/>
          <w:szCs w:val="20"/>
          <w:color w:val="auto"/>
        </w:rPr>
      </w:pPr>
      <w:r>
        <w:rPr>
          <w:rFonts w:ascii="Arial" w:cs="Arial" w:eastAsia="Arial" w:hAnsi="Arial"/>
          <w:sz w:val="16"/>
          <w:szCs w:val="16"/>
          <w:b w:val="1"/>
          <w:bCs w:val="1"/>
          <w:color w:val="auto"/>
        </w:rPr>
        <w:t>ZAF-211—Randomized, Double-Blind, Placebo Controlled, Parallel Dose Ranging Phase 2a Trial of ZGN-440 (for Subcutaneous Injection), A Novel Methionine Aminopeptidase 2 Inhibitor, in Over-weight and Obese Subjects with Prader-Willi Syndrome to Evaluate Weight Reduction, Food-related Behavior, Safety, and Pharmacokinetics Over 4 Weeks Followed by Optional 4-Week Open-Label Extension</w:t>
      </w:r>
    </w:p>
    <w:p>
      <w:pPr>
        <w:spacing w:after="0" w:line="3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Phase 2a clinical trial of beloranib as a potential treatment of PWS was designed as a randomized, double-blind, and parallel comparison of each of 1.2 mg and 1.8 mg dose levels of beloranib, and placebo. 17 adult PWS patients living in closely-controlled PWS-specific group homes were randomized to one of the three dosing arms, with 6, 5, and 6 patients being randomized to placebo, 1.2 mg beloranib and 1.8 mg beloranib treatment. During the course of the trial, including a two week placebo run-in phase, daily calorie allowances were increased in all patients by 50 percent to drive modest weight gain and simulate the greater access to food experienced in the general PWS population living in family home situations. All patients completed randomized treatment. The primary objectives of this clinical trial were to (i) assess the safety and tolerability of beloranib administered twice weekly SC in PWS patients, (ii) assess body weight change, changes in body mass and fat content by DEXA, scan analysis, and responses in metabolic biomarkers over a dose range of beloranib, and (iii) evaluate changes in quality of life, PWS- specific hyperphagia-related behaviors and/or psychiatric status. The secondary objective of this clinical trial is to evaluate pharmacodynamics and apparent bioavailability over a dose range of beloranib. The randomized treatment period was followed by an optional open-label extension offering patients the opportunity to continue for an additional four weeks of treatment with 1.8 mg beloranib. The results of the open-label extension, which includes all 17 patients initially included in the randomized treatment phase, are expected to be available in early 2014.</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key results of this clinical trial are summarized as follows. Both doses of beloranib have been combined as shown below, as a component of the pre-specified statistical analysis: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Four-Week Phase 2a Proof of Concept Clinical Trial in Patients with Prader-Willi Syndrome (ZAF-211)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Placebo</w:t>
            </w:r>
          </w:p>
        </w:tc>
        <w:tc>
          <w:tcPr>
            <w:tcW w:w="17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Placebo</w:t>
            </w: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Beloranib</w:t>
            </w:r>
          </w:p>
        </w:tc>
        <w:tc>
          <w:tcPr>
            <w:tcW w:w="17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2"/>
              </w:rPr>
              <w:t>Beloranib</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p value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ind w:left="1040"/>
              <w:spacing w:after="0"/>
              <w:rPr>
                <w:sz w:val="20"/>
                <w:szCs w:val="20"/>
                <w:color w:val="auto"/>
              </w:rPr>
            </w:pPr>
            <w:r>
              <w:rPr>
                <w:rFonts w:ascii="Arial" w:cs="Arial" w:eastAsia="Arial" w:hAnsi="Arial"/>
                <w:sz w:val="14"/>
                <w:szCs w:val="14"/>
                <w:b w:val="1"/>
                <w:bCs w:val="1"/>
                <w:color w:val="auto"/>
              </w:rPr>
              <w:t>Endpoint</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Baseline</w:t>
            </w:r>
          </w:p>
        </w:tc>
        <w:tc>
          <w:tcPr>
            <w:tcW w:w="1780" w:type="dxa"/>
            <w:vAlign w:val="bottom"/>
            <w:gridSpan w:val="2"/>
            <w:vMerge w:val="continue"/>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Baseline</w:t>
            </w:r>
          </w:p>
        </w:tc>
        <w:tc>
          <w:tcPr>
            <w:tcW w:w="178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(Beloranib vs.</w:t>
            </w: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(N=6)</w:t>
            </w:r>
          </w:p>
        </w:tc>
        <w:tc>
          <w:tcPr>
            <w:tcW w:w="17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Change (%)</w:t>
            </w: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(N=11)</w:t>
            </w:r>
          </w:p>
        </w:tc>
        <w:tc>
          <w:tcPr>
            <w:tcW w:w="1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Change (%)</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Placebo)</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Body weight</w:t>
            </w:r>
          </w:p>
        </w:tc>
        <w:tc>
          <w:tcPr>
            <w:tcW w:w="56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(kg) (Scale weight)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70.1</w:t>
            </w:r>
          </w:p>
        </w:tc>
        <w:tc>
          <w:tcPr>
            <w:tcW w:w="56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5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72.0</w:t>
            </w:r>
          </w:p>
        </w:tc>
        <w:tc>
          <w:tcPr>
            <w:tcW w:w="58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w:t>
            </w:r>
          </w:p>
        </w:tc>
        <w:tc>
          <w:tcPr>
            <w:tcW w:w="5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0.17*</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Body mass (kg) (DEXA)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69.7</w:t>
            </w:r>
          </w:p>
        </w:tc>
        <w:tc>
          <w:tcPr>
            <w:tcW w:w="5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5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72.1</w:t>
            </w:r>
          </w:p>
        </w:tc>
        <w:tc>
          <w:tcPr>
            <w:tcW w:w="5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-2.1</w:t>
            </w:r>
          </w:p>
        </w:tc>
        <w:tc>
          <w:tcPr>
            <w:tcW w:w="5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0.002</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Fat mass (kg) (DEXA)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34.6</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w:t>
            </w:r>
          </w:p>
        </w:tc>
        <w:tc>
          <w:tcPr>
            <w:tcW w:w="5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80" w:hanging="212"/>
        <w:spacing w:after="0" w:line="277"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statistically significant by ANCOVA, or analysis of covariance, a pre-specified statistical analysis, used to assess changes in all key endpoints. ANCOVA is a standard statistical test that takes into account the baseline measurements for each subject.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Levels of high density lipoprotein cholesterol were increased by an average of 26% in beloranib-treated patients, compared to an average increase of 1% in patients dosed with placebo (p=0.005).</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Levels of low density lipoprotein cholesterol were reduced by an average of 27% in beloranib-treated patients, compared to an average increase of 3% in patients dosed with placebo (p=0.005).</w:t>
      </w:r>
    </w:p>
    <w:p>
      <w:pPr>
        <w:spacing w:after="0" w:line="75"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Hyperphagia related behaviors typical of PWS patients were reduced by an average of 52.4% by treatment with 1.8 mg beloranib, compared to an average increase of 40.5% in patients dosed with placebo and an average increase of 1.8% in patients treated with 1.2 mg beloranib. The change in behavior was statistically significant from baseline for the patients treated with 1.8 mg beloranib (not statistically significant by ANCOVA; p=0.025 by post hoc paired t-test).</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There were no clinically significant changes in laboratory parameters, electrocardiograms and vital signs with any of the doses. There were no deaths, SAEs, or severe AEs reported in this clinical trial. Aside from mild and transient injection site reactions, which were observed across all treatment groups, including placebo, SC administration of the drug appeared to be locally well-tolerated.</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These data, while representative of a single trial, highlight that engagement of the underlying drug pathway occurs with beloranib treatment in PWS patients, as evidenced by the treatment-related reduction in low density lipoprotein cholesterol and the improvement in body composition, namely reduced fat mass at well-tolerated doses of beloranib. Low density lipoprotein cholesterol levels reflect liver cholesterol synthesis, which is controlled by the ERK-1 signaling pathway through modulation of a key cellular regulator known as sterol-regulatory element binding protein. These data indicate that the livers of PWS patients respond to beloranib treatment in a similar, or the same, fashion as livers of otherwise conventionally obese patients. Likewise, while exploratory, salutary effects on behaviors were observed, which reached clinical significance for the 1.8 mg beloranib treatment arm. These behavioral changes include a range of aspects of the PWS phenotype recorded by the caregiver-administered hyperphagia-related behavior questionnaire, an instrument that measures the frequency and severity of behavioral issues typical of PWS patients that we are currently validating with the FDA for support of our pivotal trials. Together these results, we believe, are strongly supportive of additional studies of beloranib in the PWS patient population.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Trial Summary and Next Steps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clinical trials suggest that administration of beloranib by intravenous infusion twice weekly for four weeks, or eight doses, at dose levels of up to 3.0 mg was safe and well-tolerated. The incidence and severity of AEs was similar across all dose groups in this range. While these clinical trials were not designed to demonstrate long-term efficacy supporting registration, significant decreases in body weight and large decreases in sense of hunger were observed in beloranib-treated patients when compared to the placebo group. A SC formulation of beloranib for human use was developed and completed human testing in a Phase 1b clinical trial, which showed that doses ranging from 1.0 mg to 4.0 mg administered by SC injection resulted in statistically significant dose-related weight loss. While the highest dose of 4.0 mg was associated with the most significant weight loss, it appeared to be less well-tolerated systemically and led to more frequent moderate intensity TEAEs and premature trial withdrawals, mainly due to gastrointestinal events and sleep disturbance. There have been no deaths or drug-related SAEs. Laboratory safety measures, vital signs and electrocardiograms have been unremarkable in all completed clinical trials for all doses tested. A 12-week Phase 2a clinical trial, ZAF-201, using subcutaneously administered doses of 0.6 mg, 1.2 mg and 2.4 mg of beloranib has confirmed these earlier observations, and we have observed continued weight loss with maintenance of the key favorable drug effects on body composition, hunger and C-reactive protein levels. A further salutary effect on blood pressure has been identified, strengthening our view that beloranib will have a favorable impact on cardiovascular disease risk.</w:t>
      </w:r>
    </w:p>
    <w:p>
      <w:pPr>
        <w:spacing w:after="0" w:line="18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ZAF-211 was our first clinical trial in PWS patients using doses of 1.2 mg and 1.8 mg beloranib administered by subcutaneous injection twice weekly for four weeks. This initial clinical trial has generated promising results, with beloranib-treated patients showing reductions in body mass and body fat content, along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with improvements in hyperphagia-related behavior. Taken together with the results of our previous clinical trials, we believe there is a very compelling basis for continued development of beloranib for the treatment for rare conditions such as PWS and craniopharyngioma, where severe obesity is a co-morbidity of an underlying condition, and severe obesity in the general population.</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plan to continue to develop beloranib, with an initial focus on treatment of PWS patients. We currently are designing a Phase 3 clinical trial to support registration and commercialization of beloranib in PWS patients. We are currently engaged in discussions with the FDA with the intention of initiating trial work in 2014. We also plan to assess the utility of beloranib in the treatment of patients with craniopharyngioma-associated obesity through a Phase 2a clinical trial, beginning in the first half of 2014. This clinical trial, a four-week, multicenter, clinical trial to be conducted in Australia and the United States, is planned to assess the impact of 1.8 mg beloranib or placebo on body weight, body composition and hunger. We intend to initiate a Phase 2b clinical trial of beloranib as a treatment for severe obesity in the general population. Through these efforts, combined with advances in non-clinical development of beloranib, we aspire to establish a regulatory strategy that will allow commercialization of beloranib.</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conducted toxicology studies of beloranib in support of clinical development. Dose selection and precautions for ongoing clinical trials have been informed by toxicology studies in beagle dogs, rats and rabbits. In our dog studies we observed hypospermatogenesis, or low sperm counts, lowering of platelets, decreased white blood cell counts, gastrointestinal bleeding and seizures, all of which were reversible and occurred at doses and exposures above the human dose. The most sensitive changes were mild and reversible effects on spermatogenesis occurring at systemic drug exposures two-to-three fold above the human male exposure in the ZAF-201 trial. In our rat studies, we observed a sporadic, minimal and reversible reduction of sperm counts and cellular changes in the testes at exposure levels ten- to 15-fold above the male human exposure in the ZAF-201 trial. During these studies, the margins to the no adverse effect levels in females were 50- to 100-fold for rats and 40- to 60-fold for dogs. In addition, embryofetal studies have been conducted in rats that show a one- to two-fold exposure margins to female doses in the ZAF-201 trial. However, no safety margin in our rabbit studies were demonstrated due to minor and variant head and eye malformations.</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Given the safety findings in animals, clinical trials of beloranib have included monitoring for blood cell changes, sperm counts, sperm morphology and hormones in men, as well as frequent pregnancy testing and requirement for redundant, implanted or surgical methods of birth control in women. To date, the clinical findings have shown no evidence of the hematological or male reproductive findings in humans, thus verifying the margins indicated in the animal species and no pregnancies have occurred. We believe that, as with other anti-obesity drugs, if approved, beloranib will carry a Category X label and be contraindicated in pregnant women or women looking to become pregnant.</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currently completing long-term toxicology studies of six-month duration in the rat and nine-month duration in the dog that will support clinical trial durations of a year or more. We will also be testing beloranib for potential immunotoxicology and phototoxicity. We plan to complete these studies prior to the initiation of our planned Phase 3 clinical trial in PWS patients, our Phase 2a clinical trial in patients with craniopharyngioma-associated obesity, and our Phase 2b clinical trial in severe obesity. We have initiated dose-ranging studies in preparation for two-year carcinogenicity studies in the mouse and rat, which will begin in 2014. Given that PWS manifests during childhood, we plan to conduct juvenile safety studies starting in 2014 that will allow for testing and eventual marketing in the juvenile population.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Product Candidates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have been working since our inception in 2005 to explore and pursue new molecules leveraging the therapeutic effects of MetAP2 inhibitors in metabolic diseases including severe obesity, type 2 diabetes and NASH. As a direct result of medicinal chemistry efforts oriented to the identification of best in class MetAP2 inhibitors, we have identified compounds of use as potential back-up or follow-on compounds supporting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beloranib, as well as novel inhibitors with improved pharmacological and physicochemical features. We continue to explore the utility of these molecules as a component of our program, and have identified a range of candidate molecules being prepared for advancement into early development.</w:t>
      </w:r>
    </w:p>
    <w:p>
      <w:pPr>
        <w:spacing w:after="0" w:line="124"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As a part of this effort, we conducted a medicinal chemistry discovery program to find reversible inhibitors of MetAP2 that could be delivered orally and applied broadly across multiple areas of unmet medical need. The program delivered over 250 molecules in seven molecular families, and ZGN-839 was selected from this collection as a potent inhibitor with drug-like properties. In pre-clinical studies, ZGN-839 lowered body weight by approximately 9% after 16 days of treatment versus control animals and reduced plasma cholesterol and glucose, along with improvements in liver fat and the weight of abdominal adipose tissue in mice that were otherwise obese and insulin resistant due to long-term exposure to a high fat, obesogenic, diet. Further, in a mouse model of diabetes and NASH, ZGN-839 treatment for four weeks reduced the severity of NASH and reduced plasma glucose. We believe that compounds like ZGN-839 will have utility in the treatment of type 2 diabetes in humans, and will further cause improvements in cardiovascular risk factors including low density lipoprotein cholesterol.</w:t>
      </w:r>
    </w:p>
    <w:p>
      <w:pPr>
        <w:spacing w:after="0" w:line="179"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 synthetic process to produce ZGN-839 for safety testing and clinical trials is currently under development. We currently plan to conduct IND-enabling studies of ZGN-839 in 2014 and to file an IND in the United States to begin clinical development of ZGN-839 beginning in the first half of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Beloranib is a small molecule drug that is synthesized with readily available raw materials using conventional chemical processes. The current process to produce beloranib for clinical trials involves (i) synthesis of crystalline drug substance, (ii) production of sterile crystalline drug substance, (iii) particle size control, formulation and vialing of active drug product, (iv) production and vialing of a sterile diluent and (v) production and vialing of a sterile placebo. We are currently in the process of manufacturing finished drug product for use in our upcoming clinical trials. Drug substance is currently in hand and sterile drug substance is expected to be available in the first quarter of 2014. Finished drug product, diluent and placebo are expected to be available in the second quarter of 2014. Aside from our planned Phase 2a clinical trial in patients with obesity caused by craniopharyngioma, we will not be able to commence any additional clinical trials without the production of additional finished drug product. The manufacturing process is under active development and these projections could change based on delays encountered with manufacturing activities, equipment scheduling and material lead times. Additionally, we will work to establish a convenient dosing form of beloranib to improve the utility, look, convenience and feel of beloranib for patients—for example a pen injector system with single-use disposable cartridges.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have no manufacturing facilities and limited personnel with manufacturing experience. We rely on contract manufacturers to produce both drug substance and drug product required for our clinical trials. No long-term supply agreements are in place with our contractors, and each batch is individually contracted under a quality and supply agreement. If we engage new contractors, such contractors must be approved by the FDA and other comparable foreign regulatory agencies. We plan to continue to rely upon contract manufacturers and, potentially, collaboration partners to manufacture commercial quantities of beloranib, if approved. Our current scale of manufacturing is adequate to support all of our needs for clinical trial supplies and launch for orphan markets. For peak usage in orphan markets and for indications with larger populations, we will need to identify contract manufacturers or partners to produce beloranib on a larger scale.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recently hired a Chief Commercial Officer, however, given our stage of development, we have not yet established a commercial organization or distribution capabilities, nor have we entered into any partnership or co-promotion arrangements with an established pharmaceutical company. To develop the appropriate commercial infrastructure to launch beloranib, we may either do so on our own or by establishing alliances with one or more pharmaceutical company collaborators, depending on, among other things, the applicable indications, the related development costs and our available resources.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CKD License</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2009, we entered into an Exclusive License Agreement with Chong Kun Dang Pharmaceutical Corp. of South Korea, or CKD, pursuant to which we exclusively licensed beloranib from CKD on a worldwide basis, with the exception of South Korea. In consideration of such exclusive license, we paid an initial license fee to CKD, paid a one-time fee following initiation of a proof of concept trial, agreed to make milestone payments of up to $30.0 million (of which $1.0 million has been paid) to CKD upon the achievement of certain specified events, and agreed to pay a portion of sublicensing income to CKD. Furthermore, if we receive marketing approval for beloranib, we will pay single-digit royalties to CKD based on annual net sales of beloranib on a country-by-country and product-by-product basis until the later to occur of (i) the expiration of the last to expire patent in such country within the CKD patent rights containing a valid claim covering beloranib or its use for which regulatory approval has been obtained in such country, or (ii) ten years from the first commercial sale of beloranib in such country. Pursuant to this agreement, we committed to using commercially reasonable efforts to develop and commercialize beloranib. This agreement will remain in effect on a country-by-country and product-by-product basis until royalties are no longer due in such country, subject to earlier termination by either party upon mutual consent, or in the event of uncured breach or insolvency on the part of the other party, or by us for any reason up to 60 days’ prior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Children’s License</w:t>
      </w:r>
    </w:p>
    <w:p>
      <w:pPr>
        <w:spacing w:after="0" w:line="117"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In January 2007, we entered into an Exclusive License Agreement with Children’s Medical Center Corporation, or Children’s, pursuant to which we exclusively licensed certain patent rights relating to decreasing the growth of fat tissue from Children’s on a worldwide basis. In consideration of such exclusive license, we paid an initial license fee upon execution of the license to Children’s and annual maintenance fees through the fifth anniversary of the date of the license. We also agreed to make milestone payments to Children’s of up to $2.7 million (of which $0.2 million has been paid) with respect to the first licensed product and up to $1.3 million with respect to each subsequent licensed product, if any, that is a new chemical entity upon the achievement of certain specified events and to pay a portion of sublicensing income to Children’s. If we receive marketing approval for beloranib, we will pay single-digit royalties to Children’s based on net sales of beloranib until the later to occur of (i) the expiration of the last to expire patent in such country within the licensed patents containing a valid claim covering beloranib or (ii) 15 years from the date of the agreement. This agreement will remain in effect for the longer of (i) 15 years and (ii) the life of the last expiring licensed patent, subject to earlier termination (x) by Children’s in the event of our insolvency or our failure to cure a breach within 60 days (30 days in the case of non-payment) of receiving written notice thereof, or (y) by us for any reason upon 120 days’ prior written notice.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the development of our business. We also rely on trade secrets to protect aspects of our business that are not amenable to, or that we do not consider appropriate for, patent protection.</w:t>
      </w:r>
    </w:p>
    <w:p>
      <w:pPr>
        <w:spacing w:after="0" w:line="14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beloranib and our other development programs.</w:t>
      </w:r>
    </w:p>
    <w:p>
      <w:pPr>
        <w:spacing w:after="0" w:line="154"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Our owned and licensed patents and patent applications relate to beloranib compositions of matter, formulations, polymorphs, methods of treating obesity using dosing regimens of beloranib and methods of treating hypothalamic obesity. The issued U.S. and European patents generally directed to beloranib compositions of matter are exclusively licensed and will each expire in 2019. We own an issued U.S. patent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relating to beloranib polymorph compositions of matter that will expire in 2031 and an issued U.S. patent to methods of treating obesity that will expire in 2029. We own pending patent applications in Europe to beloranib polymorph composition of matter and methods of treating obesity that we expect to expire, once issued, in 2031.</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of February 28, 2014, we own two issued U.S. patents, eight pending U.S. patent applications and foreign counterpart applications, and one Patent Cooperation Treaty, or PCT, application that will allow us to seek corresponding protection worldwide, all of which relate to beloranib. We have a license to two U.S. issued patents, one with corresponding issued foreign counterpart patents, that also relate to beloranib. We also co-own one patent application relating to methods of using beloranib with an option to exclusively license the co-owner rights.</w:t>
      </w:r>
    </w:p>
    <w:p>
      <w:pPr>
        <w:spacing w:after="0" w:line="17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 of February 28, 2014, we own seven pending U.S. patent applications with pending foreign counterpart applications and five PCT patent applications, all of which relate to our MetAP2 inhibitor program. Of these, one pending U.S. patent application with pending foreign counterpart patent applications and one PCT patent application relate to our early-stage product candidate ZGN-839.</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February 28, 2014, we own two pending U.S patent applications with pending foreign counterpart patent applications, one pending PCT patent application and two U.S. provisional patent applications that relate to our second-generation MetAP2 inhibitor program.</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date of filing the non-provisional application. In the United States, a patent’s term may be lengthened by patent term adjustment, which compensates a patentee for administrative delays by the U.S. Patent and Trademark Office, or U.S. 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twenty years from the earliest effective filing date. Our issued patents will expire on dates ranging from 2019 to 2031. However, the actual protection afforded by a patent varies on a claim by claim and country to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United States. The patent situation outside the United States is even more uncertain. Changes in either the patent laws or in interpretations of patent laws in the United States and other countries can diminish our ability to protect our inventions, and enforce our intellectual property rights and more generally, could affect the value of intellectual property. Accordingly, we cannot predict the breadth of claims that may be allowed or enforced in our patents or in third-party patents.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a result of the America Invents Act of 2011, the United States transitioned to a first-inventor-to-file system in March 2013, under which, assuming the other requirements for patentability are met, the first inventor to file a patent application will be entitled to the patent. This will require us to minimize the time from invention to the filing of a patent application.</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more information, See “Risk Factors—Risks Related to our Intellectual Property.”</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 material adverse impact on us. If third parties prepare and file patent applications in the United States that also claim technology to which we have rights, we may have to participate in interference proceedings in the U.S. PTO, to determine priority of invention.</w:t>
      </w:r>
    </w:p>
    <w:p>
      <w:pPr>
        <w:spacing w:after="0" w:line="17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United States and elsewhere are published only after 18 months from the priority date. The publication of discoveries in the scientific or patent literature frequently occurs substantially later than the date on which the underlying discoveries were made. Therefore, patent applications relating to drugs similar to beloranib and any future drugs, discoveries or technologies we might develop may have already been filed by others without our knowledge.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competitors may develop and introduce products and processes comparable or superior to ours.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Obesity Caused by Rare Conditions</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There are no current pharmacological treatments for regulating hunger and hyperphagia-related behaviors of PWS patients and patients with craniopharyngioma-associated obesity, and bariatric surgery is contraindicated in PWS patients and not frequently employed in patients with craniopharyngioma-associated obesity. We are aware of a clinical trial planned by Ferring Pharmaceuticals, Inc. to evaluate the use of oxytocin, a brain peptide hormone hypothesized to increase trust, reduce anxiety and improve behavior in patients with PWS. We also are aware of a clinical trial being planned by Essentialis, Inc. to evaluate the safety and tolerability of controlled-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release diazoxide in PWS patients and to explore the effects of diazoxide on hyperphagia-related behaviors and energy expenditure. We are not aware of any clinical trials of drugs specifically targeting patients with craniopharyngioma-associated obesity, or in severe obesity in general.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Severe Obesity in the General Population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Approaches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Surgical approaches to treat severe obesity are becoming increasingly accepted and are believed to be the main form of competition to beloranib in this indication. Bariatric surgery, including gastric bypass and gastric banding procedures, is typically employed for obese patients with a BMI exceeding 40 kg/m</w:t>
      </w:r>
      <w:r>
        <w:rPr>
          <w:rFonts w:ascii="Arial" w:cs="Arial" w:eastAsia="Arial" w:hAnsi="Arial"/>
          <w:sz w:val="15"/>
          <w:szCs w:val="15"/>
          <w:color w:val="auto"/>
        </w:rPr>
        <w:t>2</w:t>
      </w:r>
      <w:r>
        <w:rPr>
          <w:rFonts w:ascii="Arial" w:cs="Arial" w:eastAsia="Arial" w:hAnsi="Arial"/>
          <w:sz w:val="18"/>
          <w:szCs w:val="18"/>
          <w:color w:val="auto"/>
        </w:rPr>
        <w:t xml:space="preserve"> or those with a BMI greater than 30 kg/m</w:t>
      </w:r>
      <w:r>
        <w:rPr>
          <w:rFonts w:ascii="Arial" w:cs="Arial" w:eastAsia="Arial" w:hAnsi="Arial"/>
          <w:sz w:val="15"/>
          <w:szCs w:val="15"/>
          <w:color w:val="auto"/>
        </w:rPr>
        <w:t>2</w:t>
      </w:r>
      <w:r>
        <w:rPr>
          <w:rFonts w:ascii="Arial" w:cs="Arial" w:eastAsia="Arial" w:hAnsi="Arial"/>
          <w:sz w:val="18"/>
          <w:szCs w:val="18"/>
          <w:color w:val="auto"/>
        </w:rPr>
        <w:t xml:space="preserve"> who are experiencing obesity-related complications such as diabetes. However, in December 2010, the FDA’s Advisory Committee for Gastroenterology and Urology Devices convened and voted in favor of recommending to the FDA that gastric banding procedures be approved for obese patients with a BMI greater than 30 kg/m</w:t>
      </w:r>
      <w:r>
        <w:rPr>
          <w:rFonts w:ascii="Arial" w:cs="Arial" w:eastAsia="Arial" w:hAnsi="Arial"/>
          <w:sz w:val="15"/>
          <w:szCs w:val="15"/>
          <w:color w:val="auto"/>
        </w:rPr>
        <w:t>2</w:t>
      </w:r>
      <w:r>
        <w:rPr>
          <w:rFonts w:ascii="Arial" w:cs="Arial" w:eastAsia="Arial" w:hAnsi="Arial"/>
          <w:sz w:val="18"/>
          <w:szCs w:val="18"/>
          <w:color w:val="auto"/>
        </w:rPr>
        <w:t xml:space="preserve"> who are experiencing obesity related co-morbidities or patients with a BMI greater than 35 kg/m</w:t>
      </w:r>
      <w:r>
        <w:rPr>
          <w:rFonts w:ascii="Arial" w:cs="Arial" w:eastAsia="Arial" w:hAnsi="Arial"/>
          <w:sz w:val="15"/>
          <w:szCs w:val="15"/>
          <w:color w:val="auto"/>
        </w:rPr>
        <w:t>2</w:t>
      </w:r>
      <w:r>
        <w:rPr>
          <w:rFonts w:ascii="Arial" w:cs="Arial" w:eastAsia="Arial" w:hAnsi="Arial"/>
          <w:sz w:val="18"/>
          <w:szCs w:val="18"/>
          <w:color w:val="auto"/>
        </w:rPr>
        <w:t xml:space="preserve"> with or without obesity related co-morbidities. In addition, other potential approaches which utilize various implantable devices or surgical tools are in development, by companies such as Allergan, Inc., Boston Scientific Corporation, Covidien Ltd., EnteroMedics, Inc., GI Dynamics, Inc., Johnson &amp; Johnson and Medtronic, Inc.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Obesity Drugs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beloranib will compete with orlistat, phentermine/topiramate and lorcaserin, three recently approved and currently marketed pharmaceutical products in the United States for the treatment of obesity, and several older agents, indicated for short-term administration, phentermine, phendimetrazine, benzphetamine and diethylpropion. Orlistat is marketed in the United States by Roche Group under the brand name Xenical and over-the-counter in the United States at half the prescribed dose by GlaxoSmithKline under the brand name alli. In June 2013, Arena Pharmaceuticals, Inc. launched its lorcaserin product, which is marketed in the United States under the name Belviq and in September 2012, Vivus, Inc. commercially launched its combination product, phentermine/topiramate, under the trade name Qsymia.</w:t>
      </w:r>
    </w:p>
    <w:p>
      <w:pPr>
        <w:spacing w:after="0" w:line="193"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Despite the large market opportunity for anti-obesity agents, there are relatively few competitive products in late-stage clinical development. Other companies pursuing pharmaceutical treatments for obesity include Neurosearch A/S, Novo Nordisk A/S and Takeda Pharmaceutical Company Limited. In addition, Orexigen Therapeutics, Inc. resubmitted its New Drug Application, or NDA, for Contrave in December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beloranib.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76" w:lineRule="exact"/>
        <w:rPr>
          <w:sz w:val="20"/>
          <w:szCs w:val="20"/>
          <w:color w:val="auto"/>
        </w:rPr>
      </w:pPr>
    </w:p>
    <w:p>
      <w:pPr>
        <w:ind w:left="900" w:right="4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Completion of extensive nonclinical, sometimes referred to as pre-clinical laboratory tests, pre-clinical animal studies and formulation studies in accordance with applicable regulations, including the FDA’s Good Laboratory Practice, or GLP,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and other clinical trial-related regulations, sometimes referred to as current good clinical practices, or cGCPs, to establish the safety and efficacy of the proposed drug for its proposed indication;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30"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requirements,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Clinical trials are generally conducted in three sequential phases that may overlap, known as Phase 1, Phase 2 and Phase 3 clinical trials. 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an NDA.</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Following trial completion, trial data is analyzed to assess safety and efficacy. The results of pre-clinical studies and clinical trials are then submitted to the FDA as part of an NDA, along with proposed labeling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product and information about the manufacturing process and facilities that will be used to ensure product quality, results of analytical testing conducted on the chemistry of the drug, and other relevant information. The NDA is a request for approval to market the drug and must contain proof of safety, purity, potency and efficacy, which is demonstrated by extensive pre-clinical and clinical testing. The application includes both negative or ambiguous results of pre-clinical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79" w:lineRule="exact"/>
        <w:rPr>
          <w:sz w:val="20"/>
          <w:szCs w:val="20"/>
          <w:color w:val="auto"/>
        </w:rPr>
      </w:pPr>
    </w:p>
    <w:p>
      <w:pPr>
        <w:ind w:right="540" w:firstLine="456"/>
        <w:spacing w:after="0" w:line="312"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Prescription Drug User Fee Act, or PDUFA, as amended, each NDA must be accompanied by a user fee. The FDA adjusts the PDUFA user fees on an annual basis. According to the FDA’s fee schedule, effective through September 30, 2014, the user fee for an application requiring clinical data, such as an NDA, is $2,169,100. PDUFA also imposes an annual product fee for human drugs ($104,060) and an annual establishment fee ($554,600)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In the case of obesity drugs, the FDA normally refers such drugs to the Endocrinologic and Metabolic Drugs Advisory Committee.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After the FDA evaluates the application, manufacturing process and manufacturing facilities, it may issue an approval letter or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place other conditions on approvals including the requirement for a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78"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product or its labeling or changes of the site of manufacture are often subject to the approval of the FDA and other regulators, which may or may not be received or may result in a lengthy review process.</w:t>
      </w:r>
    </w:p>
    <w:p>
      <w:pPr>
        <w:spacing w:after="0" w:line="19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8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FDA also may require post-approval testing, sometimes referred to as Phase 4 testing, risk minimization action plans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Health Care Reform Law, as amended by the Health Care and Education Affordability Reconciliation Act, or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product approval. Prohibitions or restrictions on sales or withdrawal of future products marketed by us could materially affect our business in an adverse way.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Marketing exclusivity provisions under the FDCA can also delay the submission or the approval of certain marketing applications. The FDCA provides a five-year period of non-patent marketing exclusivity within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EU clinical trials legislation is currently undergoing a revision process mainly aimed at uniforming and streamlining the clinical trials authorization process, simplifying adverse event reporting procedures, improving the supervision of clinical trials, and increasing their transparency.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w:t>
      </w:r>
    </w:p>
    <w:p>
      <w:pPr>
        <w:ind w:right="60"/>
        <w:spacing w:after="0" w:line="273" w:lineRule="auto"/>
        <w:rPr>
          <w:sz w:val="20"/>
          <w:szCs w:val="20"/>
          <w:color w:val="auto"/>
        </w:rPr>
      </w:pPr>
      <w:r>
        <w:rPr>
          <w:rFonts w:ascii="Arial" w:cs="Arial" w:eastAsia="Arial" w:hAnsi="Arial"/>
          <w:sz w:val="17"/>
          <w:szCs w:val="17"/>
          <w:color w:val="auto"/>
        </w:rPr>
        <w:t>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7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designation must be requested before submitting an application for marketing approval. Orphan drug designation does not convey any advantage in, or shorten the duration of, the regulatory review and approval process.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66"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which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9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Health Care Reform Law, as amended by the Health Care and Education Affordability Reconciliation Act of 2010, or collectively the ACA, enacted in March 2010,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impact of the ACA on pharmaceutical companies as many of the ACA reforms require the promulgation of detailed regulations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implementing the statutory provisions which has not yet occurred. For example, pharmaceutical manufacturers are required to track certain financial arrangements with physicians and teaching hospitals, including any “transfer of value” made or distributed to such entities, as well as any investment interests held by physicians and their immediate family members. Manufacturers are required by ACA to begin tracking this information in 2013 and to report this information to CMS beginning in 2014.</w:t>
      </w:r>
    </w:p>
    <w:p>
      <w:pPr>
        <w:spacing w:after="0" w:line="18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tend to be significantly lower.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February 28, 2014, we employed ten full-time employees, including six in research and development and four in general and administrative, and two part-time employees in general and administrative.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lease our office space, which consists of 2,625 square feet located in Cambridge, Massachusetts. Our lease expired on January 31, 2014, under an extended six-month term, but we extended the lease pursuant to the terms of the current lease agreement for an additional six-month period, which commenced on February 1, 2014. We have an opportunity to extend for one more six-month extension under the current lease agreement, which if extended would commence on August 1, 2014. We believe our current office space is sufficient to meet our needs until the expiration of our lease.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about our executive officers, key employees and directors, including their ages as of February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40" w:type="dxa"/>
            <w:vAlign w:val="bottom"/>
          </w:tcPr>
          <w:p>
            <w:pPr>
              <w:spacing w:after="0"/>
              <w:rPr>
                <w:sz w:val="16"/>
                <w:szCs w:val="16"/>
                <w:color w:val="auto"/>
              </w:rPr>
            </w:pPr>
          </w:p>
        </w:tc>
        <w:tc>
          <w:tcPr>
            <w:tcW w:w="6800" w:type="dxa"/>
            <w:vAlign w:val="bottom"/>
          </w:tcPr>
          <w:p>
            <w:pPr>
              <w:ind w:left="308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Thomas E. Hughes, Ph.D.</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 Kim, M.D., M.B.A.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James E. Vath, Ph.D.</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Head of Research and Development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Booth,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Avi Goldberg</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LaMattina,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Kevin P. Starr</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734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Tartaglia, Ph.D.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paragraphs provide information as of the date of this prospectus about our executive officers, key employees and directors. The information presented includes information about each of our directors’ specific experience, qualifications, attributes and skills that led our board of directors to the conclusion that he should serve as a director.</w:t>
      </w:r>
    </w:p>
    <w:p>
      <w:pPr>
        <w:spacing w:after="0" w:line="18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Thomas E. Hughes, Ph.D. </w:t>
      </w:r>
      <w:r>
        <w:rPr>
          <w:rFonts w:ascii="Arial" w:cs="Arial" w:eastAsia="Arial" w:hAnsi="Arial"/>
          <w:sz w:val="16"/>
          <w:szCs w:val="16"/>
          <w:color w:val="auto"/>
        </w:rPr>
        <w:t>Dr. Hughes has served as our Chief Executive Officer, President and a member of our board of directors since October 2008.</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1987 to 2008, he held several positions at Novartis AG (and formerly Sandoz Pharmaceuticals) including vice president and global head of the cardiovascular and metabolic diseases therapeutic area at the Novartis Institutes for BioMedical Research in Cambridge, MA. In these roles he oversaw many drug discovery and development projects targeting obesity, diabetes and heart disease. Dr. Hughes is the author of over 40 peer-reviewed publications and is an inventor on numerous issued and pending patents related to the treatment of diabetes, cardiovascular disease and obesity. Dr. Hughes also serves as a director on the board of Miragen Therapeutics, Inc., and is a member of several scientific and strategic advisory boards, including Broadview Ventures and Nimbus Discovery, LLC. Dr. Hughes holds a Ph.D. in nutritional biochemistry from Tufts University, an M.S. in Zoology from Virginia Polytechnic Institute &amp; State University and a B.S. in biology from Franklin and Marshall College. Dr. Hughes’ qualifications to sit on our board of directors include his extensive knowledge of the obesity industry combined with his leadership, executive, managerial and pharmaceutical company experience, and his more than 25 years of industry experience in the development and commercialization of pharmaceutical products.</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Dennis D. Kim, M.D., M.B.A. </w:t>
      </w:r>
      <w:r>
        <w:rPr>
          <w:rFonts w:ascii="Arial" w:cs="Arial" w:eastAsia="Arial" w:hAnsi="Arial"/>
          <w:sz w:val="18"/>
          <w:szCs w:val="18"/>
          <w:color w:val="auto"/>
        </w:rPr>
        <w:t>Dr. Kim has served as our Chief Medical Officer since September 2011. From 2001 to 2012, Dr. Kim was an assistant</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of medicine, division of endocrinology/metabolism, at the University of California, San Diego School of Medicine. From September 2008 to February 2011, Dr. Kim held multiple senior-level clinical and corporate affairs positions at Orexigen Therapeutics, a biopharmaceutical company focused on the treatment of obesity, including senior vice president, head of obesity/metabolic diseases; senior vice president, corporate development; and senior vice president, medical affairs and communications. Prior to Orexigen, from September 2007 to September 2008, he was chief medical officer and vice president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medical affairs at EnteroMedics, Inc., where he oversaw all aspects of clinical affairs and successfully implemented an initial public offering as part of the executive team in 2007. Previously, from July 2001 to September 2007, he held positions of increasing responsibility at Amylin Pharmaceuticals, Inc., most recently as executive director, corporate strategy, where he managed corporate and business strategic planning spanning all commercial products, developmental drug candidates, corporate alliance partnership and manufacturing support. Dr. Kim holds an M.D. from the University of Health Sciences, The Chicago Medical School, an M.B.A from University of California, San Diego Rady School of Management and a B.S. in biology from the University of California at Los Angeles.</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our Chief Financial Officer since January 2013. Ms. Allen has over 20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CFO services, fundraising, deal structures, financial planning, organizational structure, investor relations and business development. Previously, from 2004 to 2011, Ms. Allen served as the Vice President of Finance, Treasurer and Principal Financial Officer of Alnylam Pharmaceuticals, where she had significant interactions with the investment community and was influential in raising over $900 million via the company’s initial public offering, follow-on common stock offerings and multiple business development transactions with top-tier pharmaceutical companies. Prior to Alnylam, Ms. Allen was at Alkermes, Inc., most recently as the Director of Finance. Ms. Allen began her career as an auditor at Deloitte &amp; Touche, LLP. Ms. Allen graduated summa cum laude from Bryant College with a B.S. in business administration.</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James E. Vath, Ph.D</w:t>
      </w:r>
      <w:r>
        <w:rPr>
          <w:rFonts w:ascii="Arial" w:cs="Arial" w:eastAsia="Arial" w:hAnsi="Arial"/>
          <w:sz w:val="16"/>
          <w:szCs w:val="16"/>
          <w:color w:val="auto"/>
        </w:rPr>
        <w:t>. Dr. Vath has served as our Head of Research and Development since 2006. From July 2006 to 2008, Dr. Vath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 Officer. Dr. Vath has over 20 years of experience in the biotechnology and pharmaceutical industries. Prior to joining the company, from 2004 to 2005, Dr. Vath served as senior vice president of product development at Phylogix Inc. where he created and implemented the corporate operational and R&amp;D plan for the lead product in oncology-supportive care. Prior to Phylogix, from 1999 to 2004, he served in multiple roles, most recently as senior vice president of research at Praecis Pharmaceuticals where he led the R&amp;D organization through multiple IND filings and a product approval. From 1996 to 1999 Dr. Vath was at Millennium Pharmaceuticals where he was most recently Director of Protein Technologies and from 1989 to 1996 he was a laboratory head in the development organization at Genetics Institute. Dr. Vath is a contributing author on numerous peer-reviewed journal publications and book chapters. Dr. Vath holds a Ph.D. in chemistry from the Massachusetts Institute of Technology and a B.S. in chemistry from Northeastern University.</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our board of directors since August 2006. Dr. Barrett joined Atlas Venture, an early-stage</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the Perkin-Elmer Corporation, most recently serving as vice president, corporate planning and business development. Dr. Barrett served on the boards of directors of SciClone Pharmaceuticals, Inc. from 2011 to 2013, and Helios BioSciences Corporation from 2003 to 2012. Dr. Barrett currently serves on the boards of directors of the Perkin-Elmer Corporation and several other privately held companies. Dr. Barrett is currently vice chairman of the advisory council of the Barnett Institute of Chemical and Biological Analysis at Northeastern University, as well as adjunct professor at the Barnett Institute. He also serves as president of the Autism Consortium, a non-profit institution and is a member of the research council at Boston Children’s Hospital.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Bruce Booth, Ph.D. </w:t>
      </w:r>
      <w:r>
        <w:rPr>
          <w:rFonts w:ascii="Arial" w:cs="Arial" w:eastAsia="Arial" w:hAnsi="Arial"/>
          <w:sz w:val="16"/>
          <w:szCs w:val="16"/>
          <w:color w:val="auto"/>
        </w:rPr>
        <w:t>Dr. Booth has served as a member of our board of directors since August 2006. Dr. Booth joined Atlas Venture in 2005, and</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serves as partner in the life sciences group.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currently serves on the board of directors of Miragen Therapeutics, Bicycle Therapeutics, Nimbus Discovery, Rodin Therapeutics and several other seed-stage biotechnology companies. In addition, Dr. Booth serves on UCB Pharma’s New Medicines Scientific Advisory Board, and participates on several other advisory boards for pharmaceutical companies and academic medical centers. Dr. Booth is also a trustee of the New York Academy of Medicine. As a British Marshall Scholar, Dr. Booth holds a Ph.D. in molecular immunology from the Oxford University’s Nuffield Department of Medicine and a B.S. in biochemistry, summa cum laude, from the Pennsylvania State University. Dr. Booth’s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Avi Goldberg</w:t>
      </w:r>
      <w:r>
        <w:rPr>
          <w:rFonts w:ascii="Arial" w:cs="Arial" w:eastAsia="Arial" w:hAnsi="Arial"/>
          <w:sz w:val="16"/>
          <w:szCs w:val="16"/>
          <w:color w:val="auto"/>
        </w:rPr>
        <w:t>. Mr. Goldberg has served as a member of our board of directors since May 2004. Since 2004, Mr. Goldberg has served as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Greatpoint Ventures. Mr. Goldberg served as the chief operating officer at GreatPoint Energy from 2004 to 2013, where he was responsible for managing all business development, legal, financial and operational planning functions for the company. Previously, from 2000 to 2004, Mr. Goldberg co-founded Coatue Corporation, a microelectronics company developing novel polymer materials for use in the semiconductor industry. As the chief operating officer and member of the board of directors, he was instrumental in assembling the executive team, securing venture and debt financing, and negotiating the purchase of the company in June 2003 by Advanced Micro Devices. From 1998 to 2000, Mr. Goldberg served as director of worldwide sales and network optimization for Cignal Global Communications, a pioneer in voice over data network communications, where he managed global sales and cost containment for Cignal’s core business units, generating over $50 million a year in revenue. Mr. Goldberg graduated magna cum laude from Boston University with a B.A. in political science and strategic intelligence. Mr. Goldberg’s qualifications to sit on our board include his extensive operating and managerial experiences.</w:t>
      </w:r>
    </w:p>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our board of directors since December 2013. Since 2009, Dr. LaMattina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partner at PureTech Health, a technology development company focusing on biotech investments.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 Dr. LaMattina served on the board of directors of Neurogen Corp. Dr. LaMattina currently serves on several boards, including the board of directors of Ligand Pharmaceuticals, the Board of Trustees of Boston College, the Scientific Advisory Board for Trevena Pharmaceuticals and the Scientific Advisory Board of Ziarco Pharmaceuticals. Dr. LaMattina’s qualifications to sit on our board include his valuable pharmaceutical experience, including his service at Pfizer Inc., one of the world’s largest pharmaceutical companies, in addition to his experience on several boards and involvement in the biotechnology industry through his position as a senior partner at PureTech.</w:t>
      </w:r>
    </w:p>
    <w:p>
      <w:pPr>
        <w:spacing w:after="0" w:line="16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Kevin P. Starr</w:t>
      </w:r>
      <w:r>
        <w:rPr>
          <w:rFonts w:ascii="Arial" w:cs="Arial" w:eastAsia="Arial" w:hAnsi="Arial"/>
          <w:sz w:val="17"/>
          <w:szCs w:val="17"/>
          <w:color w:val="auto"/>
        </w:rPr>
        <w:t>. Mr. Starr has served as a member of our board of directors since December 2006. In April 2007, Mr. Starr co-founded Third Rock</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a venture capital firm where he remains a partner. From January 2003 to March 2007, Mr. Starr undertook a number of entrepreneurial endeavors in the life science and entertainment industries. From December 2001 to December 2002, Mr. Starr served as chief operating officer of Millennium. He also served as Millennium’s chief financial officer from December 1998 to December 2002. Mr. Starr currently serves on the board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directors of Agios Pharmaceuticals, Inc., Alnylam Pharmaceuticals, Inc., PanOptica, Inc., MyoKardia, Inc., Global Blood Therapeutics, Inc., Afferent Pharmaceutical, Ember Therapeutics and SAGE Therapeutics. Mr. Starr received an M.S. in corporate finance from Boston College and a B.S./B.A. in mathematics and business from Colby College. Mr. Starr’s qualifications to serve on our board of directors include his executive management roles with responsibility over key financial and business planning functions and experience in the formation, development and business strategy of multiple start-up companies in the life sciences sector.</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Lou Tartaglia, Ph.D</w:t>
      </w:r>
      <w:r>
        <w:rPr>
          <w:rFonts w:ascii="Arial" w:cs="Arial" w:eastAsia="Arial" w:hAnsi="Arial"/>
          <w:sz w:val="17"/>
          <w:szCs w:val="17"/>
          <w:color w:val="auto"/>
        </w:rPr>
        <w:t>. Dr. Tartaglia has served as a member of our board of directors since October 2007. He joined Third Rock Ventures, a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firm dedicated to building transformational life science companies, in 2007, and currently serves as a partner. Prior to joining Third Rock Ventures, from July 2004 to June 2007, Dr. Tartaglia was senior vice president and general manager at Gene Logic, and from April 1993 to June 2004, he served as vice president of new ventures and vice president of metabolic diseases at Millennium Pharmaceuticals. Dr. Tartaglia holds a Ph.D. in Biochemistry from the University of California, Berkeley and a B.S. in Chemistry from University at Albany, The State University of New York. Dr. Tartaglia’s qualifications to sit on our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February 28, 2014, our board of directors consisted of seven members, each of whom are members pursuant to the board composition provisions of our certificate of incorporation and our voting agreement, which agreement is described under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Notwithstanding the foregoing, Dr. Hughes will serve without further compensation as a member of the board of directors for as long as he serves as our chief executive officer.</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Director Independence</w:t>
      </w:r>
      <w:r>
        <w:rPr>
          <w:rFonts w:ascii="Arial" w:cs="Arial" w:eastAsia="Arial" w:hAnsi="Arial"/>
          <w:sz w:val="18"/>
          <w:szCs w:val="18"/>
          <w:color w:val="auto"/>
        </w:rPr>
        <w:t>. Our board of directors has determined that all members of the board of directors, except Dr. Hughes, are independent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for purposes of the rules of NASDAQ Stock Market and relevant federal securities laws and regulations. There are no family relationships among any of our directors or executive officers.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Staggered Board</w:t>
      </w:r>
      <w:r>
        <w:rPr>
          <w:rFonts w:ascii="Arial" w:cs="Arial" w:eastAsia="Arial" w:hAnsi="Arial"/>
          <w:sz w:val="17"/>
          <w:szCs w:val="17"/>
          <w:color w:val="auto"/>
        </w:rPr>
        <w:t>. In accordance with the terms of our amended and restated certificate of incorporation and amended and restated bylaws that will</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effective upon the completion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directors will expire upon the election and qualification of successor directors at the annual meeting of stockholders to be held during the years 2015 for Class I directors, 2016 for Class II directors and 2017 for Class III directors.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Our Class I directors will be</w:t>
            </w:r>
          </w:p>
        </w:tc>
        <w:tc>
          <w:tcPr>
            <w:tcW w:w="9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and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Our Class II directors will be</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and</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 and</w:t>
            </w:r>
          </w:p>
        </w:tc>
        <w:tc>
          <w:tcPr>
            <w:tcW w:w="260" w:type="dxa"/>
            <w:vAlign w:val="bottom"/>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140"/>
              <w:spacing w:after="0"/>
              <w:rPr>
                <w:sz w:val="20"/>
                <w:szCs w:val="20"/>
                <w:color w:val="auto"/>
              </w:rPr>
            </w:pPr>
            <w:r>
              <w:rPr>
                <w:rFonts w:ascii="Arial" w:cs="Arial" w:eastAsia="Arial" w:hAnsi="Arial"/>
                <w:sz w:val="18"/>
                <w:szCs w:val="18"/>
                <w:color w:val="auto"/>
              </w:rPr>
              <w:t>Our Class III directors will be</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and</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r>
    </w:tbl>
    <w:p>
      <w:pPr>
        <w:spacing w:after="0" w:line="202"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plans on establishing an audit committee, a compensation committee and a nominating and corporate governance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NASDAQ Stock Market and the SEC rules and regulations.</w:t>
      </w:r>
    </w:p>
    <w:p>
      <w:pPr>
        <w:spacing w:after="0" w:line="18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Effective upon completion of this offering, , and will serve on the audit committee,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chaired by . Our board of directors has determined that , and are “independent” for audit committee purposes as that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term is defined in the rules of the SEC and the applicable NASDAQ Stock Market rules, and has sufficient knowledge in financial and auditing matters to</w:t>
      </w:r>
    </w:p>
    <w:p>
      <w:pPr>
        <w:spacing w:after="0" w:line="38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serve on the audit committee. Our board of directors has designated as an “audit committee financial expert,” as defined under the applicable rules of the SEC. Our board has determined that while satisfy the independence requirements under applicable NASDAQ Stock Market rules, they do not</w:t>
      </w:r>
    </w:p>
    <w:p>
      <w:pPr>
        <w:ind w:right="20"/>
        <w:spacing w:after="0" w:line="295" w:lineRule="auto"/>
        <w:rPr>
          <w:sz w:val="20"/>
          <w:szCs w:val="20"/>
          <w:color w:val="auto"/>
        </w:rPr>
      </w:pPr>
      <w:r>
        <w:rPr>
          <w:rFonts w:ascii="Arial" w:cs="Arial" w:eastAsia="Arial" w:hAnsi="Arial"/>
          <w:sz w:val="16"/>
          <w:szCs w:val="16"/>
          <w:color w:val="auto"/>
        </w:rPr>
        <w:t>satisfy the independence requirements of the SEC applicable to members of audit committees. The transition rules of the SEC provide that two members of the audit committee may be exempt from these more stringent independence requirements for 90 days after the effectiveness of this registration statement, and one member may be exempt for one year after the effectiveness of this registration statement. Our board of directors intends to cause our audit committee to comply with the transition rules within the applicable time periods. The audit committee’s responsibilities include:</w:t>
      </w:r>
    </w:p>
    <w:p>
      <w:pPr>
        <w:spacing w:after="0" w:line="67"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consolidated financial statements;</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consolidated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consolidated financial statements shall be included in our Annual Report on Form 10-K;</w:t>
      </w:r>
    </w:p>
    <w:p>
      <w:pPr>
        <w:spacing w:after="0" w:line="51"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monitoring the integrity of our consolidated financial statements and our compliance with legal and regulatory requirements as they relate to our consolidated financial statements and accounting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quarterly earnings releases and scripts.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Effective upon completion of this offering, , and will serve on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chaired by . Our board of directors has determined that each member of the compensation committee is “independent” as defined in the applicable NASDAQ Stock Market rules. The compensation committee’s responsibilities include:</w:t>
      </w:r>
    </w:p>
    <w:p>
      <w:pPr>
        <w:spacing w:after="0" w:line="87"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the corporate succession plans for the Chief Executive Officer and other key officers.</w:t>
      </w:r>
    </w:p>
    <w:p>
      <w:pPr>
        <w:spacing w:after="0" w:line="237"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Effective upon completion of this offering, , and will serve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which will be chaired by . Our board of directors has determined that each member of the</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nominating and corporate governance committee is “independent” as defined in the applicable NASDAQ Stock Market rules. The nominating and corporate governance committee’s responsibilities include:</w:t>
      </w:r>
    </w:p>
    <w:p>
      <w:pPr>
        <w:spacing w:after="0" w:line="89"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900" w:right="40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jc w:val="center"/>
        <w:ind w:left="5580" w:right="340" w:hanging="5005"/>
        <w:spacing w:after="0" w:line="449" w:lineRule="auto"/>
        <w:tabs>
          <w:tab w:leader="none" w:pos="8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111</w:t>
      </w:r>
    </w:p>
    <w:p>
      <w:pPr>
        <w:sectPr>
          <w:pgSz w:w="11900" w:h="16838" w:orient="portrait"/>
          <w:cols w:equalWidth="0" w:num="1">
            <w:col w:w="11300"/>
          </w:cols>
          <w:pgMar w:left="24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developing a mechanism by which violations of the code of business conduct and ethics can be reported in a confidential manner;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adopt a code of business conduct and ethics that applies to all of our employees, officers and directors, including those officers responsible for financial reporting, which will be effective upon completion of this offering. Upon the completion of this offering, our code of business conduct and ethics will be available on our website at www.zafgen.com. We intend to disclose any amendments to the code, or any waivers of its requirements, on our website or in a Current Report on Form 8-K.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positions of chairman of the board and Chief Executive Officer are presently separated and have historically been separated at our company.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6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“Risk Factors”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the compensation paid or accrued during the fiscal year ended December 31, 2013 to our chief executive officer and our next highest-paid executive officers as of December 31, 2013. We refer to these officers as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Salary</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2940" w:type="dxa"/>
            <w:vAlign w:val="bottom"/>
            <w:vMerge w:val="restart"/>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Thomas E. Hughes, Ph.D.</w:t>
            </w:r>
          </w:p>
        </w:tc>
        <w:tc>
          <w:tcPr>
            <w:tcW w:w="4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2013</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w w:val="86"/>
              </w:rPr>
              <w:t>400,000</w:t>
            </w: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120,000</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591,961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5,100</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ind w:left="620"/>
              <w:spacing w:after="0" w:line="18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1,117,061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Dennis D. Kim, M.D., M.B.A.</w:t>
            </w: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2013</w:t>
            </w:r>
          </w:p>
        </w:tc>
        <w:tc>
          <w:tcPr>
            <w:tcW w:w="180" w:type="dxa"/>
            <w:vAlign w:val="bottom"/>
          </w:tcPr>
          <w:p>
            <w:pPr>
              <w:spacing w:after="0"/>
              <w:rPr>
                <w:sz w:val="17"/>
                <w:szCs w:val="17"/>
                <w:color w:val="auto"/>
              </w:rPr>
            </w:pPr>
          </w:p>
        </w:tc>
        <w:tc>
          <w:tcPr>
            <w:tcW w:w="10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325,000</w:t>
            </w: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82,000</w:t>
            </w: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85,342</w:t>
            </w: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5,100</w:t>
            </w:r>
          </w:p>
        </w:tc>
        <w:tc>
          <w:tcPr>
            <w:tcW w:w="118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497,442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L. Allen</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237,898</w:t>
            </w:r>
            <w:r>
              <w:rPr>
                <w:rFonts w:ascii="Arial" w:cs="Arial" w:eastAsia="Arial" w:hAnsi="Arial"/>
                <w:sz w:val="15"/>
                <w:szCs w:val="15"/>
                <w:color w:val="auto"/>
              </w:rPr>
              <w:t>(2)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225,563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4,620</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68"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represent the aggregate grant-date fair value of option awards granted to our named executive officers in 2013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Results of Operations” included elsewhere in this prospectus. The amounts above reflect our aggregate accounting expense for these awards and do not necessarily correspond to the actual value that will be recognized by the named executive officers.</w:t>
      </w:r>
    </w:p>
    <w:p>
      <w:pPr>
        <w:spacing w:after="0" w:line="3" w:lineRule="exact"/>
        <w:rPr>
          <w:rFonts w:ascii="Arial" w:cs="Arial" w:eastAsia="Arial" w:hAnsi="Arial"/>
          <w:sz w:val="17"/>
          <w:szCs w:val="17"/>
          <w:color w:val="auto"/>
        </w:rPr>
      </w:pPr>
    </w:p>
    <w:p>
      <w:pPr>
        <w:ind w:left="460" w:right="200" w:hanging="452"/>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base salary earned by Ms. Allen for services as our Chief Financial Officer during 2013. Ms. Allen’s annual base salary during this period was $265,000.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Arrangements with Our Named 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an employment agreement or offer letter with each of our named executive officers in connection with their employment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employment agreements and offer letters provide for “at will” employment.</w:t>
      </w:r>
    </w:p>
    <w:p>
      <w:pPr>
        <w:spacing w:after="0" w:line="207"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b w:val="1"/>
          <w:bCs w:val="1"/>
          <w:color w:val="auto"/>
        </w:rPr>
        <w:t xml:space="preserve">Thomas E. Hughes, Ph.D. </w:t>
      </w:r>
      <w:r>
        <w:rPr>
          <w:rFonts w:ascii="Arial" w:cs="Arial" w:eastAsia="Arial" w:hAnsi="Arial"/>
          <w:sz w:val="17"/>
          <w:szCs w:val="17"/>
          <w:color w:val="auto"/>
        </w:rPr>
        <w:t>On July 25, 2008, we entered into an offer letter with Dr. Hughes for the position of President and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Dr. Hughes’ employment has no specified term, but can be terminated at will by either party. Dr. Hughes currently receives a base salary of $425,000, which is subject to review and adjustment in accordance with company policy. Dr. Hughes is also eligible for an annual merit bonus with a target bonus opportunity of 35% of his base salary, payable at the discretion of the board of directors, based upon performance. Dr. Hughes is eligible to participate in our employee benefit plans generally available to our executive employees, subject to the terms of those plans.</w:t>
      </w:r>
    </w:p>
    <w:p>
      <w:pPr>
        <w:spacing w:after="0" w:line="16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color w:val="auto"/>
        </w:rPr>
        <w:t xml:space="preserve">Dennis D. Kim, M.D., M.B.A. </w:t>
      </w:r>
      <w:r>
        <w:rPr>
          <w:rFonts w:ascii="Arial" w:cs="Arial" w:eastAsia="Arial" w:hAnsi="Arial"/>
          <w:sz w:val="16"/>
          <w:szCs w:val="16"/>
          <w:color w:val="auto"/>
        </w:rPr>
        <w:t>On August 23, 2011, we entered into an offer letter with Dr. Kim for the position of Chief Medical Officer. Dr. Kim’s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has no specified term, but can be terminated at will by either party. Dr. Kim currently receives a base salary of $350,000, which is subject to review and adjustment in accordance with company policy. Dr. Kim is also eligible for an annual merit bonus with a target bonus opportunity of 30% of his base salary, payable at the discretion of the board of directors, based on performance and the business conditions at the company. Dr. Kim is eligible to participate in our employee benefit plans generally available to our executive employees, subject to the terms of those plans.</w:t>
      </w:r>
    </w:p>
    <w:p>
      <w:pPr>
        <w:spacing w:after="0" w:line="154"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Patricia L. Allen. </w:t>
      </w:r>
      <w:r>
        <w:rPr>
          <w:rFonts w:ascii="Arial" w:cs="Arial" w:eastAsia="Arial" w:hAnsi="Arial"/>
          <w:sz w:val="18"/>
          <w:szCs w:val="18"/>
          <w:color w:val="auto"/>
        </w:rPr>
        <w:t>On December 10, 2012, we entered into an offer letter with Ms. Allen for the position of Chief Financial Officer. Ms. Allen’s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has no specified term, but can be terminated at will by either party. Ms. Allen currently receives a base salary of $275,000, which is subject to review and adjustment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accordance with company policy. Ms. Allen is also eligible for an annual merit bonus with a target bonus opportunity of 30% of her base salary, payable at the discretion of the board of directors based on performance. Ms. Allen is also eligible to participate in our employee benefit plans generally available to our executive employees, subject to the terms of those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Provided Upon Death or Disability</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of Dr. Kim’s offer letter, if his employment is terminated by reason of his death or disability, he is entitled to base salary and benefits continuation for two months following his death or disability.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Provided Upon Termination for Good Reason or Without Cause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terms of their offer letters, each of Dr. Kim and Ms. Allen is eligible to receive two months of base salary and benefits continuation in the event his or her employment is terminated by us without Cause, or he or she terminates his or her employment with Good Reason subject to execution and non-revocation of a general release of claims. “Cause” is defined as dishonesty, embezzlement, misappropriate of assets or property of the company, gross negligence, misconduct, neglect of duties, theft, fraud or breach of fiduciary duty to the company, violation of federal or state securities laws, breach of an employment or other agreement with the company, conviction of a felony or any crime involving moral turpitude or material unsatisfactory performance as determined by our board of directors. “Good Reason” is defined as a material diminution in responsibilities, authority and function, a material reduction in base salary, unless such reduction is pursuant to a salary reduction program affecting substantially all of the senior level employees of the company and does not disproportionately adversely affect him, or a material change in the geographic location at which he or she must regularly work.</w:t>
      </w:r>
    </w:p>
    <w:p>
      <w:pPr>
        <w:spacing w:after="0" w:line="16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under certain option agreements that we have entered into with our named executive officers, we have agreed that if the named executive officer is terminated by us other than for death or disability or cause (as defined in the respective named executive officer’s employment agreement), then such executive officer will have a period to exercise his or her vested options as of the date of termination for a period of three months from the date of the termination or the expiration date of the option, whichever is earlier.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Provided Upon a Change of Control</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Dr. Hughes’ offer letter, we agreed to make certain equity awards to him in the form of options to purchase common stock, and in the event of a change of control of the company, any unvested stock options will be accelerated such that 100% of the shares underlying such options which would otherwise be unvested at the time of the change of control will become vested upon the change of control. Pursuant to Ms. Allen’s offer letter, we agreed to make certain equity awards to her in the form of stock options to purchase common stock, and in the event of a consummation of a change of control of the company within the first 12 months of her employment start date, 25% of the unvested stock options at the time of the change of control will become vested upon the change of control. “Change of control” is defined as the acquisition of beneficial ownership (as defined in Rule 13d-3 of the Exchange Act) directly or indirectly by any individual, corporation, partnership or any other entity or organization other than the company or its affiliates of the company’s securities representing a majority or more of the voting power of the company’s then outstanding securities, a merger or consolidation with any other corporation or the sale by the company of all or substantially all of its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Confidentiality, Non-Competition, Non-Solicitation and Assignment Agreements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outstanding equity awards held by each of our named executive officers as of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80" w:type="dxa"/>
            <w:vAlign w:val="bottom"/>
            <w:gridSpan w:val="2"/>
          </w:tcPr>
          <w:p>
            <w:pPr>
              <w:jc w:val="center"/>
              <w:ind w:right="823"/>
              <w:spacing w:after="0" w:line="119" w:lineRule="exact"/>
              <w:rPr>
                <w:sz w:val="20"/>
                <w:szCs w:val="20"/>
                <w:color w:val="auto"/>
              </w:rPr>
            </w:pPr>
            <w:r>
              <w:rPr>
                <w:rFonts w:ascii="Arial" w:cs="Arial" w:eastAsia="Arial" w:hAnsi="Arial"/>
                <w:sz w:val="13"/>
                <w:szCs w:val="13"/>
                <w:b w:val="1"/>
                <w:bCs w:val="1"/>
                <w:color w:val="auto"/>
              </w:rPr>
              <w:t>Number of Securities</w:t>
            </w:r>
          </w:p>
        </w:tc>
        <w:tc>
          <w:tcPr>
            <w:tcW w:w="2380" w:type="dxa"/>
            <w:vAlign w:val="bottom"/>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12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80" w:type="dxa"/>
            <w:vAlign w:val="bottom"/>
            <w:gridSpan w:val="2"/>
          </w:tcPr>
          <w:p>
            <w:pPr>
              <w:jc w:val="center"/>
              <w:ind w:right="823"/>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2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80" w:type="dxa"/>
            <w:vAlign w:val="bottom"/>
            <w:gridSpan w:val="2"/>
          </w:tcPr>
          <w:p>
            <w:pPr>
              <w:jc w:val="center"/>
              <w:ind w:right="823"/>
              <w:spacing w:after="0" w:line="149" w:lineRule="exact"/>
              <w:rPr>
                <w:sz w:val="20"/>
                <w:szCs w:val="20"/>
                <w:color w:val="auto"/>
              </w:rPr>
            </w:pPr>
            <w:r>
              <w:rPr>
                <w:rFonts w:ascii="Arial" w:cs="Arial" w:eastAsia="Arial" w:hAnsi="Arial"/>
                <w:sz w:val="14"/>
                <w:szCs w:val="14"/>
                <w:b w:val="1"/>
                <w:bCs w:val="1"/>
                <w:color w:val="auto"/>
                <w:w w:val="90"/>
              </w:rPr>
              <w:t>Options</w:t>
            </w:r>
          </w:p>
        </w:tc>
        <w:tc>
          <w:tcPr>
            <w:tcW w:w="2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0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9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9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Hughes, Ph.D.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809,227</w:t>
            </w:r>
          </w:p>
        </w:tc>
        <w:tc>
          <w:tcPr>
            <w:tcW w:w="9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87"/>
              </w:rPr>
              <w:t>(1)</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Thomas E. Hughes, Ph.D.</w:t>
            </w:r>
          </w:p>
        </w:tc>
        <w:tc>
          <w:tcPr>
            <w:tcW w:w="2380" w:type="dxa"/>
            <w:vAlign w:val="bottom"/>
            <w:gridSpan w:val="2"/>
          </w:tcPr>
          <w:p>
            <w:pPr>
              <w:jc w:val="right"/>
              <w:ind w:right="643"/>
              <w:spacing w:after="0"/>
              <w:rPr>
                <w:sz w:val="20"/>
                <w:szCs w:val="20"/>
                <w:color w:val="auto"/>
              </w:rPr>
            </w:pPr>
            <w:r>
              <w:rPr>
                <w:rFonts w:ascii="Arial" w:cs="Arial" w:eastAsia="Arial" w:hAnsi="Arial"/>
                <w:sz w:val="18"/>
                <w:szCs w:val="18"/>
                <w:color w:val="auto"/>
              </w:rPr>
              <w:t>78,000</w:t>
            </w:r>
            <w:r>
              <w:rPr>
                <w:rFonts w:ascii="Arial" w:cs="Arial" w:eastAsia="Arial" w:hAnsi="Arial"/>
                <w:sz w:val="15"/>
                <w:szCs w:val="15"/>
                <w:color w:val="auto"/>
              </w:rPr>
              <w:t>(2)</w:t>
            </w:r>
          </w:p>
        </w:tc>
        <w:tc>
          <w:tcPr>
            <w:tcW w:w="2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0.12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3/18/2019</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Hughes, Ph.D.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837,164</w:t>
            </w:r>
          </w:p>
        </w:tc>
        <w:tc>
          <w:tcPr>
            <w:tcW w:w="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17,836</w:t>
            </w:r>
            <w:r>
              <w:rPr>
                <w:rFonts w:ascii="Arial" w:cs="Arial" w:eastAsia="Arial" w:hAnsi="Arial"/>
                <w:sz w:val="15"/>
                <w:szCs w:val="15"/>
                <w:color w:val="auto"/>
              </w:rPr>
              <w:t>(3)</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3/10/2020</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Thomas E. Hughes, Ph.D.</w:t>
            </w:r>
          </w:p>
        </w:tc>
        <w:tc>
          <w:tcPr>
            <w:tcW w:w="1480" w:type="dxa"/>
            <w:vAlign w:val="bottom"/>
          </w:tcPr>
          <w:p>
            <w:pPr>
              <w:jc w:val="right"/>
              <w:spacing w:after="0"/>
              <w:rPr>
                <w:sz w:val="20"/>
                <w:szCs w:val="20"/>
                <w:color w:val="auto"/>
              </w:rPr>
            </w:pPr>
            <w:r>
              <w:rPr>
                <w:rFonts w:ascii="Arial" w:cs="Arial" w:eastAsia="Arial" w:hAnsi="Arial"/>
                <w:sz w:val="18"/>
                <w:szCs w:val="18"/>
                <w:color w:val="auto"/>
              </w:rPr>
              <w:t>524,874</w:t>
            </w:r>
          </w:p>
        </w:tc>
        <w:tc>
          <w:tcPr>
            <w:tcW w:w="900" w:type="dxa"/>
            <w:vAlign w:val="bottom"/>
          </w:tcPr>
          <w:p>
            <w:pPr>
              <w:spacing w:after="0"/>
              <w:rPr>
                <w:sz w:val="18"/>
                <w:szCs w:val="18"/>
                <w:color w:val="auto"/>
              </w:rPr>
            </w:pPr>
          </w:p>
        </w:tc>
        <w:tc>
          <w:tcPr>
            <w:tcW w:w="2380" w:type="dxa"/>
            <w:vAlign w:val="bottom"/>
            <w:gridSpan w:val="2"/>
          </w:tcPr>
          <w:p>
            <w:pPr>
              <w:jc w:val="right"/>
              <w:ind w:right="720"/>
              <w:spacing w:after="0"/>
              <w:rPr>
                <w:sz w:val="20"/>
                <w:szCs w:val="20"/>
                <w:color w:val="auto"/>
              </w:rPr>
            </w:pPr>
            <w:r>
              <w:rPr>
                <w:rFonts w:ascii="Arial" w:cs="Arial" w:eastAsia="Arial" w:hAnsi="Arial"/>
                <w:sz w:val="18"/>
                <w:szCs w:val="18"/>
                <w:color w:val="auto"/>
              </w:rPr>
              <w:t>1,574,625</w:t>
            </w:r>
            <w:r>
              <w:rPr>
                <w:rFonts w:ascii="Arial" w:cs="Arial" w:eastAsia="Arial" w:hAnsi="Arial"/>
                <w:sz w:val="15"/>
                <w:szCs w:val="15"/>
                <w:color w:val="auto"/>
              </w:rPr>
              <w:t>(4)</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0.39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6/12/2023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 Kim, M.D., M.B.A.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506,250</w:t>
            </w:r>
          </w:p>
        </w:tc>
        <w:tc>
          <w:tcPr>
            <w:tcW w:w="9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393,750</w:t>
            </w:r>
            <w:r>
              <w:rPr>
                <w:rFonts w:ascii="Arial" w:cs="Arial" w:eastAsia="Arial" w:hAnsi="Arial"/>
                <w:sz w:val="15"/>
                <w:szCs w:val="15"/>
                <w:color w:val="auto"/>
              </w:rPr>
              <w:t>(5)</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10/10/2021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Dennis D. Kim, M.D., M.B.A.</w:t>
            </w:r>
          </w:p>
        </w:tc>
        <w:tc>
          <w:tcPr>
            <w:tcW w:w="2380" w:type="dxa"/>
            <w:vAlign w:val="bottom"/>
            <w:gridSpan w:val="2"/>
          </w:tcPr>
          <w:p>
            <w:pPr>
              <w:jc w:val="right"/>
              <w:ind w:right="823"/>
              <w:spacing w:after="0"/>
              <w:rPr>
                <w:sz w:val="20"/>
                <w:szCs w:val="20"/>
                <w:color w:val="auto"/>
              </w:rPr>
            </w:pPr>
            <w:r>
              <w:rPr>
                <w:rFonts w:ascii="Arial" w:cs="Arial" w:eastAsia="Arial" w:hAnsi="Arial"/>
                <w:sz w:val="18"/>
                <w:szCs w:val="18"/>
                <w:color w:val="auto"/>
              </w:rPr>
              <w:t>75,670</w:t>
            </w:r>
          </w:p>
        </w:tc>
        <w:tc>
          <w:tcPr>
            <w:tcW w:w="2380" w:type="dxa"/>
            <w:vAlign w:val="bottom"/>
            <w:gridSpan w:val="2"/>
          </w:tcPr>
          <w:p>
            <w:pPr>
              <w:jc w:val="right"/>
              <w:ind w:right="720"/>
              <w:spacing w:after="0"/>
              <w:rPr>
                <w:sz w:val="20"/>
                <w:szCs w:val="20"/>
                <w:color w:val="auto"/>
              </w:rPr>
            </w:pPr>
            <w:r>
              <w:rPr>
                <w:rFonts w:ascii="Arial" w:cs="Arial" w:eastAsia="Arial" w:hAnsi="Arial"/>
                <w:sz w:val="18"/>
                <w:szCs w:val="18"/>
                <w:color w:val="auto"/>
              </w:rPr>
              <w:t>227,010</w:t>
            </w:r>
            <w:r>
              <w:rPr>
                <w:rFonts w:ascii="Arial" w:cs="Arial" w:eastAsia="Arial" w:hAnsi="Arial"/>
                <w:sz w:val="15"/>
                <w:szCs w:val="15"/>
                <w:color w:val="auto"/>
              </w:rPr>
              <w:t>(6)</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0.39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6/12/2023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L. Allen</w:t>
            </w:r>
          </w:p>
        </w:tc>
        <w:tc>
          <w:tcPr>
            <w:tcW w:w="2380" w:type="dxa"/>
            <w:vAlign w:val="bottom"/>
            <w:gridSpan w:val="2"/>
            <w:shd w:val="clear" w:color="auto" w:fill="CCEEFF"/>
          </w:tcPr>
          <w:p>
            <w:pPr>
              <w:jc w:val="right"/>
              <w:ind w:right="903"/>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800,000</w:t>
            </w:r>
            <w:r>
              <w:rPr>
                <w:rFonts w:ascii="Arial" w:cs="Arial" w:eastAsia="Arial" w:hAnsi="Arial"/>
                <w:sz w:val="15"/>
                <w:szCs w:val="15"/>
                <w:color w:val="auto"/>
              </w:rPr>
              <w:t>(7)</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Dr. Hughes’ option agreement, the shares vested in 36 equal monthly installments beginning on October 2, 2009 and became fully vested on September 2,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Dr. Hughes’ stock option agreement, all of the shares became fully vested on March 19,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Under the terms of Dr. Hughes’ stock option agreement, the remaining unvested shares will vest in equal monthly installments through January 1, 2014.</w:t>
      </w:r>
    </w:p>
    <w:p>
      <w:pPr>
        <w:spacing w:after="0" w:line="3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Dr. Hughes’ stock option agreements, 25% of the shares vested on December 19, 2013 and the remaining unvested shares will vest in equal monthly installments through December 19, 2016.</w:t>
      </w:r>
    </w:p>
    <w:p>
      <w:pPr>
        <w:ind w:left="460" w:right="42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Dr. Kim’s stock option agreement, the remaining unvested shares will vest in equal monthly installments through September 5, 2015.</w:t>
      </w:r>
    </w:p>
    <w:p>
      <w:pPr>
        <w:ind w:left="460" w:right="20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Dr. Kim’s stock option agreement, 25% of the shares vested on December 19, 2013 and the remaining unvested shares will vest in equal monthly installments through December 19, 2016.</w:t>
      </w:r>
    </w:p>
    <w:p>
      <w:pPr>
        <w:ind w:left="460" w:hanging="452"/>
        <w:spacing w:after="0" w:line="261"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terms of Ms. Allen’s stock option agreements, 25% of the shares vest on January 2, 2014 and the remaining unvested shares will vest in equal monthly installments through January 2,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following table sets forth a summary of the compensation we paid to our nonemployee directors during 2013. Other than as set forth in the table and described more fully below, we did not pay any compensation, reimburse any expense of, make any equity awards or non-equity awards to, or pay any other compensation to any of the other nonemployee members of our board of directors in 2013. We reimburse nonemployee directors for reasonable travel expenses. Dr. Hughes, our President and Chief Executive Officer, receives no compensation for his service as a director, and, consequently, is not included in this table. The compensation received by Dr. Hughes as an employee during 2013 is presented in the “Summary Compensation Table”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6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awards($)</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15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paid in </w:t>
            </w:r>
            <w:r>
              <w:rPr>
                <w:rFonts w:ascii="Arial" w:cs="Arial" w:eastAsia="Arial" w:hAnsi="Arial"/>
                <w:sz w:val="14"/>
                <w:szCs w:val="14"/>
                <w:b w:val="1"/>
                <w:bCs w:val="1"/>
                <w:u w:val="single" w:color="auto"/>
                <w:color w:val="auto"/>
              </w:rPr>
              <w:t>cash($</w:t>
            </w:r>
            <w:r>
              <w:rPr>
                <w:rFonts w:ascii="Arial" w:cs="Arial" w:eastAsia="Arial" w:hAnsi="Arial"/>
                <w:sz w:val="14"/>
                <w:szCs w:val="14"/>
                <w:b w:val="1"/>
                <w:bCs w:val="1"/>
                <w:color w:val="auto"/>
              </w:rPr>
              <w:t>)</w:t>
            </w:r>
          </w:p>
        </w:tc>
        <w:tc>
          <w:tcPr>
            <w:tcW w:w="62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Bruce Booth, Ph.D.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 Goldberg</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Kevin P. Starr</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Tartaglia, Ph.D.</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57,460</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57,460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80" w:hanging="452"/>
        <w:spacing w:after="0" w:line="31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directors in 2013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 of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included elsewhere in this prospectus. The amounts above reflect our aggregate accounting expense for these awards and do not necessarily correspond to the actual value that will be recognized by the directors.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board of directors plans on adopting a nonemployee director compensation policy, that will be effective as of the completion of this offering, that is designed to provide a total compensation package that enables us to attract and retain, on a long-term basis, high caliber nonemployee directors. Under the policy, all nonemployee directors will be paid cash compensation from and after the completion of this offering, as set forth below:</w:t>
      </w:r>
    </w:p>
    <w:p>
      <w:pPr>
        <w:spacing w:after="0" w:line="184" w:lineRule="exact"/>
        <w:rPr>
          <w:sz w:val="20"/>
          <w:szCs w:val="20"/>
          <w:color w:val="auto"/>
        </w:rPr>
      </w:pPr>
    </w:p>
    <w:p>
      <w:pPr>
        <w:ind w:left="10300"/>
        <w:spacing w:after="0"/>
        <w:rPr>
          <w:sz w:val="20"/>
          <w:szCs w:val="20"/>
          <w:color w:val="auto"/>
        </w:rPr>
      </w:pPr>
      <w:r>
        <w:rPr>
          <w:rFonts w:ascii="Arial" w:cs="Arial" w:eastAsia="Arial" w:hAnsi="Arial"/>
          <w:sz w:val="14"/>
          <w:szCs w:val="14"/>
          <w:b w:val="1"/>
          <w:bCs w:val="1"/>
          <w:color w:val="auto"/>
        </w:rPr>
        <w:t>Annual Retainer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All nonemployee members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Non-Executive Chairman of the Board</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Audit Committee: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Non-Chairman members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Chairman</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Non-Chairman members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nonemployee director compensation policy, each person who is initially appointed or elected to the board of directors will be eligible for an</w:t>
      </w:r>
    </w:p>
    <w:p>
      <w:pPr>
        <w:spacing w:after="0" w:line="4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option grant to purchase up to shares of our common stock under our stock option plan on the date he or she first becomes a nonemployee director, which will vest annually over a period. In addition, on the date of the annual meeting of stockholders, each continuing non-employee director who has</w:t>
      </w:r>
    </w:p>
    <w:p>
      <w:pPr>
        <w:ind w:right="40"/>
        <w:spacing w:after="0" w:line="255" w:lineRule="auto"/>
        <w:rPr>
          <w:sz w:val="20"/>
          <w:szCs w:val="20"/>
          <w:color w:val="auto"/>
        </w:rPr>
      </w:pPr>
      <w:r>
        <w:rPr>
          <w:rFonts w:ascii="Arial" w:cs="Arial" w:eastAsia="Arial" w:hAnsi="Arial"/>
          <w:sz w:val="18"/>
          <w:szCs w:val="18"/>
          <w:color w:val="auto"/>
        </w:rPr>
        <w:t>served on the board of directors for a minimum of six months will be eligible to receive an annual option grant to purchase up to shares of our common stock, which will vest in full upon the earlier of the first anniversary of the date of grant or the date of the following annual meeting of stockholders. All of the foregoing options will be granted at fair market value on the date of grant.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Option Plan</w:t>
      </w:r>
    </w:p>
    <w:p>
      <w:pPr>
        <w:spacing w:after="0" w:line="117"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The Amended and Restated 2006 Stock Option Plan, or 2006 Stock Option Plan, was approved by our board of directors and our stockholders on February 1, 2006 and was most recently amended on April 26, 2013. Under the 2006 Stock Option Plan, 10,863,864 shares of common stock have been reserved for issuance in the form of incentive stock options, non-qualified stock options, restricted stock, unrestricted stock or any combination of the foregoing. The shares issuable pursuant to awards granted under the 2006 Plan are authorized but unissued shares.</w:t>
      </w:r>
    </w:p>
    <w:p>
      <w:pPr>
        <w:spacing w:after="0" w:line="154"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2006 Stock Option Plan is administered by our board of directors, which has full power to select the employees, directors and service providers to whom awards will be granted and to determine the specific terms and conditions of each award, subject to the provisions of the 2006 Stock Option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option exercise price of each option granted under the 2006 Stock Option Plan is determined by our board of directors and may not be less than the fair market value of a share of common stock on the date of grant. The term of each option is fixed by the board of directors and may not exceed ten years from the date of grant. The board of directors determines at what time or times each option may be exercised when granting the option.</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2006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Our board of directors may amend the 2006 Stock Option Plan but no such action may adversely affect the rights of an award holder without such holder’s consent. Approval by our stockholders of amendments to the 2006 Stock Option Plan must be obtained if required by law.</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of December 31, 2013, options to purchase 8,228,975 shares of common stock were outstanding under the 2006 Stock Option Plan. Our board of directors has determined not to make any further awards under the 2006 Stock Option Plan following the completion of this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 2014, our board of directors adopted and thereafter our stockholders approved our 2014 Stock Option and Incentive Plan, or 2014 Stock Option Plan, which will become effective upon completing of this offering and will replace the 2006 Stock Option Plan. Our 2014 Stock Option Plan provides us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2014 Stock Option Plan will become effective immediately prior to the completion of this offering.</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initially reserved shares of common stock for the issuance of awards under the 2014 Stock Option Plan (including shares of common stock reserved for issuance under our 2006 Stock Option Plan, which will be added to the shares reserved under the 2014 Stock Option Plan), which will be cumulatively increased by % of the number of shares of common stock issued and outstanding on the immediately preceding December 31. This number is subject to adjustment in the event of a stock split, stock dividend or other change in our capitalization.</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shares issuable pursuant to awards granted under the 2014 Stock Option Plan will be authorized but unissued shares or shares that we reacquire. The shares of common stock underlying any awards from the 2014 Stock Option Plan and the 2006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2014 Stock Option Plan will be added back to the shares available for issuance under the 2014 Stock Option Plan.</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the 2014 Stock Option Plan, stock options or stock appreciation rights with respect to no more than shares may be granted to any one individual in any one calendar year and the maximum aggregate number of shares that may be issued in the form of incentive stock options shall not exceed the initial number of shares reserved and available for issuance under the 2014 Stock Option Plan.</w:t>
      </w:r>
    </w:p>
    <w:p>
      <w:pPr>
        <w:spacing w:after="0" w:line="181"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2014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2014 Stock Option Plan. Employees, nonemployee directors and other key persons (including consultants) are eligible to receive awards under the 2014 Stock Option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The 2014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ten years from the date of grant (or five years in the case of an incentive stock option granted to a 10% owner). The compensation committee will also determine vesting schedule for granted stock options.</w:t>
      </w:r>
    </w:p>
    <w:p>
      <w:pPr>
        <w:spacing w:after="0" w:line="17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 may determine. Our compensation committee may also grant shares of common stock that are free from any restrictions under the 2014 Stock Option Plan. Unrestricted stock may be granted to participants in recognition of past services or for other valid consideration and may be issued in lieu of cash compensation due to such participant.</w:t>
      </w:r>
    </w:p>
    <w:p>
      <w:pPr>
        <w:spacing w:after="0" w:line="19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4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compensation committee may grant cash bonuses under the 2014 Stock Option Plan to participants, subject to the achievement of certain performance goals.</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2014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shareholder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w:t>
      </w:r>
    </w:p>
    <w:p>
      <w:pPr>
        <w:spacing w:after="0" w:line="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may be made to any one employee during any one calendar year period is shares with respect to a stock-based award and $ with respect to a cash-based award.</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2014 Stock Option Plan provides that upon the effectiveness of a “sale event,” as defined in the 2014 Stock Option Plan, all options and stock appreciation rights that are not exercisable immediately prior to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2014 Stock Option Plan shall terminate. In addition, in connection with the termination of the 2014 Stock Option Plan upon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Our board of directors may amend or discontinue the 2014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2014 Stock Option Plan may require the approval of our stockholders.</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 awards may be granted under the 2014 Stock Option Plan after the date that is ten years from the date of stockholder approval of the 2014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Executive Cash Incentive Bonus Plan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 2014, our board of directors adopted the Senior Executive Cash Incentive Bonus Plan, or the Bonus Plan, which will become effective upon completion of this offering. The Bonus Plan provides for cash bonus payments based upon the attainment of performance targets established by our compensation committee. The payment targets will be related to corporate, financial and operational measures or objectives, or Corporate Performance Goals, as well as individual performance objectives.</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compensation committee may select Corporate Performance Goals from among the following: cash flow (including, but not limited to, operating cash flow and free cash flow); sales or revenue; corporate revenue; earnings before interest, taxes, depreciation and amortization; net income (loss) (either before or after interest, taxes, depreciation and/or amortization); changes in the market price of our common stock; economic value-added; development, clinical or regulatory milestones;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the company, an executive officer must be employed by the company on the bonus payment date to be eligible to receive a bonus payment. The Bonus Plan also permits the compensation committee to approve additional bonuses to executive officers in its sole discretion.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Simple IRA</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2009, we established a Savings Incentive Match Plan for employees. Under the terms of the plan, we contribute 2% of an employee’s annual base salary, up to a maximum of the annual Internal Revenue Service compensation limits, for all full-time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currently maintain broad-based benefits that are provided to all employees, including health insurance, life and disability insurance and dental insurance.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24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Other than compensation arrangements, we describe below the transactions, and series of similar transactions, since January 1, 2011, to which we were a party or will be a party, in which:</w:t>
      </w:r>
    </w:p>
    <w:p>
      <w:pPr>
        <w:spacing w:after="0" w:line="76"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9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Financing</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June 30, 2011, we entered into a securities purchase agreement, as amended, with TRV, Atlas and certain other existing investors of the company pursuant to which we issued, in a series of closings, an aggregate of 16,732,284 shares of our Series C redeemable convertible preferred stock at a price of $0.90610 per share.</w:t>
      </w:r>
    </w:p>
    <w:p>
      <w:pPr>
        <w:spacing w:after="0" w:line="181" w:lineRule="exact"/>
        <w:rPr>
          <w:sz w:val="20"/>
          <w:szCs w:val="20"/>
          <w:color w:val="auto"/>
        </w:rPr>
      </w:pPr>
    </w:p>
    <w:p>
      <w:pPr>
        <w:jc w:val="both"/>
        <w:ind w:right="260" w:firstLine="456"/>
        <w:spacing w:after="0" w:line="308" w:lineRule="auto"/>
        <w:rPr>
          <w:sz w:val="20"/>
          <w:szCs w:val="20"/>
          <w:color w:val="auto"/>
        </w:rPr>
      </w:pPr>
      <w:r>
        <w:rPr>
          <w:rFonts w:ascii="Arial" w:cs="Arial" w:eastAsia="Arial" w:hAnsi="Arial"/>
          <w:sz w:val="17"/>
          <w:szCs w:val="17"/>
          <w:color w:val="auto"/>
        </w:rPr>
        <w:t>The following table summarizes the participation in the Series C redeemable convertible preferred stock financing by any of our directors, executive officers, holders of more than 5% of our voting securities, or any member of the immediate family of the foregoing persons.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8"/>
              </w:rPr>
              <w:t>Shares of Series C</w:t>
            </w:r>
          </w:p>
        </w:tc>
        <w:tc>
          <w:tcPr>
            <w:tcW w:w="20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Date Purchased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Preferred</w:t>
            </w: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 Price Paid</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Atlas</w:t>
            </w:r>
          </w:p>
        </w:tc>
        <w:tc>
          <w:tcPr>
            <w:tcW w:w="59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Venture Fund VII, L.P.</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3,310,892</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2,999,999</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Atlas Venture Fund VII, L.P.</w:t>
            </w:r>
          </w:p>
        </w:tc>
        <w:tc>
          <w:tcPr>
            <w:tcW w:w="1120" w:type="dxa"/>
            <w:vAlign w:val="bottom"/>
          </w:tcPr>
          <w:p>
            <w:pPr>
              <w:jc w:val="right"/>
              <w:spacing w:after="0"/>
              <w:rPr>
                <w:sz w:val="20"/>
                <w:szCs w:val="20"/>
                <w:color w:val="auto"/>
              </w:rPr>
            </w:pPr>
            <w:r>
              <w:rPr>
                <w:rFonts w:ascii="Arial" w:cs="Arial" w:eastAsia="Arial" w:hAnsi="Arial"/>
                <w:sz w:val="18"/>
                <w:szCs w:val="18"/>
                <w:color w:val="auto"/>
              </w:rPr>
              <w:t>1,103,630</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999,999</w:t>
            </w:r>
          </w:p>
        </w:tc>
        <w:tc>
          <w:tcPr>
            <w:tcW w:w="8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12/1/2011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VII, L.P.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3,849,073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3,487,645</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2/1/2012</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Third Rock Ventures, L.P.</w:t>
            </w:r>
          </w:p>
        </w:tc>
        <w:tc>
          <w:tcPr>
            <w:tcW w:w="1120" w:type="dxa"/>
            <w:vAlign w:val="bottom"/>
          </w:tcPr>
          <w:p>
            <w:pPr>
              <w:jc w:val="right"/>
              <w:spacing w:after="0"/>
              <w:rPr>
                <w:sz w:val="20"/>
                <w:szCs w:val="20"/>
                <w:color w:val="auto"/>
              </w:rPr>
            </w:pPr>
            <w:r>
              <w:rPr>
                <w:rFonts w:ascii="Arial" w:cs="Arial" w:eastAsia="Arial" w:hAnsi="Arial"/>
                <w:sz w:val="18"/>
                <w:szCs w:val="18"/>
                <w:color w:val="auto"/>
              </w:rPr>
              <w:t>3,310,892</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2,999,999</w:t>
            </w:r>
          </w:p>
        </w:tc>
        <w:tc>
          <w:tcPr>
            <w:tcW w:w="8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6/30/2011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L.P.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1,103,630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12/1/2011</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Third Rock Ventures, L.P.</w:t>
            </w:r>
          </w:p>
        </w:tc>
        <w:tc>
          <w:tcPr>
            <w:tcW w:w="1120" w:type="dxa"/>
            <w:vAlign w:val="bottom"/>
          </w:tcPr>
          <w:p>
            <w:pPr>
              <w:jc w:val="right"/>
              <w:spacing w:after="0"/>
              <w:rPr>
                <w:sz w:val="20"/>
                <w:szCs w:val="20"/>
                <w:color w:val="auto"/>
              </w:rPr>
            </w:pPr>
            <w:r>
              <w:rPr>
                <w:rFonts w:ascii="Arial" w:cs="Arial" w:eastAsia="Arial" w:hAnsi="Arial"/>
                <w:sz w:val="18"/>
                <w:szCs w:val="18"/>
                <w:color w:val="auto"/>
              </w:rPr>
              <w:t>3,849,073</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3,487,645</w:t>
            </w:r>
          </w:p>
        </w:tc>
        <w:tc>
          <w:tcPr>
            <w:tcW w:w="8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2/1/2012</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2012 Convertible Note Financing</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August 13, 2012, we entered into a note purchase agreement pursuant to which we issued promissory notes, in two closings, for an aggregate principal amount of $6,000,000 to TRV and Atlas, which were convertible, under certain circumstances, into shares of the company’ stock issued in the next qualified financing round. The promissory notes incurred interest at a rate of 8%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the participation in the convertible promissory note financing by any of our directors, executive officers, holders of more than 5% of our voting securities, or any member of the immediate family of the foregoing persons.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 Promissory</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Date Purchased</w:t>
            </w: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2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Note Principal Amount</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Atlas</w:t>
            </w:r>
          </w:p>
        </w:tc>
        <w:tc>
          <w:tcPr>
            <w:tcW w:w="75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Venture Fund VII, L.P.</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Atlas Venture Fund VII, L.P.</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1,500,000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11/8/2012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L.P.</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8/13/2012</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Third Rock Ventures, L.P.</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1,500,000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11/8/2012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On November 30, 2012, the principal and accrued interest of these convertible promissory notes were converted, in accordance with their terms and at their respective conversion prices, into shares of Series D redeemable convertible preferred stock, and following such conversion, the notes were cancelled.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Financing</w:t>
      </w:r>
    </w:p>
    <w:p>
      <w:pPr>
        <w:spacing w:after="0" w:line="11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On November 30, 2012, we entered into a securities purchase agreement with TRV, Atlas and certain other investors pursuant to which we agreed to issue, in a series of closings, up to an aggregate of 16,011,162 shares of our Series D redeemable convertible preferred stock at a price of $1.3592 per share for shares purchased for cash and $1.22328 for shares issued upon conversion of convertible promissory notes and interest accrued thereon.</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following table summarizes the participation in the Series D redeemable convertible preferred stock financing by any of our directors, executive officers, holders of more than 5% of our voting securities, or any member of the immediate family of the foregoing persons.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Shares of Series 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Date Purchased</w:t>
            </w: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Preferred</w:t>
            </w:r>
          </w:p>
        </w:tc>
        <w:tc>
          <w:tcPr>
            <w:tcW w:w="36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Purchase Price Paid</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Atlas</w:t>
            </w:r>
          </w:p>
        </w:tc>
        <w:tc>
          <w:tcPr>
            <w:tcW w:w="6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Venture Fund VII, L.P.</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2,487,630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3,043,068</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Atlas Venture Fund VII, L.P.</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2,203,066</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2,994,407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1/11/2013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Rock Ventures, L.P.</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2,487,630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3,043,068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11/30/2012</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Third Rock Ventures, L.P.</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2,178,848</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2,961,491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1/11/2013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Partners VIII, L.P.</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6,621,542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11/30/2012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November 25, 2013, we entered into a securities purchase agreement with TRV, Atlas, Alta, Fidelity, and certain other investors pursuant to which we agreed to issue, in a series of closings, up to an aggregate of 20,919,679 shares of our Series E redeemable convertible preferred stock at a price of $2.1725 per share.</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following table summarizes the participation in the Series E redeemable convertible preferred stock financing by any of our directors, executive officers, holders of more than 5% of our voting securities, or any member of the immediate family of the foregoing persons.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Shares of Series E</w:t>
            </w:r>
          </w:p>
        </w:tc>
        <w:tc>
          <w:tcPr>
            <w:tcW w:w="2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Aggregate</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Date Purchased</w:t>
            </w: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Preferred</w:t>
            </w: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 Price Paid</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Alta</w:t>
            </w: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Partners VIII, L.P.</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690,449</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Entities Affiliated with Fidelity Investment</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5,983,890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13,000,000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11/25/2013</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connection with the Series E redeemable convertible preferred stock financing, we entered into the Third Amended and Restated Investors’ Rights Agreement, or investor rights agreement, dated as of November 25, 2013, with certain of our stockholders, including our principal stockholders and their affiliates, the Third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Amended and Restated Voting Agreement, dated as of November 25, 2013, with certain of our stockholders, including our principal stockholders and their affiliates, and the Third Amended and Restated Right of First Refusal and Co-Sale Agreement, dated as of November 25, 2013, with certain of our stockholders, including our principal stockholders and their affiliates. All of the provisions of these agreements will terminate immediately upon completion of the offering, other than the provisions relating to registration rights, which will continue in effect following completion of the offering and entitle the holders of such rights to have us register their shares of our common stock for sale in the United States. See “Description of Capital Stock—Registration Rights.”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“Executive and Director Compensation” for information regarding compensation of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have entered into offer letters or employment agreements with our executive officers. For more information regarding our agreements with our named executive officers for the fiscal year ended 2013, see “Executive and Director Compensation—Narrative to Summary Compensation Table— Employment Arrangements with Our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have entered into or plan to enter into indemnification agreements with each of our directors and officers, the form of which is attached as an exhibit to the registration statement of which this prospectus is a part. The indemnification agreements and our amended and restated certificate of incorporation and amended and restated by-laws require us to indemnify our directors and officers to the fullest extent permitted by Delaware law.</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60"/>
          </w:cols>
          <w:pgMar w:left="240" w:top="459" w:right="3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information concerning the beneficial ownership of the shares of our common stock as of February 28, 2014 by:</w:t>
      </w:r>
    </w:p>
    <w:p>
      <w:pPr>
        <w:spacing w:after="0" w:line="142"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we know to be the beneficial owner of 5% or more of our outstanding shares of our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have determined beneficial ownership in accordance with SEC rules. The information does not necessarily indicate beneficial ownership for any other purpose. Under these rules, a person is deemed to be a beneficial owner of our common stock if that person has a right to acquire ownership within 60 days by the exercise of vested options or the conversion of our redeemable convertible preferred stock. A person is also deemed to be a beneficial holder of our common stock if that person has or shares voting power, which includes the power to vote or direct the voting of our common stock, or investment power, which includes the power to dispose of or to direct the disposition of such capital stock. Except in cases where community property laws apply or as indicated in the footnotes to this table, we believe that each stockholder identified in the table possesses sole voting and investment power over all shares of common stock shown as beneficially owned by the stockholder.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Percentage of beneficial ownership in the table below is based on 99,268,174 shares of common stock deemed to be outstanding as of February 28,</w:t>
      </w:r>
    </w:p>
    <w:p>
      <w:pPr>
        <w:spacing w:after="0" w:line="4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2014, assuming the conversion of all outstanding shares of redeemable convertible preferred stock into common stock, and shares of common stock outstanding after the completion of this offering. The table below assumes that the underwriters do not exercise their over-allotment option. If the over-</w:t>
      </w:r>
    </w:p>
    <w:p>
      <w:pPr>
        <w:ind w:right="40"/>
        <w:spacing w:after="0" w:line="253" w:lineRule="auto"/>
        <w:rPr>
          <w:sz w:val="20"/>
          <w:szCs w:val="20"/>
          <w:color w:val="auto"/>
        </w:rPr>
      </w:pPr>
      <w:r>
        <w:rPr>
          <w:rFonts w:ascii="Arial" w:cs="Arial" w:eastAsia="Arial" w:hAnsi="Arial"/>
          <w:sz w:val="18"/>
          <w:szCs w:val="18"/>
          <w:color w:val="auto"/>
        </w:rPr>
        <w:t>allotment option is exercised in full, we will sell an aggregate of additional shares of common stock. Shares of common stock subject to options that are currently exercisable or exercisable within 60 days of February 28, 2014 are considered outstanding and beneficially owned by the person holding the options for the purpose of computing the percentage ownership of that person but are not treated as outstanding for the purpose of computing the percentage ownership of any other person. Unless indicated below, the address of each individual listed below is c/o Zafgen, Inc., One Broadway, 8</w:t>
      </w:r>
      <w:r>
        <w:rPr>
          <w:rFonts w:ascii="Arial" w:cs="Arial" w:eastAsia="Arial" w:hAnsi="Arial"/>
          <w:sz w:val="15"/>
          <w:szCs w:val="15"/>
          <w:color w:val="auto"/>
        </w:rPr>
        <w:t>th</w:t>
      </w:r>
      <w:r>
        <w:rPr>
          <w:rFonts w:ascii="Arial" w:cs="Arial" w:eastAsia="Arial" w:hAnsi="Arial"/>
          <w:sz w:val="18"/>
          <w:szCs w:val="18"/>
          <w:color w:val="auto"/>
        </w:rPr>
        <w:t xml:space="preserve"> Floor, Cambridge, MA 02142.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Shares beneficially</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660" w:type="dxa"/>
            <w:vAlign w:val="bottom"/>
          </w:tcPr>
          <w:p>
            <w:pPr>
              <w:spacing w:after="0"/>
              <w:rPr>
                <w:sz w:val="14"/>
                <w:szCs w:val="14"/>
                <w:color w:val="auto"/>
              </w:rPr>
            </w:pPr>
          </w:p>
        </w:tc>
        <w:tc>
          <w:tcPr>
            <w:tcW w:w="27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owned prior to offering</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owned after the offering</w:t>
            </w: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740" w:type="dxa"/>
            <w:vAlign w:val="bottom"/>
          </w:tcPr>
          <w:p>
            <w:pPr>
              <w:spacing w:after="0"/>
              <w:rPr>
                <w:sz w:val="12"/>
                <w:szCs w:val="12"/>
                <w:color w:val="auto"/>
              </w:rPr>
            </w:pPr>
          </w:p>
        </w:tc>
        <w:tc>
          <w:tcPr>
            <w:tcW w:w="12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1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Atlas Venture Fund VII, L.P.</w:t>
            </w:r>
            <w:r>
              <w:rPr>
                <w:rFonts w:ascii="Arial" w:cs="Arial" w:eastAsia="Arial" w:hAnsi="Arial"/>
                <w:sz w:val="15"/>
                <w:szCs w:val="15"/>
                <w:color w:val="auto"/>
              </w:rPr>
              <w:t>(2)</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35,373,545</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Rock Ventures, L.P.</w:t>
            </w:r>
            <w:r>
              <w:rPr>
                <w:rFonts w:ascii="Arial" w:cs="Arial" w:eastAsia="Arial" w:hAnsi="Arial"/>
                <w:sz w:val="15"/>
                <w:szCs w:val="15"/>
                <w:color w:val="auto"/>
              </w:rPr>
              <w:t>(3)</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35,180,843</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Alta Partners VIII, L.P.</w:t>
            </w:r>
            <w:r>
              <w:rPr>
                <w:rFonts w:ascii="Arial" w:cs="Arial" w:eastAsia="Arial" w:hAnsi="Arial"/>
                <w:sz w:val="15"/>
                <w:szCs w:val="15"/>
                <w:color w:val="auto"/>
              </w:rPr>
              <w:t>(4)</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7,311,991</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 Affiliated with Fidelity Investment</w:t>
            </w:r>
            <w:r>
              <w:rPr>
                <w:rFonts w:ascii="Arial" w:cs="Arial" w:eastAsia="Arial" w:hAnsi="Arial"/>
                <w:sz w:val="15"/>
                <w:szCs w:val="15"/>
                <w:color w:val="auto"/>
              </w:rPr>
              <w:t>(5)</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5,983,890</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Thomas E. Hughes, Ph.D.</w:t>
            </w:r>
            <w:r>
              <w:rPr>
                <w:rFonts w:ascii="Arial" w:cs="Arial" w:eastAsia="Arial" w:hAnsi="Arial"/>
                <w:sz w:val="15"/>
                <w:szCs w:val="15"/>
                <w:color w:val="auto"/>
              </w:rPr>
              <w:t>(6)</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2,663,456</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Named Executive Officers</w:t>
            </w: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Dennis D. Kim, M.D., M.B.A.</w:t>
            </w:r>
            <w:r>
              <w:rPr>
                <w:rFonts w:ascii="Arial" w:cs="Arial" w:eastAsia="Arial" w:hAnsi="Arial"/>
                <w:sz w:val="15"/>
                <w:szCs w:val="15"/>
                <w:color w:val="auto"/>
              </w:rPr>
              <w:t>(7)</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682,143</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Patricia L. Allen</w:t>
            </w:r>
            <w:r>
              <w:rPr>
                <w:rFonts w:ascii="Arial" w:cs="Arial" w:eastAsia="Arial" w:hAnsi="Arial"/>
                <w:sz w:val="15"/>
                <w:szCs w:val="15"/>
                <w:color w:val="auto"/>
              </w:rPr>
              <w:t>(8)</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250,000</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Directors</w:t>
            </w:r>
          </w:p>
        </w:tc>
        <w:tc>
          <w:tcPr>
            <w:tcW w:w="1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Peter Barrett, Ph.D.</w:t>
            </w:r>
            <w:r>
              <w:rPr>
                <w:rFonts w:ascii="Arial" w:cs="Arial" w:eastAsia="Arial" w:hAnsi="Arial"/>
                <w:sz w:val="15"/>
                <w:szCs w:val="15"/>
                <w:color w:val="auto"/>
              </w:rPr>
              <w:t>(9)</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35,373,545</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Bruce Booth, Ph.D.</w:t>
            </w:r>
            <w:r>
              <w:rPr>
                <w:rFonts w:ascii="Arial" w:cs="Arial" w:eastAsia="Arial" w:hAnsi="Arial"/>
                <w:sz w:val="15"/>
                <w:szCs w:val="15"/>
                <w:color w:val="auto"/>
              </w:rPr>
              <w:t>(10)</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35,373,545</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35.6%</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Avi Goldberg</w:t>
            </w:r>
            <w:r>
              <w:rPr>
                <w:rFonts w:ascii="Arial" w:cs="Arial" w:eastAsia="Arial" w:hAnsi="Arial"/>
                <w:sz w:val="15"/>
                <w:szCs w:val="15"/>
                <w:color w:val="auto"/>
              </w:rPr>
              <w:t>(11)</w:t>
            </w:r>
          </w:p>
        </w:tc>
        <w:tc>
          <w:tcPr>
            <w:tcW w:w="3160" w:type="dxa"/>
            <w:vAlign w:val="bottom"/>
            <w:gridSpan w:val="3"/>
          </w:tcPr>
          <w:p>
            <w:pPr>
              <w:jc w:val="right"/>
              <w:ind w:right="620"/>
              <w:spacing w:after="0"/>
              <w:rPr>
                <w:sz w:val="20"/>
                <w:szCs w:val="20"/>
                <w:color w:val="auto"/>
              </w:rPr>
            </w:pPr>
            <w:r>
              <w:rPr>
                <w:rFonts w:ascii="Arial" w:cs="Arial" w:eastAsia="Arial" w:hAnsi="Arial"/>
                <w:sz w:val="18"/>
                <w:szCs w:val="18"/>
                <w:color w:val="auto"/>
              </w:rPr>
              <w:t>2,183,194</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Kevin P. Starr</w:t>
            </w:r>
            <w:r>
              <w:rPr>
                <w:rFonts w:ascii="Arial" w:cs="Arial" w:eastAsia="Arial" w:hAnsi="Arial"/>
                <w:sz w:val="15"/>
                <w:szCs w:val="15"/>
                <w:color w:val="auto"/>
              </w:rPr>
              <w:t>(12)</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50,921</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Lou Tartaglia, Ph.D.</w:t>
            </w:r>
            <w:r>
              <w:rPr>
                <w:rFonts w:ascii="Arial" w:cs="Arial" w:eastAsia="Arial" w:hAnsi="Arial"/>
                <w:sz w:val="15"/>
                <w:szCs w:val="15"/>
                <w:color w:val="auto"/>
              </w:rPr>
              <w:t>(13)</w:t>
            </w:r>
          </w:p>
        </w:tc>
        <w:tc>
          <w:tcPr>
            <w:tcW w:w="166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All directors and executive officers as a group (8 persons)</w:t>
            </w:r>
            <w:r>
              <w:rPr>
                <w:rFonts w:ascii="Arial" w:cs="Arial" w:eastAsia="Arial" w:hAnsi="Arial"/>
                <w:sz w:val="15"/>
                <w:szCs w:val="15"/>
                <w:b w:val="1"/>
                <w:bCs w:val="1"/>
                <w:color w:val="auto"/>
                <w:w w:val="97"/>
              </w:rPr>
              <w:t>(14)</w:t>
            </w:r>
          </w:p>
        </w:tc>
        <w:tc>
          <w:tcPr>
            <w:tcW w:w="3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41,203,259</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40.1%</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20" w:type="dxa"/>
            <w:vAlign w:val="bottom"/>
          </w:tcPr>
          <w:p>
            <w:pPr>
              <w:spacing w:after="0"/>
              <w:rPr>
                <w:sz w:val="24"/>
                <w:szCs w:val="24"/>
                <w:color w:val="auto"/>
              </w:rPr>
            </w:pPr>
          </w:p>
        </w:tc>
        <w:tc>
          <w:tcPr>
            <w:tcW w:w="1660" w:type="dxa"/>
            <w:vAlign w:val="bottom"/>
          </w:tcPr>
          <w:p>
            <w:pPr>
              <w:jc w:val="right"/>
              <w:ind w:right="850"/>
              <w:spacing w:after="0"/>
              <w:rPr>
                <w:sz w:val="20"/>
                <w:szCs w:val="20"/>
                <w:color w:val="auto"/>
              </w:rPr>
            </w:pPr>
            <w:r>
              <w:rPr>
                <w:rFonts w:ascii="Arial" w:cs="Arial" w:eastAsia="Arial" w:hAnsi="Arial"/>
                <w:sz w:val="18"/>
                <w:szCs w:val="18"/>
                <w:color w:val="auto"/>
              </w:rPr>
              <w:t>124</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w:t>
      </w:r>
    </w:p>
    <w:p>
      <w:pPr>
        <w:spacing w:after="0" w:line="2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otherwise indicated, the address for each beneficial owner is c/o Zafgen, Inc., One Broadway, 8th Floor, Cambridge, Massachusetts 02142.</w:t>
      </w:r>
    </w:p>
    <w:p>
      <w:pPr>
        <w:spacing w:after="0" w:line="3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address for Atlas Venture Fund VII, L.P., or Atlas Venture VII, is 25 First Street, Suite 303, Cambridge, MA 02141. Consists of (i) 4,768,001 shares of common stock issuable upon conversion of shares of Series A redeemable convertible preferred stock, (ii) 17,651,253 shares of common stock issuable upon conversion of shares of Series B redeemable convertible preferred stock, (iii) 8,263,595 shares of common stock issuable upon conversion of shares of Series C redeemable convertible preferred stock and (iv) 4,690,696 shares of common stock issuable upon conversion of shares of Series D redeemable convertible preferred stock. All shares are held directly by Atlas Venture VII. Atlas Venture Associates VII, L.P., or AVA VII LP, is the general partner of Atlas Venture VII, and Atlas Venture Associates VII, Inc., or AVA VII Inc., is the general partner of AVA VII LP. Peter Barrett, Jean-Francois Formela and Jeff Fagnan is each a director of AVA VII Inc. Drs. Booth and Barrett are members of our board of directors. Each of the reporting persons disclaims beneficial ownership of such shares, except to the extent of their proportionate pecuniary interest therein, if any.</w:t>
      </w:r>
    </w:p>
    <w:p>
      <w:pPr>
        <w:spacing w:after="0" w:line="5"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address for Third Rock Ventures, L.P., or TRV LP, is 29 Newbury Street, 3rd Floor, Boston, MA 02116. Consists of (i) 22,250,770 shares of common stock issuable upon conversion of shares of Series B redeemable convertible preferred stock, (ii) 8,263,595 shares of common stock issuable upon conversion of shares of Series C redeemable convertible preferred stock and (iii) 4,666,478 shares of common stock issuable upon conversion of shares of Series D redeemable convertible preferred stock. All shares are held directly by TRV LP. Each of Third Rock Ventures GP, LP, or TRV GP, the general partner of TRV LP, and Third Rock Ventures GP, LLC, or TRV LLC, the general partner of TRV GP, may be deemed to have voting and dispositive power over the shares held by TRV LP. 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 Dr. Tartaglia and Mr. Starr are members of our board of directors.</w:t>
      </w:r>
    </w:p>
    <w:p>
      <w:pPr>
        <w:spacing w:after="0" w:line="4"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address for Alta Partners VIII, L.P. is One Embarcadero Center, 37th Floor, San Francisco, CA 94111. Consists of (i) 6,621,542 shares of common stock issuable upon conversion of shares of Series D redeemable convertible preferred stock and (ii) 690,449 shares of common stock issuable upon conversion of shares of Series E redeemable convertible preferred stock. These shares are held of record by Alta Partners VIII, L.P. Alta Partners Management VIII, LLC is the general partner of Alta Partners VIII, L.P. Guy Nohra, Daniel Janney and Farah Champsi are managing directors of Alta Partners Management VIII, LLC and exercise shared voting and investment powers with respect to the shares owned by Alta Partners VIII, L.P. Each of the reporting persons disclaims beneficial ownership of such shares, except to the extent of their proportionate pecuniary interest therein, if any.</w:t>
      </w:r>
    </w:p>
    <w:p>
      <w:pPr>
        <w:spacing w:after="0" w:line="4" w:lineRule="exact"/>
        <w:rPr>
          <w:rFonts w:ascii="Arial" w:cs="Arial" w:eastAsia="Arial" w:hAnsi="Arial"/>
          <w:sz w:val="16"/>
          <w:szCs w:val="16"/>
          <w:color w:val="auto"/>
        </w:rPr>
      </w:pPr>
    </w:p>
    <w:p>
      <w:pPr>
        <w:jc w:val="both"/>
        <w:ind w:left="460" w:right="6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Fidelity Management &amp; Research Company, or Fidelity, 82 Devonshire Street, Boston, Massachusetts 02109, a wholly-owned subsidiary of FMR LLC and an investment adviser registered under Section 203 of the Investment Advisers Act of 1940, is the beneficial owner of shares of common stock as a result of acting as investment adviser to various investment companies registered under Section 8 of the Investment Company Act of 1940. Consists of</w:t>
      </w:r>
    </w:p>
    <w:p>
      <w:pPr>
        <w:spacing w:after="0" w:line="2"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(i) 5,172,990 shares of common stock issuable upon conversion of shares of Series E redeemable convertible preferred stock held by Fidelity Select Portfolios: Biotech Portfolio, and (ii) 810,900 shares of common stock issuable upon conversion of shares of Series E redeemable convertible preferred stock held by Fidelity Advisor Series VII: Fidelity Advisor Biotech Fund. Edward C. Johnson 3d and FMR LLC, through its control of Fidelity, and the funds each has sole power to dispose of the shares owned by the Funds.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69" w:lineRule="auto"/>
        <w:rPr>
          <w:sz w:val="20"/>
          <w:szCs w:val="20"/>
          <w:color w:val="auto"/>
        </w:rPr>
      </w:pPr>
      <w:r>
        <w:rPr>
          <w:rFonts w:ascii="Arial" w:cs="Arial" w:eastAsia="Arial" w:hAnsi="Arial"/>
          <w:sz w:val="17"/>
          <w:szCs w:val="17"/>
          <w:color w:val="auto"/>
        </w:rPr>
        <w:t>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 w:lineRule="exact"/>
        <w:rPr>
          <w:sz w:val="20"/>
          <w:szCs w:val="20"/>
          <w:color w:val="auto"/>
        </w:rPr>
      </w:pPr>
    </w:p>
    <w:p>
      <w:pPr>
        <w:ind w:left="460" w:right="16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221,396 shares of common stock and 2,442,060 shares of common stock issuable upon exercise of options within 60 days of February 28, 2014.</w:t>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682,143 shares of common stock issuable upon exercise of options within 60 days of February 28,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250,000 shares of common stock issuable upon exercise of options within 60 days of February 28, 2014.</w:t>
      </w:r>
    </w:p>
    <w:p>
      <w:pPr>
        <w:spacing w:after="0" w:line="9"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the shares described in note (2) above.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25 First Street, Suite 303, Cambridge, MA 02141.</w:t>
      </w:r>
    </w:p>
    <w:p>
      <w:pPr>
        <w:spacing w:after="0" w:line="2" w:lineRule="exact"/>
        <w:rPr>
          <w:rFonts w:ascii="Arial" w:cs="Arial" w:eastAsia="Arial" w:hAnsi="Arial"/>
          <w:sz w:val="16"/>
          <w:szCs w:val="16"/>
          <w:color w:val="auto"/>
        </w:rPr>
      </w:pPr>
    </w:p>
    <w:p>
      <w:pPr>
        <w:ind w:left="460" w:hanging="452"/>
        <w:spacing w:after="0" w:line="265"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Consists of the shares described in note (2) above. Dr. Booth is a general partner of Atlas Venture Fund VII, L.P., and as such Dr. Booth may be deemed to share voting and dispositive power with respect to all shares held by such entity. Dr. Booth disclaims beneficial ownership of such shares except to the extent of any pecuniary interest therein. Dr. Booth’s business address is 25 First Street, Suite 303, Cambridge, MA 02141.</w:t>
      </w:r>
    </w:p>
    <w:p>
      <w:pPr>
        <w:ind w:left="460" w:right="4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2,183,194 shares of common stock held by Greatpoint Ventures Fund I, LLC, or GPV. Mr. Goldberg is a partner at GPV and as such Mr. Goldberg may be deemed to share voting and dispositive power with respect to all shares held by GPV. Mr. Goldberg disclaims beneficial ownership of such shares except to the extent of any pecuniary interest therein. Mr. Goldberg’s business address is 71 Summer Street, 4th floor, Boston, MA 02110.</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50,921 shares of common stock Mr. Starr holds in his individual capacity. 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w:t>
      </w:r>
    </w:p>
    <w:p>
      <w:pPr>
        <w:spacing w:after="0" w:line="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 decisions with respect to the shares held by TRV LP are made by an investment committee at TRV GP comprised of Mark Levin, Kevin Starr, Bob Tepper, Neil Exter, Kevin Gillis, Lou Tartaglia, Craig Muir, Cary Pfeffer, Alexis Borisy and Craig Greaves. No stockholder, director, officer, manager, member or employee of TRV GP or TRV LLC has beneficial ownership (within the meaning of Rule 13d-3 promulgated under the Exchange Act) of any shares held by TRV LP.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3,117,816 shares of common stock issuable upon exercise of options within 60 days of December 1, 2013.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020" w:type="dxa"/>
            <w:vAlign w:val="bottom"/>
            <w:gridSpan w:val="2"/>
          </w:tcPr>
          <w:p>
            <w:pPr>
              <w:ind w:left="2820"/>
              <w:spacing w:after="0"/>
              <w:rPr>
                <w:sz w:val="20"/>
                <w:szCs w:val="20"/>
                <w:color w:val="auto"/>
              </w:rPr>
            </w:pPr>
            <w:r>
              <w:rPr>
                <w:rFonts w:ascii="Arial" w:cs="Arial" w:eastAsia="Arial" w:hAnsi="Arial"/>
                <w:sz w:val="18"/>
                <w:szCs w:val="18"/>
                <w:b w:val="1"/>
                <w:bCs w:val="1"/>
                <w:color w:val="auto"/>
              </w:rPr>
              <w:t>DESCRIPTION OF CAPITAL STOCK</w:t>
            </w:r>
          </w:p>
        </w:tc>
        <w:tc>
          <w:tcPr>
            <w:tcW w:w="2940" w:type="dxa"/>
            <w:vAlign w:val="bottom"/>
          </w:tcPr>
          <w:p>
            <w:pPr>
              <w:spacing w:after="0"/>
              <w:rPr>
                <w:sz w:val="24"/>
                <w:szCs w:val="24"/>
                <w:color w:val="auto"/>
              </w:rPr>
            </w:pPr>
          </w:p>
        </w:tc>
      </w:tr>
      <w:tr>
        <w:trPr>
          <w:trHeight w:val="418"/>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Upon the completion of this offering, our authorized capital stock will consist of</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w w:val="96"/>
              </w:rPr>
              <w:t>shares of common stock, par value $0.001 per share, and</w:t>
            </w:r>
          </w:p>
        </w:tc>
      </w:tr>
      <w:tr>
        <w:trPr>
          <w:trHeight w:val="216"/>
        </w:trPr>
        <w:tc>
          <w:tcPr>
            <w:tcW w:w="8380" w:type="dxa"/>
            <w:vAlign w:val="bottom"/>
            <w:gridSpan w:val="3"/>
          </w:tcPr>
          <w:p>
            <w:pPr>
              <w:ind w:left="540"/>
              <w:spacing w:after="0"/>
              <w:rPr>
                <w:sz w:val="20"/>
                <w:szCs w:val="20"/>
                <w:color w:val="auto"/>
              </w:rPr>
            </w:pPr>
            <w:r>
              <w:rPr>
                <w:rFonts w:ascii="Arial" w:cs="Arial" w:eastAsia="Arial" w:hAnsi="Arial"/>
                <w:sz w:val="18"/>
                <w:szCs w:val="18"/>
                <w:color w:val="auto"/>
                <w:w w:val="93"/>
              </w:rPr>
              <w:t>shares of preferred stock, par value $0.001 per share, all of which will be undesignated, and there will be</w:t>
            </w:r>
          </w:p>
        </w:tc>
        <w:tc>
          <w:tcPr>
            <w:tcW w:w="2940" w:type="dxa"/>
            <w:vAlign w:val="bottom"/>
          </w:tcPr>
          <w:p>
            <w:pPr>
              <w:ind w:left="300"/>
              <w:spacing w:after="0"/>
              <w:rPr>
                <w:sz w:val="20"/>
                <w:szCs w:val="20"/>
                <w:color w:val="auto"/>
              </w:rPr>
            </w:pPr>
            <w:r>
              <w:rPr>
                <w:rFonts w:ascii="Arial" w:cs="Arial" w:eastAsia="Arial" w:hAnsi="Arial"/>
                <w:sz w:val="18"/>
                <w:szCs w:val="18"/>
                <w:color w:val="auto"/>
                <w:w w:val="89"/>
              </w:rPr>
              <w:t>shares of common stock outstanding</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0"/>
              </w:rPr>
              <w:t>and no shares of preferred stock outstanding. As of February 28, 2014, we had approximately</w:t>
            </w:r>
          </w:p>
        </w:tc>
        <w:tc>
          <w:tcPr>
            <w:tcW w:w="4520" w:type="dxa"/>
            <w:vAlign w:val="bottom"/>
            <w:gridSpan w:val="2"/>
          </w:tcPr>
          <w:p>
            <w:pPr>
              <w:ind w:left="520"/>
              <w:spacing w:after="0"/>
              <w:rPr>
                <w:sz w:val="20"/>
                <w:szCs w:val="20"/>
                <w:color w:val="auto"/>
              </w:rPr>
            </w:pPr>
            <w:r>
              <w:rPr>
                <w:rFonts w:ascii="Arial" w:cs="Arial" w:eastAsia="Arial" w:hAnsi="Arial"/>
                <w:sz w:val="18"/>
                <w:szCs w:val="18"/>
                <w:color w:val="auto"/>
              </w:rPr>
              <w:t>record holders of our capital stock. All of our</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shares of redeemable convertible preferred stock will automatically convert into shares of our common stock upon the completion of this</w:t>
      </w:r>
    </w:p>
    <w:p>
      <w:pPr>
        <w:spacing w:after="0" w:line="3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offering. In addition, upon completion of this offering, options to purchase shares of our common stock will be outstanding and shares of our common stock will be reserved for future grants under our stock option plans.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as exhibits to the registration statement of which this prospectus is a part. The descriptions of our common stock and preferred stock reflect amendments to our amended and restated certificate of incorporation and amended and restated by-laws that will become effective immediately prior to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under “Antitakeover Effects of Delaware Law and Provisions of our Amended and Restated Certificate of Incorporation and Amended and Restated By-laws” below, a majority vote of the holders of common stock is generally required to take action under our amended and restated certificate of incorporation and amended and restated by-laws.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completion of this offering, our board of directors will be authorized, without action by the stockholders, to designate and issue up to an</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aggregate of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 See also “Antitakeover Effects of Delaware Law and Provisions of our Amended and Restated Certificate of Incorporation and Amended and Restated By-laws—Provisions of our Amended and Restated Certificate of Incorporation and Amended and Restated By-laws—Undesignated preferred stock” below.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46"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Upon the completion of this offering, the holders of 95,029,181 shares of our common stock, including shares issuable upon the conversion of our redeemable convertible preferred stock or their permitted transferees, are entitled to rights with respect to the registration of these securities under the Securities Act. These rights are provided under the terms of an investor rights agreement between us and the holders of our redeemable convertible preferred stock. The investor rights agreement includes demand registration rights, short-form registration rights and piggyback registration rights. All fees, costs and expenses of underwritten registrations under the investor rights agreement will be borne by us and all selling expenses, including underwriting discounts and selling commissions, will be borne by the holders of the shares being registered.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Upon the completion of this offering, the holders of 95,029,181 shares of our common stock, including shares issuable upon the conversion of our redeemable convertible preferred stock or their permitted transferees, are entitled to demand registration rights. Under the terms of the investor rights agreement, we will be required, upon the written request of holders of 70% of these securities, to use our best efforts to file a registration statement and use reasonable, diligent efforts to affect the registration of all or a portion of these shares for public resale. We are required to effect only one registration pursuant to this provision of the investor rights agreement. A demand for registration may not be made until 180 days after the completion of this offering.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Form Registration Rights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Upon the completion of this offering, the holders of 95,029,181 shares of our common stock, including shares issuable upon the conversion of our redeemable convertible preferred stock or their permitted transferees, are also entitled to short form registration rights. Pursuant to the investor rights agreement, if we are eligible to file a registration statement on Form S-3, upon the request of 10% of these holders to sell registrable securities at an aggregate price of at least $500,000, we will be required to use our best efforts to affect a registration of such shares. We are required to effect only one registration in any twelve month period pursuant to this provision of the investor rights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holders of 95,029,181 shares of our common stock, including shares issuable upon the conversion of our redeemable convertible preferred stock or their permitted transferees,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 rights agreement, we and the underwriters may limit the number of shares included in the underwritten offering if the underwriters determine in good faith that marketing factors require a limitation of the number of shares to be underwritten.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investor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registration rights granted under the investor rights agreement will terminate upon the earlier of (i) a deemed liquidation event, as defined in our amended and restated certificate of incorporation or (ii) at such time when all registrable securities could be sold without restriction under Rule 144 of the Securities Act.</w:t>
      </w:r>
    </w:p>
    <w:p>
      <w:pPr>
        <w:spacing w:after="0" w:line="28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Antitakeover Effects of Delaware Law and Provisions of our Amended and Restated Certificate of Incorporation and Amended and Restated By-laws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Certain provisions of the Delaware General Corporation Law and of our amended and restated certificate of incorporation and amended and restated by-laws that will become effective upon the completion of this offering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Takeover Statute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900" w:right="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of our Amended and Restated Certificate of Incorporation and Amended and Restated By-laws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 in effect upon completion of this offering will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Board composition and filling vacancies</w:t>
      </w:r>
      <w:r>
        <w:rPr>
          <w:rFonts w:ascii="Arial" w:cs="Arial" w:eastAsia="Arial" w:hAnsi="Arial"/>
          <w:sz w:val="17"/>
          <w:szCs w:val="17"/>
          <w:color w:val="auto"/>
        </w:rPr>
        <w:t>. In accordance with our amended and restated certificate of incorporation, our board is divided into three</w:t>
      </w:r>
      <w:r>
        <w:rPr>
          <w:rFonts w:ascii="Arial" w:cs="Arial" w:eastAsia="Arial" w:hAnsi="Arial"/>
          <w:sz w:val="17"/>
          <w:szCs w:val="17"/>
          <w:i w:val="1"/>
          <w:iCs w:val="1"/>
          <w:color w:val="auto"/>
        </w:rPr>
        <w:t xml:space="preserve"> </w:t>
      </w:r>
      <w:r>
        <w:rPr>
          <w:rFonts w:ascii="Arial" w:cs="Arial" w:eastAsia="Arial" w:hAnsi="Arial"/>
          <w:sz w:val="17"/>
          <w:szCs w:val="17"/>
          <w:color w:val="auto"/>
        </w:rPr>
        <w:t>classes serving staggered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No written consent of stockholders</w:t>
      </w:r>
      <w:r>
        <w:rPr>
          <w:rFonts w:ascii="Arial" w:cs="Arial" w:eastAsia="Arial" w:hAnsi="Arial"/>
          <w:sz w:val="18"/>
          <w:szCs w:val="18"/>
          <w:color w:val="auto"/>
        </w:rPr>
        <w:t>. Our amended and restated certificate of incorporation provides that all stockholder actions are required to be taken</w:t>
      </w:r>
      <w:r>
        <w:rPr>
          <w:rFonts w:ascii="Arial" w:cs="Arial" w:eastAsia="Arial" w:hAnsi="Arial"/>
          <w:sz w:val="18"/>
          <w:szCs w:val="18"/>
          <w:i w:val="1"/>
          <w:iCs w:val="1"/>
          <w:color w:val="auto"/>
        </w:rPr>
        <w:t xml:space="preserve"> </w:t>
      </w:r>
      <w:r>
        <w:rPr>
          <w:rFonts w:ascii="Arial" w:cs="Arial" w:eastAsia="Arial" w:hAnsi="Arial"/>
          <w:sz w:val="18"/>
          <w:szCs w:val="18"/>
          <w:color w:val="auto"/>
        </w:rPr>
        <w:t>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Meetings of stockholders</w:t>
      </w:r>
      <w:r>
        <w:rPr>
          <w:rFonts w:ascii="Arial" w:cs="Arial" w:eastAsia="Arial" w:hAnsi="Arial"/>
          <w:sz w:val="18"/>
          <w:szCs w:val="18"/>
          <w:color w:val="auto"/>
        </w:rPr>
        <w:t>. Our amended and restated by-laws provide that only a majority of the members of our board of directors then in office may</w:t>
      </w:r>
      <w:r>
        <w:rPr>
          <w:rFonts w:ascii="Arial" w:cs="Arial" w:eastAsia="Arial" w:hAnsi="Arial"/>
          <w:sz w:val="18"/>
          <w:szCs w:val="18"/>
          <w:i w:val="1"/>
          <w:iCs w:val="1"/>
          <w:color w:val="auto"/>
        </w:rPr>
        <w:t xml:space="preserve"> </w:t>
      </w:r>
      <w:r>
        <w:rPr>
          <w:rFonts w:ascii="Arial" w:cs="Arial" w:eastAsia="Arial" w:hAnsi="Arial"/>
          <w:sz w:val="18"/>
          <w:szCs w:val="18"/>
          <w:color w:val="auto"/>
        </w:rPr>
        <w:t>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Advance notice requirements</w:t>
      </w:r>
      <w:r>
        <w:rPr>
          <w:rFonts w:ascii="Arial" w:cs="Arial" w:eastAsia="Arial" w:hAnsi="Arial"/>
          <w:sz w:val="16"/>
          <w:szCs w:val="16"/>
          <w:color w:val="auto"/>
        </w:rPr>
        <w:t>. Our amended and restated by-laws establish advance notice procedures with regard to stockholder proposals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Amendment to certificate of incorporation and by-laws</w:t>
      </w:r>
      <w:r>
        <w:rPr>
          <w:rFonts w:ascii="Arial" w:cs="Arial" w:eastAsia="Arial" w:hAnsi="Arial"/>
          <w:sz w:val="18"/>
          <w:szCs w:val="18"/>
          <w:color w:val="auto"/>
        </w:rPr>
        <w:t>. As required by the Delaware General Corporation Law, any amendment of our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amendment of the provisions relating to stockholder action, directors, limitation of liability and the amendment of our amended and restated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vote of the directors then in office, subject to any limitations set forth in the amended and restated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amended and restated certificate of incorporation provides for authorized shares of preferred stock. The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5280" w:val="left"/>
          <w:tab w:leader="none" w:pos="92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“ZFGN.”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Based on the number of shares of common stock outstanding as of February 28, 2014, upon completion of this offering, shares of common stock will be outstanding, assuming no exercise of the underwriter’s over-allotment option and no exercise of options. All of the shares sold in this offering will be freely tradable. The remaining shares of common stock outstanding after this offering will be restricted as a result of securities laws or lock-up agreements as described below. Following the expiration of the lock-up period, all shares will be eligible for resale in compliance with Rule 144 or Rule 701 under the Securities Act. “Restricted securities” as defined under Rule 144 of the Securities Act were issued and sold by us in reliance on exemptions from the registration requirements of the Securities Act. These shares may be sold in the public market only if registered or qualified for an exemption from registration, such as under Rule 144 or Rule 701 under the Securities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general, under Rule 144 under the Securities Act of 1933, as in effect on the date of this prospectus, a person who is one of our affiliates and has beneficially owned shares of our common stock for at least six months would be entitled to sell within any three-month period a number of shares that does not exceed the greater of:</w:t>
      </w:r>
    </w:p>
    <w:p>
      <w:pPr>
        <w:spacing w:after="0" w:line="87" w:lineRule="exact"/>
        <w:rPr>
          <w:sz w:val="20"/>
          <w:szCs w:val="20"/>
          <w:color w:val="auto"/>
        </w:rPr>
      </w:pPr>
    </w:p>
    <w:p>
      <w:pPr>
        <w:ind w:left="900" w:right="1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 percent of the number of shares of common stock then outstanding, which will equal approximately shares immediately after the completion of this offering; or</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manner of sale provisions and notice requirements and to the availability of current public information about us. For a person who has not been deemed to have been one of our affiliates at any time during the 90 days preceding a sale, sales of our securities held longer than six months, but less than one year, will be subject only to the current public information requirement.</w:t>
      </w:r>
    </w:p>
    <w:p>
      <w:pPr>
        <w:spacing w:after="0" w:line="18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general, under Rule 144 under the Securities Act, as in effect on the date of this prospectus, a person who is not deemed to have been one of our affiliates at any time during the 90 days preceding a sale, and who has beneficially owned the shares proposed to be sold for at least six months, including the holding period of any prior owner other than an affiliate, is entitled to sell the shares without complying with the manner of sale, volume limitation or notice provisions of Rule 144, and will be subject only to the public information requirements of Rule 144. If such a person has beneficially owned the shares proposed to be sold for at least one year, including the holding period of any prior owner other than our affiliates, then such person is entitled to sell such</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shares without complying with any of the requirements of Rule 144. shares of our common stock will qualify for resale under Rule 144 within 180 days of the date of this prospectus, subject to the lock-up agreements as described under “Lock-up Agreements” below and under “Underwriting” in this prospectus, and to the extent such shares have been released from any repurchase option that we may hold.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Rule 701 under the Securities Act, or Rule 701, as in effect on the date of this prospectus, permits resales of shares in reliance upon Rule 144 but without compliance with certain restrictions of Rule 144, including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connection with this offering, we, each of our directors and executive officers, and holders holding agreed that, subject to limited exceptions, which include: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outstanding stock have</w:t>
      </w:r>
    </w:p>
    <w:p>
      <w:pPr>
        <w:spacing w:after="0" w:line="369" w:lineRule="exact"/>
        <w:rPr>
          <w:sz w:val="20"/>
          <w:szCs w:val="20"/>
          <w:color w:val="auto"/>
        </w:rPr>
      </w:pPr>
    </w:p>
    <w:p>
      <w:pPr>
        <w:sectPr>
          <w:pgSz w:w="11900" w:h="16838" w:orient="portrait"/>
          <w:cols w:equalWidth="0" w:num="2">
            <w:col w:w="8040" w:space="720"/>
            <w:col w:w="2620"/>
          </w:cols>
          <w:pgMar w:left="240" w:top="459" w:right="279" w:bottom="1440" w:gutter="0" w:footer="0" w:header="0"/>
          <w:type w:val="continuous"/>
        </w:sect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sales of securities acquired in open market transactions after the completion of this offering,</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transfers of securities (i) as a bona fide gift or gifts or (ii) by will or intestacy to the legal representative, heir, beneficiary or a member of the immediate family of the undersigned in a transaction not involving a disposition for value,</w:t>
      </w:r>
    </w:p>
    <w:p>
      <w:pPr>
        <w:spacing w:after="0" w:line="75"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holder is an individual, transfers of shares of our common stock or any security convertible into our common stock to any trust for the benefit of the holder or the immediate family of the undersigned, or limited partnerships the partners of which are the holder and/or the immediate family members of the holder, in each case for estate planning purposes,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holder is a trust, distributions of shares of our common stock or any security convertible into our common stock to its beneficiaries in a transaction not involving a disposition for value,</w:t>
      </w:r>
    </w:p>
    <w:p>
      <w:pPr>
        <w:spacing w:after="0" w:line="75"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holder is a corporation, limited liability company, partnership or other entity, distribution of shares of our common stock or any security convertible into our common stock to members, stockholders, limited partners, subsidiaries or affiliates (as defined in Rule 405 promulgated under the Securities Act of 1933, as amended) of the holder or to any investment fund or other entity that controls or manages the holder in a transaction not involving a disposition for value,</w:t>
      </w:r>
    </w:p>
    <w:p>
      <w:pPr>
        <w:spacing w:after="0" w:line="92"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by the holder of shares of our common stock in connection with the conversion of our outstanding preferred stock into shares of our common stock,</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securities upon termination of service of the holder,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by the holder from us of shares of our common stock upon the exercise of options,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establishment of a trading plan that satisfies the requirements of Rule 10b5-1 under the Exchange Act for the transfer of shares of our common stock,</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without the prior written consent of Leerink Partners LLC and Cowen and Company, LLC on behalf of the underwriters, we and they will not, during the period ending 180 days after the date of this prospectus,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(2) enter into any swap or other arrangement that transfers, in whole or in part, any of the economic consequences of ownership of our common stock or such other securities, whether any such transaction is to be settled by delivery of our common stock or such other securities, in cash or otherwise or</w:t>
      </w:r>
    </w:p>
    <w:p>
      <w:pPr>
        <w:spacing w:after="0" w:line="1" w:lineRule="exact"/>
        <w:rPr>
          <w:sz w:val="20"/>
          <w:szCs w:val="20"/>
          <w:color w:val="auto"/>
        </w:rPr>
      </w:pPr>
    </w:p>
    <w:p>
      <w:pPr>
        <w:ind w:right="74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our common stock or any security convertible into or exercisable or exchangeable for our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7040" w:val="left"/>
        </w:tabs>
        <w:rPr>
          <w:sz w:val="20"/>
          <w:szCs w:val="20"/>
          <w:color w:val="auto"/>
        </w:rPr>
      </w:pPr>
      <w:r>
        <w:rPr>
          <w:rFonts w:ascii="Arial" w:cs="Arial" w:eastAsia="Arial" w:hAnsi="Arial"/>
          <w:sz w:val="18"/>
          <w:szCs w:val="18"/>
          <w:color w:val="auto"/>
        </w:rPr>
        <w:t>We are party to an investor rights agreement which provides that holders holding</w:t>
      </w:r>
      <w:r>
        <w:rPr>
          <w:sz w:val="20"/>
          <w:szCs w:val="20"/>
          <w:color w:val="auto"/>
        </w:rPr>
        <w:tab/>
      </w:r>
      <w:r>
        <w:rPr>
          <w:rFonts w:ascii="Arial" w:cs="Arial" w:eastAsia="Arial" w:hAnsi="Arial"/>
          <w:sz w:val="16"/>
          <w:szCs w:val="16"/>
          <w:color w:val="auto"/>
        </w:rPr>
        <w:t>shares of our redeemable convertible preferred stock have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right to demand that we file a registration statement or request that their shares of our common stock be covered by a registration statement that we are otherwise filing. See “Description of Capital Stock—Registration Rights” in this prospectus. Except for shares purchased by affiliates, registration of their shares under the Securities Act would result in these shares becoming freely tradable without restriction under the Securities Act immediately upon effectiveness of the registration, subject to the expiration of the lock-up period described above and under “Underwriting” in this prospectus, and to the extent such shares have been released from any repurchase option that we may hold.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soon as practicable after the completion of this offering, we intend to file a Form S-8 registration statement under the Securities Act to register shares of our common stock subject to options outstanding or reserved for issuance under our stock plans. This registration statement will become effective immediately upon filing, and shares covered by this registration statement will thereupon be eligible for sale in the public markets, subject to Rule 144 limitations applicable to affiliates and any lock-up agreements. For a more complete discussion of our stock plans, see “Executive and Director Compensation —Stock Option Plans.”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HOLDERS</w:t>
      </w:r>
    </w:p>
    <w:p>
      <w:pPr>
        <w:spacing w:after="0" w:line="21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is a general discussion of certain material U.S. federal income and estate tax considerations relating to ownership and disposition of our common stock by a non-U.S. holder. For purposes of this discussion, the term “non-U.S. holder” means a beneficial owner of our common stock that is not, for U.S. federal income tax purposes:</w:t>
      </w:r>
    </w:p>
    <w:p>
      <w:pPr>
        <w:spacing w:after="0" w:line="87"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U.S. persons (as defined in the Code) have authority to control all substantial decisions of the trust or if the trust has a valid election in effect to be treated as a U.S. person under applicable U.S. Treasury Regulations.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modified definition of “non-U.S. holder” applies for U.S. federal estate tax purposes (as discussed below).</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In addition, the Internal Revenue Service, or the IRS, could challenge one or more of the tax consequences described in this prospectus.</w:t>
      </w:r>
    </w:p>
    <w:p>
      <w:pPr>
        <w:spacing w:after="0" w:line="17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assume in this discussion that each non-U.S. holder holds shares of our common stock as a capital asset (generally, property held for investment) within the meaning of Section 1221 of the Code. This discussion does not address all aspects of U.S. federal income and estate taxation that may be relevant to a particular non-U.S. holder in light of that non-U.S. holder’s individual circumstances nor does it address any aspects of state, local or non-U.S. taxes, or U.S. federal taxes other than income and estate taxes.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subject to the unearned income Medicare contribution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subject to the alternative minimum tax;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and the activities of the partner and the partnership. A person treated as a partner in a partnership or who holds their stock through another transparent entity should consult his, her or its own tax advisor regarding the tax consequences of the ownership and disposition of our common stock through a partnership or other transparent entity, as applicable.</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local and non-U.S. income and other tax considerations of acquiring, holding and disposing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do not currently expect to pay dividends. See “Dividend Policy” above in this prospectus. However, in the event that we do pay distributions of cash or property on our common stock (or in the case of certain redemptions that are treated as distributions with respect to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under the heading “Gain on Sale, Exchange or Other Taxable Disposition of Common Stock.”</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also to the discussions below under the headings “Information Reporting and Backup Withholding Tax”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determine, at a time reasonably close to the date of payment of a distribution on our common stock, that the distribution will not constitute a dividend because we do not anticipate having current or accumulated earnings and profits, we intend not to withhold any U.S. federal income tax on the distribution as permitted by U.S. Treasury Regulations. If we or another withholding agent apply over-withholding, a non-U.S. holder may be entitled to a refund or credit of any excess tax withheld by timely filing an appropriate claim with the IRS.</w:t>
      </w:r>
    </w:p>
    <w:p>
      <w:pPr>
        <w:spacing w:after="0" w:line="18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us with a properly executed original and unexpired IRS Form W-8ECI properly certifying such exemption.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successor form) and satisfy applicable certification and other requirements. Non-U.S. holders are urged to consult their own tax advisors regarding their entitlement to benefits under a relevant income tax treaty.</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Common Stock</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Tax” and “Foreign Account Tax Compliance Act,” a non-U.S. holder generally will not be subject to U.S. federal income tax or withholding tax on gain recognized on a sale, exchange or other taxable disposition of our common stock (other than a redemption that is treated as a distribution for U.S. federal income tax purposes and taxed as described above) unless:</w:t>
      </w:r>
    </w:p>
    <w:p>
      <w:pPr>
        <w:spacing w:after="0" w:line="92" w:lineRule="exact"/>
        <w:rPr>
          <w:sz w:val="20"/>
          <w:szCs w:val="20"/>
          <w:color w:val="auto"/>
        </w:rPr>
      </w:pPr>
    </w:p>
    <w:p>
      <w:pPr>
        <w:ind w:left="900" w:right="160" w:hanging="325"/>
        <w:spacing w:after="0" w:line="25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U.S. persons, and, if the non-U.S. holder is a foreign corporation, an additional branch profits tax at a rate of 30%, or a lower rate as may be specified by an applicable income tax treaty, may also apply;</w:t>
      </w:r>
    </w:p>
    <w:p>
      <w:pPr>
        <w:spacing w:after="0" w:line="93"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the disposition and certain other conditions are met, in which case the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 or</w:t>
      </w:r>
    </w:p>
    <w:p>
      <w:pPr>
        <w:spacing w:after="0" w:line="92" w:lineRule="exact"/>
        <w:rPr>
          <w:rFonts w:ascii="Arial" w:cs="Arial" w:eastAsia="Arial" w:hAnsi="Arial"/>
          <w:sz w:val="18"/>
          <w:szCs w:val="18"/>
          <w:color w:val="auto"/>
        </w:rPr>
      </w:pPr>
    </w:p>
    <w:p>
      <w:pPr>
        <w:ind w:left="900" w:hanging="325"/>
        <w:spacing w:after="0" w:line="272"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are or were a “U.S. real property holding corporation” during a certain look-back period, unless our common stock is regularly traded on an established securities market and the non-U.S. holder held no more than five percent of our outstanding common stock, directly or indirectly, during the shorter of the five-year period ending on the date of the disposition or the period that the non-U.S. holder held our common stock.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have not been and are not currently, and we do not anticipate becoming, a “U.S. real property holding corporation” for U.S. federal income tax purposes.</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these exceptions do not apply, gain on the disposition of shares of our common stock will generally be taxed in the same manner as gain that is effectively connected with the conduct of a U.S. trade or business, except that the branch profits tax will not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may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otherwise meets documentary evidence requirements for establishing that it is a non-U.S. holder, or otherwise establishes an exemption.</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Legislation commonly referred to as the Foreign Account Tax Compliance Act and associated guidance, or collectively, FATCA, will generally impose a 30% withholding tax on any “withholdable payment” (as defined below) to a “foreign financial institution,”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certain circumstances, a non-U.S. holder might be eligible for refunds or credits of such taxes.</w:t>
      </w:r>
    </w:p>
    <w:p>
      <w:pPr>
        <w:spacing w:after="0" w:line="18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Under final regulations and other current guidance, “withholdable payments” will generally include dividends on our common stock paid on or after July 1, 2014 and the gross proceeds of a disposition of our common stock paid on or after January 1, 2017. The FATCA withholding tax will apply regardless of whether a payment would otherwise be exempt from or not subject to U.S. nonresident withholding tax (e.g., under the portfolio interest exemption or as capital gain). The IRS is authorized to provide, and has begun the process of providing, rules for coordinating the FATCA withholding regime with the existing nonresident withholding tax rules.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Common stock owned or treated as owned by an individual who is a non-U.S. holder (as specially defined for U.S. federal estate tax purposes) at the time of death will be included in the individual’s gross estate for U.S. federal estate tax purposes and, therefore, may be subject to U.S. federal estate tax, unless an applicable estate tax or other treaty provides otherwise.</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60"/>
          </w:cols>
          <w:pgMar w:left="24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Leerink Partners LLC and Cowen and Company,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840" w:type="dxa"/>
            <w:vAlign w:val="bottom"/>
          </w:tcPr>
          <w:p>
            <w:pPr>
              <w:jc w:val="center"/>
              <w:ind w:left="51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5560" w:type="dxa"/>
            <w:vAlign w:val="bottom"/>
            <w:vMerge w:val="continue"/>
          </w:tcPr>
          <w:p>
            <w:pPr>
              <w:spacing w:after="0"/>
              <w:rPr>
                <w:sz w:val="15"/>
                <w:szCs w:val="15"/>
                <w:color w:val="auto"/>
              </w:rPr>
            </w:pPr>
          </w:p>
        </w:tc>
        <w:tc>
          <w:tcPr>
            <w:tcW w:w="5840" w:type="dxa"/>
            <w:vAlign w:val="bottom"/>
          </w:tcPr>
          <w:p>
            <w:pPr>
              <w:jc w:val="center"/>
              <w:ind w:left="51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Leerink Partners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5715</wp:posOffset>
            </wp:positionV>
            <wp:extent cx="4457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The underwriters are committed to purchase all the common shares offered by us if they purchase any shares. The underwriting agreement also</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provides that if an underwriter defaults, the purchase commitments of non-defaulting underwriters may also be increased or the offering may be terminated.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35"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prospectus and to certain dealers at that price less a concession not in excess of $</w:t>
      </w:r>
      <w:r>
        <w:rPr>
          <w:sz w:val="20"/>
          <w:szCs w:val="20"/>
          <w:color w:val="auto"/>
        </w:rPr>
        <w:tab/>
      </w:r>
      <w:r>
        <w:rPr>
          <w:rFonts w:ascii="Arial" w:cs="Arial" w:eastAsia="Arial" w:hAnsi="Arial"/>
          <w:sz w:val="16"/>
          <w:szCs w:val="16"/>
          <w:color w:val="auto"/>
        </w:rPr>
        <w:t>per share. Any such dealers may resell shares to certain other brokers or</w:t>
      </w:r>
    </w:p>
    <w:p>
      <w:pPr>
        <w:spacing w:after="0" w:line="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dealers at a discount of up to $ per share from the initial public offering price. After the initial public offering of the shares, the offering price and other selling terms may be changed by the underwriters. Sales of shares made outside of the United States may be made by affiliates of the underwriters.</w:t>
      </w:r>
    </w:p>
    <w:p>
      <w:pPr>
        <w:spacing w:after="0" w:line="1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With full</w:t>
            </w:r>
          </w:p>
        </w:tc>
      </w:tr>
      <w:tr>
        <w:trPr>
          <w:trHeight w:val="149"/>
        </w:trPr>
        <w:tc>
          <w:tcPr>
            <w:tcW w:w="5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over-allotment</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over-allotment</w:t>
            </w:r>
          </w:p>
        </w:tc>
      </w:tr>
      <w:tr>
        <w:trPr>
          <w:trHeight w:val="171"/>
        </w:trPr>
        <w:tc>
          <w:tcPr>
            <w:tcW w:w="5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exercise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exercise</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04"/>
        </w:trPr>
        <w:tc>
          <w:tcPr>
            <w:tcW w:w="11420" w:type="dxa"/>
            <w:vAlign w:val="bottom"/>
            <w:gridSpan w:val="6"/>
          </w:tcPr>
          <w:p>
            <w:pPr>
              <w:ind w:left="460"/>
              <w:spacing w:after="0"/>
              <w:rPr>
                <w:sz w:val="20"/>
                <w:szCs w:val="20"/>
                <w:color w:val="auto"/>
              </w:rPr>
            </w:pPr>
            <w:r>
              <w:rPr>
                <w:rFonts w:ascii="Arial" w:cs="Arial" w:eastAsia="Arial" w:hAnsi="Arial"/>
                <w:sz w:val="18"/>
                <w:szCs w:val="18"/>
                <w:color w:val="auto"/>
                <w:w w:val="92"/>
              </w:rPr>
              <w:t>We estimate that the total expenses of this offering, including registration, filing and listing fees, printing fees and legal and accounting expenses, but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4"/>
              </w:rPr>
              <w:t>excluding the underwriting discounts and commissions, will be approximately $</w:t>
            </w:r>
          </w:p>
        </w:tc>
        <w:tc>
          <w:tcPr>
            <w:tcW w:w="2400" w:type="dxa"/>
            <w:vAlign w:val="bottom"/>
          </w:tcPr>
          <w:p>
            <w:pPr>
              <w:jc w:val="right"/>
              <w:ind w:right="209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Leerink Partners LLC and Cowen and Company,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8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directors and executive officers, and certain of our significant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Leerink Partners LLC and Cowen and Company,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We have agreed to indemnify the underwriters against certain liabilities, including liabilities under the Securities Act of 1933.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“ZFGN”.</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7"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from and including the date on which the European Union Prospectus Directive (the “EU Prospectus Directive”) was implemented in that Relevant Member State (the “Relevant Implementation Date”) an offer of securities described in this prospectus may not be made to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Directive, except that, with effect from and including the Relevant Implementation Date, an offer of securities described in this prospectus may be made to the public in that Relevant Member State at any time:</w:t>
      </w:r>
    </w:p>
    <w:p>
      <w:pPr>
        <w:spacing w:after="0" w:line="77"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Directive;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EU Prospectus Directive); or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any other circumstances falling within Article 3(2) of the EU Prospectus Directive, provided that no such offer of securities described in this prospectus shall result in a requirement for the publication by us of a prospectus pursuant to Article 3 of the EU Prospectus Directive.</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Member State. The expression “EU Prospectus Directive” means Directive 2003/71/EC (and any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validity of the common stock offered hereby will be passed upon for us by Goodwin Procter LLP, Boston, Massachusetts and for the underwriters by Ropes &amp; Gray LLP, Boston, Massachusetts.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financial statements as of December 31, 2013 and 2012 and for each of the three years in the period ended December 31, 2013 and, cumulatively, for the period from November 22, 2005 (date of inception) to December 31, 2013 included in this prospectus have been so included in reliance on the report of PricewaterhouseCoopers LLP, an independent registered public accounting firm, given on the authority of said firm as experts in auditing and accounting.</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that registers the shares of our common stock to be sold in this offering. This prospectus does not contain all of the information set forth in the registration statement and the exhibits and schedules filed as part of the registration statement. For further information with respect to us and our common stock, we refer you to the registration statement and the exhibits and schedules filed as a part of the registration statement. Statements contained in this prospectus concerning the contents of any contract or any other document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The reports and other information we file with the SEC can be read and copied at the SEC’s Public Reference Room at 100 F Street, NE, Washington D.C. 20549. Copies of these materials can be obtained at prescribed rates from the Public Reference Section of the SEC at the principal offices of the SEC, 100 F Street, NE, Washington D.C. 20549. You may obtain information regarding the operation of the public reference room by calling 1(800) SEC-0330. The SEC also maintains a web site (http://www.sec.gov) that contains reports, proxy and information statements and other information regarding issuers like us that file electronically with the SEC.</w:t>
      </w:r>
    </w:p>
    <w:p>
      <w:pPr>
        <w:spacing w:after="0" w:line="18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Upon completion of this offering, we will become subject to the reporting and information requirements of the Exchange Act and, as a result, will file periodic reports, proxy statements and other information with the SEC. These periodic reports, proxy statements and other information will be available for inspection and copying at the SEC’s public reference room and the web site of the SEC referred to above.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960" w:type="dxa"/>
            <w:vAlign w:val="bottom"/>
            <w:gridSpan w:val="7"/>
          </w:tcPr>
          <w:p>
            <w:pPr>
              <w:spacing w:after="0" w:line="190" w:lineRule="exact"/>
              <w:rPr>
                <w:rFonts w:ascii="Arial" w:cs="Arial" w:eastAsia="Arial" w:hAnsi="Arial"/>
                <w:sz w:val="18"/>
                <w:szCs w:val="18"/>
                <w:color w:val="0000EE"/>
              </w:rPr>
            </w:pPr>
            <w:hyperlink w:anchor="page149">
              <w:r>
                <w:rPr>
                  <w:rFonts w:ascii="Arial" w:cs="Arial" w:eastAsia="Arial" w:hAnsi="Arial"/>
                  <w:sz w:val="18"/>
                  <w:szCs w:val="18"/>
                  <w:color w:val="0000EE"/>
                </w:rPr>
                <w:t>Report of Independent Registered Public Accounting Firm</w:t>
              </w:r>
            </w:hyperlink>
          </w:p>
        </w:tc>
        <w:tc>
          <w:tcPr>
            <w:tcW w:w="23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474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8960" w:type="dxa"/>
            <w:vAlign w:val="bottom"/>
            <w:gridSpan w:val="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Operations and Comprehensive Loss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8960" w:type="dxa"/>
            <w:vAlign w:val="bottom"/>
            <w:gridSpan w:val="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Redeemable Convertible Preferred Stock and Stockholders’ Deficit</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Consolidated Statements of Cash Flows</w:t>
              </w:r>
            </w:hyperlink>
          </w:p>
        </w:tc>
        <w:tc>
          <w:tcPr>
            <w:tcW w:w="4000" w:type="dxa"/>
            <w:vAlign w:val="bottom"/>
            <w:tcBorders>
              <w:top w:val="single" w:sz="8" w:color="0000EE"/>
            </w:tcBorders>
            <w:gridSpan w:val="4"/>
          </w:tcPr>
          <w:p>
            <w:pPr>
              <w:spacing w:after="0"/>
              <w:rPr>
                <w:sz w:val="17"/>
                <w:szCs w:val="17"/>
                <w:color w:val="auto"/>
              </w:rPr>
            </w:pPr>
          </w:p>
        </w:tc>
        <w:tc>
          <w:tcPr>
            <w:tcW w:w="208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8960" w:type="dxa"/>
            <w:vAlign w:val="bottom"/>
            <w:gridSpan w:val="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Notes to Consolidated Financial Statements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80" w:type="dxa"/>
            <w:vAlign w:val="bottom"/>
            <w:gridSpan w:val="2"/>
          </w:tcPr>
          <w:p>
            <w:pPr>
              <w:ind w:left="900"/>
              <w:spacing w:after="0"/>
              <w:rPr>
                <w:sz w:val="20"/>
                <w:szCs w:val="20"/>
                <w:color w:val="auto"/>
              </w:rPr>
            </w:pPr>
            <w:r>
              <w:rPr>
                <w:rFonts w:ascii="Arial" w:cs="Arial" w:eastAsia="Arial" w:hAnsi="Arial"/>
                <w:sz w:val="18"/>
                <w:szCs w:val="18"/>
                <w:color w:val="auto"/>
              </w:rPr>
              <w:t>F-1</w:t>
            </w:r>
          </w:p>
        </w:tc>
        <w:tc>
          <w:tcPr>
            <w:tcW w:w="2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loss, of redeemable convertible preferred stock and stockholders’ deficit and of cash flows present fairly, in all material respects, the financial position of Zafgen, Inc. and its subsidiaries (a development stage company) at December 31, 2013 and 2012, and the results of their operations and their cash flows for each of the three years in the period ended December 31, 2013 and, cumulatively, for the period from November 22, 2005 (date of inception) to December 31, 2013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vMerge w:val="restart"/>
          </w:tcPr>
          <w:p>
            <w:pPr>
              <w:jc w:val="right"/>
              <w:ind w:right="11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gridSpan w:val="7"/>
            <w:vMerge w:val="continue"/>
          </w:tcPr>
          <w:p>
            <w:pPr>
              <w:spacing w:after="0"/>
              <w:rPr>
                <w:sz w:val="6"/>
                <w:szCs w:val="6"/>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9,935</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35,517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389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incentive receivable</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1,617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10,324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37,358</w:t>
            </w: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Tax incentive receivable</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630</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Deferred offering costs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68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10,986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38,138</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1,231</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2,015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7"/>
                <w:szCs w:val="17"/>
                <w:color w:val="auto"/>
              </w:rPr>
              <w:t>Accrued expenses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2,930</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2,915</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Pr>
          <w:p>
            <w:pPr>
              <w:ind w:left="680"/>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2,915</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tcPr>
          <w:p>
            <w:pPr>
              <w:spacing w:after="0" w:line="185" w:lineRule="exact"/>
              <w:rPr>
                <w:sz w:val="20"/>
                <w:szCs w:val="20"/>
                <w:color w:val="auto"/>
              </w:rPr>
            </w:pPr>
            <w:r>
              <w:rPr>
                <w:rFonts w:ascii="Arial" w:cs="Arial" w:eastAsia="Arial" w:hAnsi="Arial"/>
                <w:sz w:val="17"/>
                <w:szCs w:val="17"/>
                <w:color w:val="auto"/>
              </w:rPr>
              <w:t>Redeemable convertible preferred stock (Series A, B, C, D and E), $0.001 par value; 78,372,931 and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7"/>
                <w:szCs w:val="17"/>
                <w:color w:val="auto"/>
                <w:w w:val="97"/>
              </w:rPr>
              <w:t>99,292,610 shares authorized at December 31, 2012 and 2013, respectively; 73,991,017 and 94,483,404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7"/>
                <w:szCs w:val="17"/>
                <w:color w:val="auto"/>
              </w:rPr>
              <w:t>shares issued and outstanding at December 31, 2012 and 2013, respectively; aggregate liquidation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Arial" w:cs="Arial" w:eastAsia="Arial" w:hAnsi="Arial"/>
                <w:sz w:val="17"/>
                <w:szCs w:val="17"/>
                <w:color w:val="auto"/>
                <w:w w:val="98"/>
              </w:rPr>
              <w:t>preference of $104,588 at December 31, 2013; no shares issued or outstanding pro forma at December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7"/>
                <w:szCs w:val="17"/>
                <w:color w:val="auto"/>
              </w:rPr>
              <w:t>31, 2013 (unaudited)</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62,785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7"/>
                <w:szCs w:val="17"/>
                <w:color w:val="auto"/>
                <w:w w:val="87"/>
              </w:rPr>
              <w:t>103,797</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tcPr>
          <w:p>
            <w:pPr>
              <w:ind w:left="340"/>
              <w:spacing w:after="0" w:line="185" w:lineRule="exact"/>
              <w:rPr>
                <w:sz w:val="20"/>
                <w:szCs w:val="20"/>
                <w:color w:val="auto"/>
              </w:rPr>
            </w:pPr>
            <w:r>
              <w:rPr>
                <w:rFonts w:ascii="Arial" w:cs="Arial" w:eastAsia="Arial" w:hAnsi="Arial"/>
                <w:sz w:val="17"/>
                <w:szCs w:val="17"/>
                <w:color w:val="auto"/>
                <w:w w:val="97"/>
              </w:rPr>
              <w:t>Common stock, $0.001 par value; 100,000,000 and 115,000,000 shares authorized at December 2012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500"/>
              <w:spacing w:after="0"/>
              <w:rPr>
                <w:sz w:val="20"/>
                <w:szCs w:val="20"/>
                <w:color w:val="auto"/>
              </w:rPr>
            </w:pPr>
            <w:r>
              <w:rPr>
                <w:rFonts w:ascii="Arial" w:cs="Arial" w:eastAsia="Arial" w:hAnsi="Arial"/>
                <w:sz w:val="17"/>
                <w:szCs w:val="17"/>
                <w:color w:val="auto"/>
              </w:rPr>
              <w:t>and 2013, respectively; 4,622,336 and 4,580,669 shares issued and outstanding at December 31,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500"/>
              <w:spacing w:after="0"/>
              <w:rPr>
                <w:sz w:val="20"/>
                <w:szCs w:val="20"/>
                <w:color w:val="auto"/>
              </w:rPr>
            </w:pPr>
            <w:r>
              <w:rPr>
                <w:rFonts w:ascii="Arial" w:cs="Arial" w:eastAsia="Arial" w:hAnsi="Arial"/>
                <w:sz w:val="17"/>
                <w:szCs w:val="17"/>
                <w:color w:val="auto"/>
                <w:w w:val="98"/>
              </w:rPr>
              <w:t>2012 and 2013, respectively; 99,064,073 shares issued and outstanding pro forma at December 31,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tcPr>
          <w:p>
            <w:pPr>
              <w:ind w:left="500"/>
              <w:spacing w:after="0"/>
              <w:rPr>
                <w:sz w:val="20"/>
                <w:szCs w:val="20"/>
                <w:color w:val="auto"/>
              </w:rPr>
            </w:pPr>
            <w:r>
              <w:rPr>
                <w:rFonts w:ascii="Arial" w:cs="Arial" w:eastAsia="Arial" w:hAnsi="Arial"/>
                <w:sz w:val="17"/>
                <w:szCs w:val="17"/>
                <w:color w:val="auto"/>
              </w:rPr>
              <w:t>2013 (unaudited)</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40"/>
              <w:spacing w:after="0"/>
              <w:rPr>
                <w:sz w:val="20"/>
                <w:szCs w:val="20"/>
                <w:color w:val="auto"/>
              </w:rPr>
            </w:pPr>
            <w:r>
              <w:rPr>
                <w:rFonts w:ascii="Arial" w:cs="Arial" w:eastAsia="Arial" w:hAnsi="Arial"/>
                <w:sz w:val="17"/>
                <w:szCs w:val="17"/>
                <w:color w:val="auto"/>
              </w:rPr>
              <w:t>Deficit accumulated during the development stage</w:t>
            </w:r>
          </w:p>
        </w:tc>
        <w:tc>
          <w:tcPr>
            <w:tcW w:w="100" w:type="dxa"/>
            <w:vAlign w:val="bottom"/>
          </w:tcPr>
          <w:p>
            <w:pPr>
              <w:spacing w:after="0"/>
              <w:rPr>
                <w:sz w:val="17"/>
                <w:szCs w:val="17"/>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w w:val="91"/>
              </w:rPr>
              <w:t>(54,880)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w w:val="94"/>
              </w:rPr>
              <w:t>(68,907)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(68,907)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stockholders’ equity (deficit)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w w:val="91"/>
              </w:rPr>
              <w:t>(54,729)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4"/>
              </w:rPr>
              <w:t>(68,574)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68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10,986</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38,138</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Cumulative Period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3"/>
              </w:rPr>
              <w:t>Year Ended December 31,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From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vMerge w:val="restart"/>
          </w:tcPr>
          <w:p>
            <w:pPr>
              <w:jc w:val="center"/>
              <w:ind w:right="100"/>
              <w:spacing w:after="0" w:line="104" w:lineRule="exact"/>
              <w:rPr>
                <w:sz w:val="20"/>
                <w:szCs w:val="20"/>
                <w:color w:val="auto"/>
              </w:rPr>
            </w:pPr>
            <w:r>
              <w:rPr>
                <w:rFonts w:ascii="Arial" w:cs="Arial" w:eastAsia="Arial" w:hAnsi="Arial"/>
                <w:sz w:val="11"/>
                <w:szCs w:val="11"/>
                <w:b w:val="1"/>
                <w:bCs w:val="1"/>
                <w:color w:val="auto"/>
              </w:rPr>
              <w:t>(November 22, 2005)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00"/>
              <w:spacing w:after="0"/>
              <w:rPr>
                <w:sz w:val="20"/>
                <w:szCs w:val="20"/>
                <w:color w:val="auto"/>
              </w:rPr>
            </w:pPr>
            <w:r>
              <w:rPr>
                <w:rFonts w:ascii="Arial" w:cs="Arial" w:eastAsia="Arial" w:hAnsi="Arial"/>
                <w:sz w:val="13"/>
                <w:szCs w:val="13"/>
                <w:b w:val="1"/>
                <w:bCs w:val="1"/>
                <w:color w:val="auto"/>
              </w:rPr>
              <w:t>2013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December 31, 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2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11,403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11,544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13,791</w:t>
            </w:r>
          </w:p>
        </w:tc>
        <w:tc>
          <w:tcPr>
            <w:tcW w:w="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(13,154)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color w:val="auto"/>
              </w:rPr>
              <w:t>(13,791)</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(13,780)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(68,599)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Arial" w:cs="Arial" w:eastAsia="Arial" w:hAnsi="Arial"/>
                <w:sz w:val="16"/>
                <w:szCs w:val="16"/>
                <w:color w:val="auto"/>
              </w:rPr>
              <w:t>Foreign currency transaction gains (losses), net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expense, net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Net loss and comprehensive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(13,157)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color w:val="auto"/>
              </w:rPr>
              <w:t>(13,880)</w:t>
            </w:r>
          </w:p>
        </w:tc>
        <w:tc>
          <w:tcPr>
            <w:tcW w:w="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(14,027)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(68,828)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redeemable convertible preferred stock to redemption value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Net loss attributable to common stockholders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4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(13,210)</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6"/>
                <w:szCs w:val="16"/>
                <w:color w:val="auto"/>
              </w:rPr>
              <w:t>(13,947)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(14,240)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(69,382)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4,326,581</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w w:val="87"/>
              </w:rPr>
              <w:t>4,456,778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4,578,127</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 per share attributable to common stockholders, basic and diluted</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(unaudited)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 average common shares outstanding, basic and diluted (unaudited)</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84,189,565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line="407" w:lineRule="auto"/>
        <w:rPr>
          <w:sz w:val="20"/>
          <w:szCs w:val="20"/>
          <w:color w:val="auto"/>
        </w:rPr>
      </w:pPr>
      <w:r>
        <w:rPr>
          <w:rFonts w:ascii="Arial" w:cs="Arial" w:eastAsia="Arial" w:hAnsi="Arial"/>
          <w:sz w:val="18"/>
          <w:szCs w:val="18"/>
          <w:b w:val="1"/>
          <w:bCs w:val="1"/>
          <w:color w:val="auto"/>
        </w:rPr>
        <w:t>CONSOLIDATED STATEMENTS OF REDEEMABLE CONVERTIBLE PREFERRED STOCK AND STOCKHOLDERS’ DEFICIT (In thousands, except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80" w:type="dxa"/>
            <w:vAlign w:val="bottom"/>
            <w:tcBorders>
              <w:right w:val="single" w:sz="8" w:color="auto"/>
            </w:tcBorders>
            <w:gridSpan w:val="6"/>
          </w:tcPr>
          <w:p>
            <w:pPr>
              <w:jc w:val="center"/>
              <w:ind w:right="380"/>
              <w:spacing w:after="0"/>
              <w:rPr>
                <w:sz w:val="20"/>
                <w:szCs w:val="20"/>
                <w:color w:val="auto"/>
              </w:rPr>
            </w:pPr>
            <w:r>
              <w:rPr>
                <w:rFonts w:ascii="Arial" w:cs="Arial" w:eastAsia="Arial" w:hAnsi="Arial"/>
                <w:sz w:val="13"/>
                <w:szCs w:val="13"/>
                <w:b w:val="1"/>
                <w:bCs w:val="1"/>
                <w:color w:val="auto"/>
                <w:w w:val="89"/>
              </w:rPr>
              <w:t>Series A, B, C, D and 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80" w:type="dxa"/>
            <w:vAlign w:val="bottom"/>
            <w:tcBorders>
              <w:right w:val="single" w:sz="8" w:color="auto"/>
            </w:tcBorders>
            <w:gridSpan w:val="6"/>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80" w:type="dxa"/>
            <w:vAlign w:val="bottom"/>
            <w:tcBorders>
              <w:right w:val="single" w:sz="8" w:color="auto"/>
            </w:tcBorders>
            <w:gridSpan w:val="6"/>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w w:val="98"/>
              </w:rPr>
              <w:t>During the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920" w:type="dxa"/>
            <w:vAlign w:val="bottom"/>
            <w:tcBorders>
              <w:bottom w:val="single" w:sz="8" w:color="auto"/>
            </w:tcBorders>
            <w:gridSpan w:val="2"/>
          </w:tcPr>
          <w:p>
            <w:pPr>
              <w:jc w:val="center"/>
              <w:ind w:left="509"/>
              <w:spacing w:after="0" w:line="115" w:lineRule="exact"/>
              <w:rPr>
                <w:sz w:val="20"/>
                <w:szCs w:val="20"/>
                <w:color w:val="auto"/>
              </w:rPr>
            </w:pPr>
            <w:r>
              <w:rPr>
                <w:rFonts w:ascii="Arial" w:cs="Arial" w:eastAsia="Arial" w:hAnsi="Arial"/>
                <w:sz w:val="13"/>
                <w:szCs w:val="13"/>
                <w:b w:val="1"/>
                <w:bCs w:val="1"/>
                <w:color w:val="auto"/>
                <w:w w:val="84"/>
              </w:rPr>
              <w:t>Stock</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bottom w:val="single" w:sz="8" w:color="auto"/>
            </w:tcBorders>
            <w:gridSpan w:val="3"/>
          </w:tcPr>
          <w:p>
            <w:pPr>
              <w:ind w:left="340"/>
              <w:spacing w:after="0" w:line="115" w:lineRule="exact"/>
              <w:rPr>
                <w:sz w:val="20"/>
                <w:szCs w:val="20"/>
                <w:color w:val="auto"/>
              </w:rPr>
            </w:pPr>
            <w:r>
              <w:rPr>
                <w:rFonts w:ascii="Arial" w:cs="Arial" w:eastAsia="Arial" w:hAnsi="Arial"/>
                <w:sz w:val="13"/>
                <w:szCs w:val="13"/>
                <w:b w:val="1"/>
                <w:bCs w:val="1"/>
                <w:color w:val="auto"/>
                <w:w w:val="90"/>
              </w:rPr>
              <w:t>Common Stock</w:t>
            </w: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88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Development</w:t>
            </w:r>
          </w:p>
        </w:tc>
        <w:tc>
          <w:tcPr>
            <w:tcW w:w="120" w:type="dxa"/>
            <w:vAlign w:val="bottom"/>
          </w:tcPr>
          <w:p>
            <w:pPr>
              <w:spacing w:after="0"/>
              <w:rPr>
                <w:sz w:val="11"/>
                <w:szCs w:val="11"/>
                <w:color w:val="auto"/>
              </w:rPr>
            </w:pPr>
          </w:p>
        </w:tc>
        <w:tc>
          <w:tcPr>
            <w:tcW w:w="8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20" w:type="dxa"/>
            <w:vAlign w:val="bottom"/>
            <w:gridSpan w:val="2"/>
          </w:tcPr>
          <w:p>
            <w:pPr>
              <w:jc w:val="right"/>
              <w:ind w:right="400"/>
              <w:spacing w:after="0" w:line="143" w:lineRule="exact"/>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54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3"/>
              </w:rPr>
              <w:t>Amount</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3"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7"/>
              </w:rPr>
              <w:t>Par Value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80"/>
              <w:spacing w:after="0" w:line="143" w:lineRule="exact"/>
              <w:rPr>
                <w:sz w:val="20"/>
                <w:szCs w:val="20"/>
                <w:color w:val="auto"/>
              </w:rPr>
            </w:pPr>
            <w:r>
              <w:rPr>
                <w:rFonts w:ascii="Arial" w:cs="Arial" w:eastAsia="Arial" w:hAnsi="Arial"/>
                <w:sz w:val="13"/>
                <w:szCs w:val="13"/>
                <w:b w:val="1"/>
                <w:bCs w:val="1"/>
                <w:color w:val="auto"/>
              </w:rPr>
              <w:t>Stage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Inception (November 22, 2005)</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4,073,596</w:t>
            </w:r>
          </w:p>
        </w:tc>
        <w:tc>
          <w:tcPr>
            <w:tcW w:w="260" w:type="dxa"/>
            <w:vAlign w:val="bottom"/>
          </w:tcPr>
          <w:p>
            <w:pPr>
              <w:spacing w:after="0"/>
              <w:rPr>
                <w:sz w:val="12"/>
                <w:szCs w:val="12"/>
                <w:color w:val="auto"/>
              </w:rPr>
            </w:pPr>
          </w:p>
        </w:tc>
        <w:tc>
          <w:tcPr>
            <w:tcW w:w="5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common stock</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1,195,736</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223,130</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services rendered</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74,541</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Repurchase and retirement of common stock, at cost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(1,045,588)</w:t>
            </w:r>
          </w:p>
        </w:tc>
        <w:tc>
          <w:tcPr>
            <w:tcW w:w="26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A redeemable convertible preferred stock, net of issuance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$82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4,768,001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1,918</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line="130" w:lineRule="exact"/>
              <w:rPr>
                <w:sz w:val="20"/>
                <w:szCs w:val="20"/>
                <w:color w:val="auto"/>
              </w:rPr>
            </w:pPr>
            <w:r>
              <w:rPr>
                <w:rFonts w:ascii="Arial" w:cs="Arial" w:eastAsia="Arial" w:hAnsi="Arial"/>
                <w:sz w:val="14"/>
                <w:szCs w:val="14"/>
                <w:color w:val="auto"/>
              </w:rPr>
              <w:t>Conversion of promissory notes to Series A redeemable convertible preferred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stock</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595,238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ind w:left="260"/>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B redeemable convertible preferred stock, net of issuance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$111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36,741,738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27,630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line="130" w:lineRule="exact"/>
              <w:rPr>
                <w:sz w:val="20"/>
                <w:szCs w:val="20"/>
                <w:color w:val="auto"/>
              </w:rPr>
            </w:pPr>
            <w:r>
              <w:rPr>
                <w:rFonts w:ascii="Arial" w:cs="Arial" w:eastAsia="Arial" w:hAnsi="Arial"/>
                <w:sz w:val="14"/>
                <w:szCs w:val="14"/>
                <w:color w:val="auto"/>
              </w:rPr>
              <w:t>Conversion of promissory notes and accrued interest to Series B redeemable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convertible preferred stock</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842,497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ind w:left="260"/>
              <w:spacing w:after="0"/>
              <w:rPr>
                <w:sz w:val="20"/>
                <w:szCs w:val="20"/>
                <w:color w:val="auto"/>
              </w:rPr>
            </w:pPr>
            <w:r>
              <w:rPr>
                <w:rFonts w:ascii="Arial" w:cs="Arial" w:eastAsia="Arial" w:hAnsi="Arial"/>
                <w:sz w:val="14"/>
                <w:szCs w:val="14"/>
                <w:color w:val="auto"/>
              </w:rPr>
              <w:t>509</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160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Accretion of redeemable convertible preferred stock to redemption value</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(27,764)</w:t>
            </w: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2010</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42,947,474</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83"/>
              </w:rPr>
              <w:t>30,453</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4,521,415</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B redeemable convertible preferred stock, net of issuance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2,682,011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line="130" w:lineRule="exact"/>
              <w:rPr>
                <w:sz w:val="20"/>
                <w:szCs w:val="20"/>
                <w:color w:val="auto"/>
              </w:rPr>
            </w:pPr>
            <w:r>
              <w:rPr>
                <w:rFonts w:ascii="Arial" w:cs="Arial" w:eastAsia="Arial" w:hAnsi="Arial"/>
                <w:sz w:val="14"/>
                <w:szCs w:val="14"/>
                <w:color w:val="auto"/>
              </w:rPr>
              <w:t>Issuance of Series C redeemable convertible preferred stock, net of issuance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costs of $33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8,923,884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8,053</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Accretion of redeemable convertible preferred stock to redemption value</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(13,157)</w:t>
            </w: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2011</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54,553,369</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83"/>
              </w:rPr>
              <w:t>40,575</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4,521,415</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(40,916)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C redeemable convertible preferred stock, net of issuance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7,808,400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7,067</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line="130" w:lineRule="exact"/>
              <w:rPr>
                <w:sz w:val="20"/>
                <w:szCs w:val="20"/>
                <w:color w:val="auto"/>
              </w:rPr>
            </w:pPr>
            <w:r>
              <w:rPr>
                <w:rFonts w:ascii="Arial" w:cs="Arial" w:eastAsia="Arial" w:hAnsi="Arial"/>
                <w:sz w:val="14"/>
                <w:szCs w:val="14"/>
                <w:color w:val="auto"/>
              </w:rPr>
              <w:t>Issuance of Series D redeemable convertible preferred stock, net of issuance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costs of $54</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6,653,988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8,990</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promissory notes and accrued interest to Series D redeemable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4,975,260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6,086</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100,921</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121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Accretion of redeemable convertible preferred stock to redemption value</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(13,880)</w:t>
            </w: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2012</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73,991,017</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83"/>
              </w:rPr>
              <w:t>62,785</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4,622,336</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color w:val="auto"/>
                <w:w w:val="85"/>
              </w:rPr>
              <w:t>146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(54,880)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(54,729)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D redeemable convertible preferred stock, net of issuance</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4,381,914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5,955</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line="130" w:lineRule="exact"/>
              <w:rPr>
                <w:sz w:val="20"/>
                <w:szCs w:val="20"/>
                <w:color w:val="auto"/>
              </w:rPr>
            </w:pPr>
            <w:r>
              <w:rPr>
                <w:rFonts w:ascii="Arial" w:cs="Arial" w:eastAsia="Arial" w:hAnsi="Arial"/>
                <w:sz w:val="14"/>
                <w:szCs w:val="14"/>
                <w:color w:val="auto"/>
                <w:w w:val="94"/>
              </w:rPr>
              <w:t>Issuance of Series E redeemable convertible preferred stock, net of issuance costs</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of $156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16,110,473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34,844</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and retirement of common stock, at cost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(41,667)</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w w:val="85"/>
              </w:rPr>
              <w:t>395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redeemable convertible preferred stock to redemption value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213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94,483,404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4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103,797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4,580,669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328</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(68,907)</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Period From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3"/>
                <w:szCs w:val="13"/>
                <w:b w:val="1"/>
                <w:bCs w:val="1"/>
                <w:color w:val="auto"/>
                <w:w w:val="86"/>
              </w:rPr>
              <w:t>Year Ended December 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3"/>
            <w:vMerge w:val="restart"/>
          </w:tcPr>
          <w:p>
            <w:pPr>
              <w:jc w:val="center"/>
              <w:ind w:right="80"/>
              <w:spacing w:after="0" w:line="104" w:lineRule="exact"/>
              <w:rPr>
                <w:sz w:val="20"/>
                <w:szCs w:val="20"/>
                <w:color w:val="auto"/>
              </w:rPr>
            </w:pPr>
            <w:r>
              <w:rPr>
                <w:rFonts w:ascii="Arial" w:cs="Arial" w:eastAsia="Arial" w:hAnsi="Arial"/>
                <w:sz w:val="11"/>
                <w:szCs w:val="11"/>
                <w:b w:val="1"/>
                <w:bCs w:val="1"/>
                <w:color w:val="auto"/>
              </w:rPr>
              <w:t>(November 22,</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2005)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w w:val="87"/>
              </w:rPr>
              <w:t>(13,157)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w w:val="87"/>
              </w:rPr>
              <w:t>(13,880)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(14,027)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(68,828)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4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7"/>
                <w:szCs w:val="17"/>
                <w:color w:val="auto"/>
              </w:rPr>
            </w:pPr>
          </w:p>
        </w:tc>
        <w:tc>
          <w:tcPr>
            <w:tcW w:w="720" w:type="dxa"/>
            <w:vAlign w:val="bottom"/>
            <w:gridSpan w:val="2"/>
          </w:tcPr>
          <w:p>
            <w:pPr>
              <w:jc w:val="right"/>
              <w:ind w:right="157"/>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395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interest expense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40"/>
              <w:spacing w:after="0"/>
              <w:rPr>
                <w:sz w:val="20"/>
                <w:szCs w:val="20"/>
                <w:color w:val="auto"/>
              </w:rPr>
            </w:pPr>
            <w:r>
              <w:rPr>
                <w:rFonts w:ascii="Arial" w:cs="Arial" w:eastAsia="Arial" w:hAnsi="Arial"/>
                <w:sz w:val="16"/>
                <w:szCs w:val="16"/>
                <w:color w:val="auto"/>
              </w:rPr>
              <w:t>Depreciation expense</w:t>
            </w:r>
          </w:p>
        </w:tc>
        <w:tc>
          <w:tcPr>
            <w:tcW w:w="80" w:type="dxa"/>
            <w:vAlign w:val="bottom"/>
          </w:tcPr>
          <w:p>
            <w:pPr>
              <w:spacing w:after="0"/>
              <w:rPr>
                <w:sz w:val="17"/>
                <w:szCs w:val="17"/>
                <w:color w:val="auto"/>
              </w:rPr>
            </w:pPr>
          </w:p>
        </w:tc>
        <w:tc>
          <w:tcPr>
            <w:tcW w:w="720" w:type="dxa"/>
            <w:vAlign w:val="bottom"/>
            <w:gridSpan w:val="2"/>
          </w:tcPr>
          <w:p>
            <w:pPr>
              <w:jc w:val="right"/>
              <w:ind w:right="157"/>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Unrealized foreign currency transaction losses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640"/>
              <w:spacing w:after="0"/>
              <w:rPr>
                <w:sz w:val="20"/>
                <w:szCs w:val="20"/>
                <w:color w:val="auto"/>
              </w:rPr>
            </w:pPr>
            <w:r>
              <w:rPr>
                <w:rFonts w:ascii="Arial" w:cs="Arial" w:eastAsia="Arial" w:hAnsi="Arial"/>
                <w:sz w:val="16"/>
                <w:szCs w:val="16"/>
                <w:color w:val="auto"/>
              </w:rPr>
              <w:t>(Gain) loss on disposal of property and equipment</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Tax incentive receivable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20"/>
              <w:spacing w:after="0"/>
              <w:rPr>
                <w:sz w:val="20"/>
                <w:szCs w:val="20"/>
                <w:color w:val="auto"/>
              </w:rPr>
            </w:pPr>
            <w:r>
              <w:rPr>
                <w:rFonts w:ascii="Arial" w:cs="Arial" w:eastAsia="Arial" w:hAnsi="Arial"/>
                <w:sz w:val="16"/>
                <w:szCs w:val="16"/>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w w:val="87"/>
              </w:rPr>
              <w:t>(12,274)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w w:val="87"/>
              </w:rPr>
              <w:t>(13,589)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(15,004)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(67,335)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property and equipment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Deposits</w:t>
            </w: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7"/>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w w:val="98"/>
              </w:rPr>
              <w:t>10,069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16,057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40,799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Issuance of convertible promissory notes, net of issuance costs</w:t>
            </w:r>
          </w:p>
        </w:tc>
        <w:tc>
          <w:tcPr>
            <w:tcW w:w="80" w:type="dxa"/>
            <w:vAlign w:val="bottom"/>
          </w:tcPr>
          <w:p>
            <w:pPr>
              <w:spacing w:after="0"/>
              <w:rPr>
                <w:sz w:val="17"/>
                <w:szCs w:val="17"/>
                <w:color w:val="auto"/>
              </w:rPr>
            </w:pPr>
          </w:p>
        </w:tc>
        <w:tc>
          <w:tcPr>
            <w:tcW w:w="720" w:type="dxa"/>
            <w:vAlign w:val="bottom"/>
            <w:gridSpan w:val="2"/>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5,989</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Proceeds from exercise of common stock options</w:t>
            </w:r>
          </w:p>
        </w:tc>
        <w:tc>
          <w:tcPr>
            <w:tcW w:w="80" w:type="dxa"/>
            <w:vAlign w:val="bottom"/>
          </w:tcPr>
          <w:p>
            <w:pPr>
              <w:spacing w:after="0"/>
              <w:rPr>
                <w:sz w:val="17"/>
                <w:szCs w:val="17"/>
                <w:color w:val="auto"/>
              </w:rPr>
            </w:pPr>
          </w:p>
        </w:tc>
        <w:tc>
          <w:tcPr>
            <w:tcW w:w="720" w:type="dxa"/>
            <w:vAlign w:val="bottom"/>
            <w:gridSpan w:val="2"/>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common stock at cost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37"/>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320"/>
              <w:spacing w:after="0"/>
              <w:rPr>
                <w:sz w:val="20"/>
                <w:szCs w:val="20"/>
                <w:color w:val="auto"/>
              </w:rPr>
            </w:pPr>
            <w:r>
              <w:rPr>
                <w:rFonts w:ascii="Arial" w:cs="Arial" w:eastAsia="Arial" w:hAnsi="Arial"/>
                <w:sz w:val="16"/>
                <w:szCs w:val="16"/>
                <w:color w:val="auto"/>
              </w:rPr>
              <w:t>Payments of initial public offering costs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10,069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22,059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40,603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6"/>
                <w:szCs w:val="16"/>
                <w:color w:val="auto"/>
              </w:rPr>
              <w:t>(2,250)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8,468</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25,582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4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1,467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9,935</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35,517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60"/>
              <w:spacing w:after="0"/>
              <w:rPr>
                <w:sz w:val="20"/>
                <w:szCs w:val="20"/>
                <w:color w:val="auto"/>
              </w:rPr>
            </w:pPr>
            <w:r>
              <w:rPr>
                <w:rFonts w:ascii="Arial" w:cs="Arial" w:eastAsia="Arial" w:hAnsi="Arial"/>
                <w:sz w:val="16"/>
                <w:szCs w:val="16"/>
                <w:color w:val="auto"/>
              </w:rPr>
              <w:t>Accretion of redeemable convertible preferred stock to redemption values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57"/>
              <w:spacing w:after="0"/>
              <w:rPr>
                <w:sz w:val="20"/>
                <w:szCs w:val="20"/>
                <w:color w:val="auto"/>
              </w:rPr>
            </w:pPr>
            <w:r>
              <w:rPr>
                <w:rFonts w:ascii="Arial" w:cs="Arial" w:eastAsia="Arial" w:hAnsi="Arial"/>
                <w:sz w:val="16"/>
                <w:szCs w:val="16"/>
                <w:color w:val="auto"/>
              </w:rPr>
              <w:t>53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67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213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Conversion of convertible promissory notes and accrued interest to shares of redeemable convertible</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160"/>
              <w:spacing w:after="0"/>
              <w:rPr>
                <w:sz w:val="20"/>
                <w:szCs w:val="20"/>
                <w:color w:val="auto"/>
              </w:rPr>
            </w:pPr>
            <w:r>
              <w:rPr>
                <w:rFonts w:ascii="Arial" w:cs="Arial" w:eastAsia="Arial" w:hAnsi="Arial"/>
                <w:sz w:val="16"/>
                <w:szCs w:val="16"/>
                <w:color w:val="auto"/>
              </w:rPr>
              <w:t>Deferred offering costs included in accounts payable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37"/>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547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Zafgen, Inc. (the “Company”) (a development stage company) was incorporated on November 22, 2005 under the laws of the State of Delaware. The Company is a biopharmaceutical company dedicated to significantly improving the health and well-being of patients affected by obesity. Beloranib, the Company’s lead product candidate, is a novel, first-in-class, twice-weekly subcutaneous injection being developed for the treatment of multiple indications, including severe obesity in Prader-Willi Syndrome, craniopharyngioma-associated obesity, and severe obesity in the general population. Since its inception, the Company has devoted substantially all of its efforts to research and development, recruiting management, acquiring operating assets and raising capital. Accordingly, the Company is considered to be in the development stage.</w:t>
      </w:r>
    </w:p>
    <w:p>
      <w:pPr>
        <w:spacing w:after="0" w:line="178"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product candidates are all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consolidated financial statements have been prepared on the basis of continuity of operations, realization of assets and the satisfaction of liabilities in the ordinary course of business. The Company has experienced negative cash flows and has a deficit accumulated during the development stage of $68,907 as of December 31, 2013. The Company expects that its existing cash and cash equivalents as of December 31, 2013 will enable the Company to fund its operating expenses and capital expenditures requirements for at least twelve months. The future viability of the Company is largely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6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Company is seeking to complete an initial public offering of its common stock. Upon a successful qualified public offering with net proceeds of not less than $35,000, the Company’s outstanding redeemable convertible preferred stock will automatically convert into shares of common stock.</w:t>
      </w:r>
    </w:p>
    <w:p>
      <w:pPr>
        <w:spacing w:after="0" w:line="12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the event the Company does not complete an initial public offering,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Zafgen Securities Corporation, Zafgen Australia Pty Limited, and Zafgen Animal Health, LLC. All significant intercompany balances and transactions have been eliminated.</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December 31, 2013, the Company is considered a development stage enterprise. Until planned principal operations have commenced and significant revenue is generated, financial statements prepared in accordance with GAAP are required to report cumulative statements of operations and comprehensive loss, stockholders’ equity (deficit) and cash flows from date of inception of the company.</w:t>
      </w:r>
    </w:p>
    <w:p>
      <w:pPr>
        <w:spacing w:after="0" w:line="285" w:lineRule="exact"/>
        <w:rPr>
          <w:sz w:val="20"/>
          <w:szCs w:val="20"/>
          <w:color w:val="auto"/>
        </w:rPr>
      </w:pPr>
    </w:p>
    <w:p>
      <w:pPr>
        <w:ind w:right="7820" w:firstLine="8"/>
        <w:spacing w:after="0" w:line="378" w:lineRule="auto"/>
        <w:tabs>
          <w:tab w:leader="none" w:pos="1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00" w:firstLine="456"/>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common stock and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accompanying unaudited pro forma consolidated balance sheet as of December 31, 2013 has been prepared to give effect to the automatic conversion of all outstanding shares of redeemable convertible preferred stock into 99,064,073 shares of common stock as if the proposed initial public offering had occurred on December 31, 2013. In the accompanying consolidated statements of operations, unaudited pro forma basic and diluted net loss per share attributable to common stockholders for the year ended December 31, 2013 has been prepared to give effect to the automatic conversion of all outstanding shares of redeemable convertible preferred stock as if the proposed initial public offering had occurred on the later of January 1, 2013 or the issuance date of the redeemable convertible preferred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Cash equivalents, which consist of money market accounts, are stated at fair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has all cash and cash equivalents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8"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Company’s cash equivalents of $8,001 and $26,501 as of December 31, 2012 and 2013, respectively, were carried at fair value based on quoted prices in active markets, a Level 1 measurement. The carrying values of accounts payable and accrued expenses approximate their fair value due to the short-term nature of these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other assets until such financings are consummated. After consummation of the equity financing, these costs are recorded in stockholders’ equity (deficit) as a reduction of additional paid-in capital generated as a result of the offering or as a reduction to the carrying value of preferred stock issued, if such stock is classified outside of stockholders’ equity (deficit). As of December 31, 2013, the Company recorded $743 in deferred offering costs in the accompanying consolidated balance sheet in contemplation of a probable 2014 equity financing. Should the equity financing no longer be considered probable of being consummated, the deferred offering costs would be expensed immediately as a charge to operating expenses in the consolidated statement of operations. The Company did not record any deferred offering costs as of December 31, 2012.</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five-year estimated useful life for both furniture and fixtures and office equipment.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Research and development costs are expensed as incurred. Included in research and development expenses are wages, stock-based compensation and benefits of employees, third-party license fees and other operational costs related to the Company’s research and development activities, including facility-related expenses and external costs of outside vendors engaged to conduct both pre-clinical studies and clinical trials. The Company records research and development expenses net of any research and development tax incentives the Company is entitled to receive from government authorities.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at the fair value on the date of the grant using the Black-Scholes option-pricing model. The fair value of the awards is recognized as expense, net of estimated forfeitures, over the requisite service period, which is generally the vesting period of the respective award. The straight-line method of expense recognition is applied to all awards with service-only conditions.</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stock-based awards granted to consultants and nonemployees,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advancing novel therapeutics for patients suffering from severe obesity and obesity-related disorders. No revenue has been generated since inception, and all tangible assets are held in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2011, 2012 and 2013 and for the cumulative period from inception (November 22, 2005) through December 31, 2013, there was no difference between net loss and comprehensive loss.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income (loss) attributable to common stockholders to reallocate undistributed earnings based on the potential impact of dilutive securities, including outstanding stock options and unvested restricted common stock.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 and unvested restricted common stock.</w:t>
      </w:r>
    </w:p>
    <w:p>
      <w:pPr>
        <w:spacing w:after="0" w:line="18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2011, 2012 and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June 2011, the Financial Accounting Standards Board (“FASB”) issued an amendment to the accounting guidance for presentation of comprehensive income. Under the amended guidance, a company may present the total of comprehensive income, the components of net income, and the components of other comprehensive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either in a single continuous statement of comprehensive income or in two separate but consecutive statements. In either case, a company is required to present each component of net income along with total net income, each component of other comprehensive income along with a total for other comprehensive income, and a total amount for comprehensive income. The amendment is effective for fiscal years ending, and interim periods within those years, beginning after December 15, 2011, and is applied retrospectively. The Company adopted this amendment in the accompanying consolidated financial statements by presenting comprehensive loss in a single continuous statement along with net loss.</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as of December 31, 2012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0" w:type="dxa"/>
            <w:vAlign w:val="bottom"/>
          </w:tcPr>
          <w:p>
            <w:pPr>
              <w:spacing w:after="0"/>
              <w:rPr>
                <w:sz w:val="14"/>
                <w:szCs w:val="14"/>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2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10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10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7"/>
        </w:trPr>
        <w:tc>
          <w:tcPr>
            <w:tcW w:w="10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$ 32</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w:t>
            </w:r>
          </w:p>
        </w:tc>
      </w:tr>
      <w:tr>
        <w:trPr>
          <w:trHeight w:val="20"/>
        </w:trPr>
        <w:tc>
          <w:tcPr>
            <w:tcW w:w="10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Depreciation expense was $4, $11 and $12 for the years ended December 31, 2011, 2012 and 2013, respectively, and $42 for the period from inception (November 22, 2005) through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as of December 31, 2012 and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616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196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Accrued other</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7"/>
        </w:trPr>
        <w:tc>
          <w:tcPr>
            <w:tcW w:w="10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900</w:t>
            </w:r>
          </w:p>
        </w:tc>
      </w:tr>
      <w:tr>
        <w:trPr>
          <w:trHeight w:val="20"/>
        </w:trPr>
        <w:tc>
          <w:tcPr>
            <w:tcW w:w="10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2006, the Company issued promissory notes with a principal amount of $175. In August 2006, the Company and noteholders agreed to convert the outstanding principal into shares of the Company’s newly issued Series A redeemable convertible preferred stock at a price of $0.294 per share for a total of 595,238 shares (see Note 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July 2007, the Company issued a convertible promissory note with a principal amount of $500. The note accrued interest at an annual rate of 8%. If not converted prior to maturity, principal and interest were payable at the stated maturity date of December 31, 2007 or, at the election of the noteholder, could be converted into Series A redeemable convertible preferred stock at a per share price of $0.388. Effective upon the closing of a financing of at least $3,000 (a “Qualified Financing”), all of the outstanding principal and interest under the note automatically converted into shares of the same class and series of capital stock as issued to others in the Qualified Financing at a conversion price of 80% of the price per share of the capital stock issued in the Qualified Financing. The Qualified Financing occurred in October 2007, at which time principal and accrued interest of $509 was converted into 842,497 shares of Series B redeemable preferred stock at an issuance price of $0.60 per share.</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August and November 2012, the Company issued convertible promissory notes with a principal amount of $6,000. The notes accrued interest at an annual rate of 8% and, unless otherwise converted, were due one year from the issuance date. The notes were to be automatically converted into shares of a new class of preferred stock upon the sale by the Company of the new class of preferred stock yielding proceeds of at least $10,000 or, if the sale of the new class of preferred stock was for less than $10,000, the notes could be converted at the option of the noteholder at 90% of the price of the new series of preferred stock. In November 2012, upon the Company’s issuance of 6,653,988 shares of Series D redeemable convertible preferred stock for gross proceeds of $9,044 (see Note 6), the noteholders elected to convert the outstanding principal and accrued interest of $6,086 into 4,975,260 shares of Series D redeemable convertible preferred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31, 2013, the Company’s Certificate of Incorporation, as amended and restated, authorizes the Company to issue 99,292,610 shares of $0.001 par value preferred stock.</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has issued Series A, Series B, Series C, Series D and Series E redeemable convertible preferred stock (collectively, the “Redeemable Preferred Stock”). The Redeemable Preferred Stock is classified outside of stockholders’ equity (deficit) because the shares contain redemption features that are not solely within the control of the Company.</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During 2006 and 2007, the Company issued a total of 4,768,001 shares of Series A redeemable convertible preferred stock at an issuance price equal to $0.419463 per share and received gross proceeds of $2,000. In connection with these financings, the Company paid total issuance costs of $82. Additionally, in 2006, $175 of convertible promissory notes were converted into 595,238 shares of Series A redeemable convertible preferred stock (see Note 5).</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2007, 2008 and 2010, the Company issued a total of 36,741,738 shares of Series B redeemable convertible preferred stock at an issuance price equal to $0.75503 per share and received gross proceeds of $27,741. In connection with these financings, the Company paid total issuance costs of $111. Additionally, in 2007, a convertible promissory note of $500 and accrued interest of $9 were converted into 842,497 shares of Series B redeemable convertible preferred stock (see Note 5). In February 2011, the Company issued a total of 2,682,011 shares of Series B redeemable convertible preferred stock at an issuance price equal to $0.75503 per share and received gross proceeds of $2,025. In connection with this financing, the Company paid total issuance costs of $9.</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In June and December 2011, the Company issued a total of 8,923,884 shares of Series C redeemable convertible preferred stock at an issuance price equal to $0.9061 per share and received gross proceeds of $8,086. In connection with this financing, the Company paid total issuance costs of $33.</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 February 2012, the Company issued 7,808,400 shares of Series C redeemable convertible preferred stock at an issuance price equal to $0.9061 per share and received gross proceeds of $7,075. In connection with this financing, the Company paid total issuance costs of $8.</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November 2012, the Company issued 6,653,988 shares of Series D redeemable convertible preferred stock at an issuance price equal to $1.3592 per share and received gross proceeds of $9,044. In connection with this financing, the Company paid total issuance costs of $54. Additionally, in November 2012, $6,000 of convertible promissory notes and $86 of accrued interest were converted into 4,975,260 shares of Series D redeemable convertible preferred stock (see Note 5).</w:t>
      </w:r>
    </w:p>
    <w:p>
      <w:pPr>
        <w:spacing w:after="0" w:line="18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January 2013, the Company issued 4,381,914 shares of Series D redeemable convertible preferred stock at an issuance price equal to $1.3592 per share and received gross proceeds of $5,956. In connection with this financing, the Company paid total issuance costs of $1.</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In November 2013, the Company issued 16,110,473 shares of Series E redeemable convertible preferred stock at an issuance price equal to $2.1725 per share and received gross proceeds of $35,000. In connection with this financing, the Company paid total issuance costs of $156.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Redeemable Preferred Stock consisted of the following as of December 31,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Upon</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Authorized</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5,363,239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5,363,239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5,363,239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2640" w:type="dxa"/>
            <w:vAlign w:val="bottom"/>
            <w:gridSpan w:val="4"/>
          </w:tcPr>
          <w:p>
            <w:pPr>
              <w:jc w:val="right"/>
              <w:ind w:right="160"/>
              <w:spacing w:after="0"/>
              <w:rPr>
                <w:sz w:val="20"/>
                <w:szCs w:val="20"/>
                <w:color w:val="auto"/>
              </w:rPr>
            </w:pPr>
            <w:r>
              <w:rPr>
                <w:rFonts w:ascii="Arial" w:cs="Arial" w:eastAsia="Arial" w:hAnsi="Arial"/>
                <w:sz w:val="18"/>
                <w:szCs w:val="18"/>
                <w:color w:val="auto"/>
              </w:rPr>
              <w:t>40,266,246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40,266,246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30,335</w:t>
            </w:r>
          </w:p>
        </w:tc>
        <w:tc>
          <w:tcPr>
            <w:tcW w:w="20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7"/>
              </w:rPr>
              <w:t>40,266,246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2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16,732,284</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16,732,284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15,137</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16,732,284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6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16,011,162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11,629,248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15,091</w:t>
            </w:r>
          </w:p>
        </w:tc>
        <w:tc>
          <w:tcPr>
            <w:tcW w:w="2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11,629,248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78,372,931</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73,991,017</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63,629</w:t>
            </w: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62,785</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73,991,017</w:t>
            </w: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gridSpan w:val="6"/>
          </w:tcPr>
          <w:p>
            <w:pPr>
              <w:ind w:left="460"/>
              <w:spacing w:after="0"/>
              <w:rPr>
                <w:sz w:val="20"/>
                <w:szCs w:val="20"/>
                <w:color w:val="auto"/>
              </w:rPr>
            </w:pPr>
            <w:r>
              <w:rPr>
                <w:rFonts w:ascii="Arial" w:cs="Arial" w:eastAsia="Arial" w:hAnsi="Arial"/>
                <w:sz w:val="18"/>
                <w:szCs w:val="18"/>
                <w:color w:val="auto"/>
              </w:rPr>
              <w:t>Redeemable Preferred Stock consisted of the following as of December 31, 2013: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2"/>
                <w:szCs w:val="12"/>
                <w:color w:val="auto"/>
              </w:rPr>
            </w:pPr>
          </w:p>
        </w:tc>
        <w:tc>
          <w:tcPr>
            <w:tcW w:w="9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Authorized</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76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5,363,239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5,363,239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5,363,239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2840" w:type="dxa"/>
            <w:vAlign w:val="bottom"/>
            <w:gridSpan w:val="5"/>
          </w:tcPr>
          <w:p>
            <w:pPr>
              <w:jc w:val="right"/>
              <w:ind w:right="200"/>
              <w:spacing w:after="0"/>
              <w:rPr>
                <w:sz w:val="20"/>
                <w:szCs w:val="20"/>
                <w:color w:val="auto"/>
              </w:rPr>
            </w:pPr>
            <w:r>
              <w:rPr>
                <w:rFonts w:ascii="Arial" w:cs="Arial" w:eastAsia="Arial" w:hAnsi="Arial"/>
                <w:sz w:val="18"/>
                <w:szCs w:val="18"/>
                <w:color w:val="auto"/>
              </w:rPr>
              <w:t>40,266,246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40,266,246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30,402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30,351</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w w:val="88"/>
              </w:rPr>
              <w:t>40,266,246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28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16,732,284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16,732,284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15,144</w:t>
            </w:r>
          </w:p>
        </w:tc>
        <w:tc>
          <w:tcPr>
            <w:tcW w:w="9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88"/>
              </w:rPr>
              <w:t>16,732,284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2840" w:type="dxa"/>
            <w:vAlign w:val="bottom"/>
            <w:gridSpan w:val="5"/>
          </w:tcPr>
          <w:p>
            <w:pPr>
              <w:jc w:val="right"/>
              <w:ind w:right="200"/>
              <w:spacing w:after="0"/>
              <w:rPr>
                <w:sz w:val="20"/>
                <w:szCs w:val="20"/>
                <w:color w:val="auto"/>
              </w:rPr>
            </w:pPr>
            <w:r>
              <w:rPr>
                <w:rFonts w:ascii="Arial" w:cs="Arial" w:eastAsia="Arial" w:hAnsi="Arial"/>
                <w:sz w:val="18"/>
                <w:szCs w:val="18"/>
                <w:color w:val="auto"/>
              </w:rPr>
              <w:t>16,011,162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16,011,162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21,775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21,226</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w w:val="88"/>
              </w:rPr>
              <w:t>16,011,162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Series E redeemable convertible preferred stock</w:t>
            </w:r>
          </w:p>
        </w:tc>
        <w:tc>
          <w:tcPr>
            <w:tcW w:w="284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20,919,679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16,110,473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34,847</w:t>
            </w:r>
          </w:p>
        </w:tc>
        <w:tc>
          <w:tcPr>
            <w:tcW w:w="9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88"/>
              </w:rPr>
              <w:t>16,110,473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99,292,610</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94,483,404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$ 104,588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$ 103,797</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8"/>
              </w:rPr>
              <w:t>94,483,404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2840" w:type="dxa"/>
            <w:vAlign w:val="bottom"/>
            <w:gridSpan w:val="5"/>
          </w:tcPr>
          <w:p>
            <w:pPr>
              <w:jc w:val="right"/>
              <w:ind w:right="1480"/>
              <w:spacing w:after="0"/>
              <w:rPr>
                <w:sz w:val="20"/>
                <w:szCs w:val="20"/>
                <w:color w:val="auto"/>
              </w:rPr>
            </w:pPr>
            <w:r>
              <w:rPr>
                <w:rFonts w:ascii="Arial" w:cs="Arial" w:eastAsia="Arial" w:hAnsi="Arial"/>
                <w:sz w:val="18"/>
                <w:szCs w:val="18"/>
                <w:color w:val="auto"/>
              </w:rPr>
              <w:t>F-15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the Redeemable Preferred Stock have the following rights and preferences: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holders of Redeemable Preferred Stock are entitled to vote, together with the holders of common stock, on all matters submitted to stockholders for a vote. Holders of all Redeemable Preferred Stock have the right to vote the number of shares equal to the number of shares of common stock into which such Redeemable Preferred Stock could convert on the record date for determination of stockholders entitled to vote.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Company may not declare, pay or set aside any dividends on shares of any other class or series of capital stock of the Company unless the holders of the Redeemable Preferred Stock then outstanding shall first receive a dividend on each outstanding share of Redeemable Preferred Stock in an amount at least equal to (i) in the case of a dividend on common stock or any class or series that is convertible into common stock, that dividend per share of Redeemable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Redeemable Preferred Stock, or (ii) in the case of a dividend on any class or series that is not convertible into common stock, at a rate per share of Redeemable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of or other similar recapitalization affecting such shares) and (B) multiplying such fraction by an amount equal to the Original Issue Price (as defined below) of each series of Redeemable Preferred Stock. If the Company declares, pays or sets aside, on the same date, a dividend on shares of more than one class or series of capital stock of the Company, the dividend payable to the holders of the Redeemable Preferred Stock shall be calculated based upon the dividend on the class or series of capital stock that would result in the highest Redeemable Preferred Stock dividend. The Original Issue Price for Series A, Series B, Series C, Series D and Series E redeemable convertible preferred stock is $0.419463, $0.75503, $0.9061, $1.3592 and $2.1725, respectively, per share, subject to appropriate adjustment in the event of any stock dividend, stock split, combination or other similar recapitalization with respect to the Redeemable Preferred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event of any liquidation, voluntary or involuntary, exclusive out-license of all or substantially all of the intellectual property of the Company, dissolution or winding up of the Company or Deemed Liquidation Event (as defined below), the Series A, Series B, Series C, Series D and Series E redeemable convertible preferred stockholders are entitled to receive, in preference to all other stockholders, and to the extent available, an amount equal to the Original Issue Price per share, adjusted for any stock dividends, stock splits or reclassifications, plus all dividends declared but unpaid. In the event that proceeds are not sufficient to permit payment in full to these holders, the proceeds will be ratably distributed among the Series A, Series B, Series C, Series D and Series E holders in proportion to the full preferential amount each such holder is otherwise entitled to receive.</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After payments have been made in full to the holders of the Series A, Series B, Series C, Series D and Series E redeemable convertible preferred stock, then, to the extent available, holders of the common stock and holders of the Series A, Series B, Series C, Series D and Series E redeemable convertible preferred stock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receive the remaining amounts available for distribution ratably in proportion to the number of common shares held by them or issuable to them upon conversion of their redeemable convertible preferred stock into common stock. The distributions are subject to an overall distribution limit of the greater of</w:t>
      </w:r>
    </w:p>
    <w:p>
      <w:pPr>
        <w:ind w:right="380" w:firstLine="8"/>
        <w:spacing w:after="0" w:line="302" w:lineRule="auto"/>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two times the amount the holders of the Redeemable Preferred Stock are entitled to based on their preference payment and (ii) the amount such holder would have received if such holder had converted shares of the Redeemable Preferred Stock into common stock immediately prior to such dissolution, liquidation, exclusive out-license of all or substantially all of the intellectual property, or winding up of the Company or Deemed Liquidation Event.</w:t>
      </w:r>
    </w:p>
    <w:p>
      <w:pPr>
        <w:spacing w:after="0" w:line="15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Unless the holders of at least 70% of the then outstanding shares of the Redeemable Preferred Stock, voting together as a single class on an as-converted basis, elect otherwise, a Deemed Liquidation Event shall include a sale of the Company, a sale of the capital stock representing a majority of the voting power or a merger or consolidation of the Company into or with another corporation in which the existing Company holds less than a majority of the voting power of the surviving or resulting corporation, or the sale, lease, transfer, exclusive license or other disposition, in a single transaction or series of related transactions, by the Company of all or substantially all of the assets of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share of Redeemable Preferred Stock is convertible into common stock at the option of the stockholder at any time after the date of issuance. Each share of the preferred stock will automatically be converted into shares of common stock, at the applicable Series A, Series B, Series C, Series D and Series E redeemable convertible preferred stock conversion ratio then in effect, upon a qualified public offering with net proceeds of not less than $35,000. The conversion ratio of the Series A, Series B, Series C, Series D and Series E redeemable convertible preferred stock, as defined, is determined by dividing the Original Issue Price of each series of preferred stock by the Conversion Price of each series. The Conversion Price of each series shall initially be $0.419463 for Series A, $0.75503 for Series B, $0.90610 for Series C, $1.3592 for Series D and $2.1725 for Series E. The Conversion Price is subject to adjustment as set forth in the Company’s Certificate of Incorporation, as amended and restated, unless at least a majority of the Series A holders, at least 70% of each of Series B or Series C holders, at least 65% of Series D holders and at least a majority of the Series E holders, voting separately as a class with respect to their series, agree that no such adjustment shall be made to their series. As of December 31, 2013, all outstanding shares of Series A, Series B, Series C, Series D and Series E redeemable convertible preferred stock were convertible into common stock on a 1-for-1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At the written election of at least 70% of the holders of the Series A, Series B, Series C, Series D and Series E redeemable convertible preferred stock, voting together as a single class on an as-converted basis, the shares of Series A, Series B, Series C, Series D and Series E redeemable convertible preferred stock outstanding are redeemable, at any time on or after November 22, 2017, in three equal annual installments commencing sixty days after receipt of the required vote at the Original Issue Price per share of Series A, Series B, Series C, Series D and Series E redeemable convertible preferred stock plus all declared but unpaid dividends thereon.</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carrying values of the Series A, Series B, Series C, Series D and Series E redeemable convertible preferred stock are being accreted to their redemption values through their respective redemption dates.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Reissuance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Shares of any Series A, Series B, Series C, Series D or Series E redeemable convertible preferred stock that are redeemed or converted will be retired or canceled and not reissued by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2013, the Company’s Certificate of Incorporation, as amended and restated, authorizes the Company to issue 115,000,000 shares of $0.001 par value common stock.</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 would receive if each preferred share were converted into common stock. The Company may not pay dividends to common stockholders until all dividends accrued or declared but unpaid on the Redeemable Preferred Stock have been paid in full. As of December 31, 2013, no dividends had been declared.</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During the year ended December 31, 2013, the Company reacquired and retired 41,667 shares of restricted common stock, at cost, that were forfeited by a former employee.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2013, the Company had reserved 105,043,636 shares of common stock for the conversion of the outstanding shares of Series A, Series B, Series C, Series D and Series E redeemable convertible preferred stock (see Note 6) and the exercise of stock options and issuance of common stock under the Company’s Amended and Restated 2006 Stock Option Plan (see Note 8).</w:t>
      </w:r>
    </w:p>
    <w:p>
      <w:pPr>
        <w:spacing w:after="0" w:line="285" w:lineRule="exact"/>
        <w:rPr>
          <w:sz w:val="20"/>
          <w:szCs w:val="20"/>
          <w:color w:val="auto"/>
        </w:rPr>
      </w:pPr>
    </w:p>
    <w:p>
      <w:pPr>
        <w:jc w:val="both"/>
        <w:ind w:right="9600" w:firstLine="8"/>
        <w:spacing w:after="0" w:line="425" w:lineRule="auto"/>
        <w:tabs>
          <w:tab w:leader="none" w:pos="18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Awards 2006 Stock Option Plan</w:t>
      </w:r>
    </w:p>
    <w:p>
      <w:pPr>
        <w:spacing w:after="0" w:line="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Company’s Amended and Restated 2006 Stock Option Plan (the “2006 Plan”) provides for the Company to sell or issue common stock or restricted common stock, or to grant incentive stock options or nonqualified stock options for the purchase of common stock, to employees, members of the board of directors and consultants of the Company. The 2006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Stock options granted under the 2006 Plan generally vest over four years and expire after ten years, although options have been granted with vesting terms less than four years.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total number of shares of common stock that may be issued under the 2006 Plan was 11,863,864 shares as of December 31, 2013, of which 2,331,257 shares remained available for future grant at December 31,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generally grants stock-based awards with service conditions only (“service-based” awards).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required by the 2006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assumptions that the Company used to determine the fair value of the stock options granted to employees and directors are as follows, presented on a weighted average basis (the Company did not grant any stock options to employees or directors during the year ended December 31, 2012):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840" w:type="dxa"/>
            <w:vAlign w:val="bottom"/>
            <w:gridSpan w:val="3"/>
          </w:tcPr>
          <w:p>
            <w:pPr>
              <w:jc w:val="right"/>
              <w:ind w:right="126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40" w:type="dxa"/>
            <w:vAlign w:val="bottom"/>
            <w:gridSpan w:val="3"/>
          </w:tcPr>
          <w:p>
            <w:pPr>
              <w:jc w:val="right"/>
              <w:ind w:right="11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0"/>
        </w:trPr>
        <w:tc>
          <w:tcPr>
            <w:tcW w:w="3660" w:type="dxa"/>
            <w:vAlign w:val="bottom"/>
          </w:tcPr>
          <w:p>
            <w:pPr>
              <w:spacing w:after="0"/>
              <w:rPr>
                <w:sz w:val="24"/>
                <w:szCs w:val="24"/>
                <w:color w:val="auto"/>
              </w:rPr>
            </w:pPr>
          </w:p>
        </w:tc>
        <w:tc>
          <w:tcPr>
            <w:tcW w:w="7040" w:type="dxa"/>
            <w:vAlign w:val="bottom"/>
            <w:gridSpan w:val="4"/>
          </w:tcPr>
          <w:p>
            <w:pPr>
              <w:ind w:left="1880"/>
              <w:spacing w:after="0"/>
              <w:rPr>
                <w:sz w:val="20"/>
                <w:szCs w:val="20"/>
                <w:color w:val="auto"/>
              </w:rPr>
            </w:pPr>
            <w:r>
              <w:rPr>
                <w:rFonts w:ascii="Arial" w:cs="Arial" w:eastAsia="Arial" w:hAnsi="Arial"/>
                <w:sz w:val="18"/>
                <w:szCs w:val="18"/>
                <w:color w:val="auto"/>
              </w:rPr>
              <w:t>F-19</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 since January 1,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Shares Issuable</w:t>
            </w: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Under Options</w:t>
            </w:r>
          </w:p>
        </w:tc>
        <w:tc>
          <w:tcPr>
            <w:tcW w:w="12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2,765,148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0.12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2,988,000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5,753,148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0.19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0.25</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(100,921)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0.14</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(1,988,000)</w:t>
            </w: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0.25</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3,714,227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0.16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4,514,748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0.42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8,228,975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0.30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10,185</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December 31, 2013</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1"/>
              </w:rPr>
              <w:t>0.30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7.8</w:t>
            </w: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0"/>
              </w:rPr>
              <w:t>10,185</w:t>
            </w: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8,228,975</w:t>
            </w: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December 31, 2013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4,128,016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0.20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$12 during the year ended December 31, 2012. No stock options were exercised during the years ended December 31, 2011 or 2013.</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received cash proceeds from the exercise of stock options of $13 during the year ended December 31, 2012.</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weighted average grant-date fair value of stock options granted to employees and directors during the years ended December 31, 2011 and 2013 was $0.17 and $0.29 per share, respectively. The Company did not grant stock options to employees or directors in 2012. The grant of stock options in 2012 was to a consultant.</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of December 31, 2013, there were outstanding unvested service-based stock options held by nonemployees for the purchase of 110,000 shares of common stock. Additionally as of December 31, 2013, there were outstanding unvested performance-based stock options held by nonemployees for the purchase of 5,000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2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 2006 Plan provides for the award of restricted stock. The Company has granted restricted common stock with time-based vesting conditions. Unvested shares of restricted common stock may not be sold or transferred by the holder. These restrictions lapse according to the time-based vesting conditions of each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Company’s restricted stock activity since January 1,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January 1,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241,667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ind w:left="431"/>
              <w:spacing w:after="0"/>
              <w:rPr>
                <w:sz w:val="20"/>
                <w:szCs w:val="20"/>
                <w:color w:val="auto"/>
              </w:rPr>
            </w:pPr>
            <w:r>
              <w:rPr>
                <w:rFonts w:ascii="Arial" w:cs="Arial" w:eastAsia="Arial" w:hAnsi="Arial"/>
                <w:sz w:val="18"/>
                <w:szCs w:val="18"/>
                <w:color w:val="auto"/>
                <w:w w:val="85"/>
              </w:rPr>
              <w:t>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Issued</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8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154,167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8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Issued</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8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66,667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8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Issued</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85"/>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(41,667)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331"/>
              <w:spacing w:after="0"/>
              <w:rPr>
                <w:sz w:val="20"/>
                <w:szCs w:val="20"/>
                <w:color w:val="auto"/>
              </w:rPr>
            </w:pPr>
            <w:r>
              <w:rPr>
                <w:rFonts w:ascii="Arial" w:cs="Arial" w:eastAsia="Arial" w:hAnsi="Arial"/>
                <w:sz w:val="18"/>
                <w:szCs w:val="18"/>
                <w:color w:val="auto"/>
                <w:w w:val="85"/>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aggregate intrinsic value of restricted stock awards is calculated as the difference between the grant-date fair value of the restricted stock awards and the fair value of the Company’s common stock. The aggregate intrinsic value of restricted stock awards that vested during each of the years ended December 31, 2011, 2012 and 2013 was $22, $22 and $38, respectively. As of December 31, 2013, there were no unvested restricted stock awards subject to repurchase.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of its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77"/>
        </w:trPr>
        <w:tc>
          <w:tcPr>
            <w:tcW w:w="64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4"/>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(November 22, 2005)</w:t>
            </w:r>
          </w:p>
        </w:tc>
        <w:tc>
          <w:tcPr>
            <w:tcW w:w="0" w:type="dxa"/>
            <w:vAlign w:val="bottom"/>
          </w:tcPr>
          <w:p>
            <w:pPr>
              <w:spacing w:after="0"/>
              <w:rPr>
                <w:sz w:val="1"/>
                <w:szCs w:val="1"/>
                <w:color w:val="auto"/>
              </w:rPr>
            </w:pPr>
          </w:p>
        </w:tc>
      </w:tr>
      <w:tr>
        <w:trPr>
          <w:trHeight w:val="52"/>
        </w:trPr>
        <w:tc>
          <w:tcPr>
            <w:tcW w:w="6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As of December 31, 2013, the Company had an aggregate of $1,334 of unrecognized stock-based compensation cost, which is expected to be recognized over a weighted average period of 3.6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right="6160" w:firstLine="8"/>
        <w:spacing w:after="0" w:line="378" w:lineRule="auto"/>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and Unaudited Pro Forma Net Loss Per Share Net Loss Per Share</w:t>
      </w:r>
    </w:p>
    <w:p>
      <w:pPr>
        <w:ind w:left="460"/>
        <w:spacing w:after="0"/>
        <w:rPr>
          <w:sz w:val="20"/>
          <w:szCs w:val="20"/>
          <w:color w:val="auto"/>
        </w:rPr>
      </w:pPr>
      <w:r>
        <w:rPr>
          <w:rFonts w:ascii="Arial" w:cs="Arial" w:eastAsia="Arial" w:hAnsi="Arial"/>
          <w:sz w:val="16"/>
          <w:szCs w:val="16"/>
          <w:color w:val="auto"/>
        </w:rPr>
        <w:t>Basic and diluted net loss per share attributable to common stockholders was calculated as follows for the years ended December 31, 2011,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(13,157)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(13,880)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(13,947</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4,326,581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4,456,778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4,578,127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excluded the following common stock equivalents, outstanding as of December 31, 2011, 2012 and 2013, from the computation of diluted net loss per share attributable to common stockholders for the years ended December 31, 2011, 2012 and 2013 because they had an anti-dilutive impact due to the net loss attributable to common stockholders incurred for the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5,753,148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3,714,227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8,228,975</w:t>
            </w: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154,167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66,667</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5,907,315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3,780,894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8,228,975</w:t>
            </w:r>
          </w:p>
        </w:tc>
      </w:tr>
      <w:tr>
        <w:trPr>
          <w:trHeight w:val="20"/>
        </w:trPr>
        <w:tc>
          <w:tcPr>
            <w:tcW w:w="8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2013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on redeemable convertible preferred stock, because it assumes that the conversion of redeemable convertible preferred stock into common stock had occurred on the later of January 1, 2013 or the issuance date of the redeemable convertible preferred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unaudited pro forma basic and diluted weighted average common shares outstanding used in the calculation of unaudited pro forma basic and diluted net loss per share attributable to common stockholders for the year ended December 31, 2013 gives effect to the automatic conversion upon a qualified initial public offering of all outstanding shares of redeemable convertible preferred stock as of December 31, 2013 into 94,483,404 shares of common stock as if the conversion had occurred on the later of January 1, 2013 or the issuance date of the redeemable convertible preferred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unaudited pro forma basic and diluted net loss per share attributable to common stockholders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10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0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10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0"/>
        </w:trPr>
        <w:tc>
          <w:tcPr>
            <w:tcW w:w="104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4,578,127</w:t>
            </w:r>
          </w:p>
        </w:tc>
        <w:tc>
          <w:tcPr>
            <w:tcW w:w="0" w:type="dxa"/>
            <w:vAlign w:val="bottom"/>
          </w:tcPr>
          <w:p>
            <w:pPr>
              <w:spacing w:after="0"/>
              <w:rPr>
                <w:sz w:val="1"/>
                <w:szCs w:val="1"/>
                <w:color w:val="auto"/>
              </w:rPr>
            </w:pPr>
          </w:p>
        </w:tc>
      </w:tr>
      <w:tr>
        <w:trPr>
          <w:trHeight w:val="202"/>
        </w:trPr>
        <w:tc>
          <w:tcPr>
            <w:tcW w:w="10400" w:type="dxa"/>
            <w:vAlign w:val="bottom"/>
          </w:tcPr>
          <w:p>
            <w:pPr>
              <w:ind w:left="360"/>
              <w:spacing w:after="0" w:line="201" w:lineRule="exact"/>
              <w:rPr>
                <w:sz w:val="20"/>
                <w:szCs w:val="20"/>
                <w:color w:val="auto"/>
              </w:rPr>
            </w:pPr>
            <w:r>
              <w:rPr>
                <w:rFonts w:ascii="Arial" w:cs="Arial" w:eastAsia="Arial" w:hAnsi="Arial"/>
                <w:sz w:val="18"/>
                <w:szCs w:val="18"/>
                <w:color w:val="auto"/>
              </w:rPr>
              <w:t>Pro forma adjustment for assumed automatic conversion of all outstanding shares of redeemable convertible preferred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0" w:type="dxa"/>
            <w:vAlign w:val="bottom"/>
          </w:tcPr>
          <w:p>
            <w:pPr>
              <w:ind w:left="540"/>
              <w:spacing w:after="0"/>
              <w:rPr>
                <w:sz w:val="20"/>
                <w:szCs w:val="20"/>
                <w:color w:val="auto"/>
              </w:rPr>
            </w:pPr>
            <w:r>
              <w:rPr>
                <w:rFonts w:ascii="Arial" w:cs="Arial" w:eastAsia="Arial" w:hAnsi="Arial"/>
                <w:sz w:val="18"/>
                <w:szCs w:val="18"/>
                <w:color w:val="auto"/>
              </w:rPr>
              <w:t>upon the closing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79,611,438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weighted average common shares outstanding, 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84,189,565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600" w:firstLine="8"/>
        <w:spacing w:after="0" w:line="378" w:lineRule="auto"/>
        <w:tabs>
          <w:tab w:leader="none" w:pos="27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80" w:firstLine="456"/>
        <w:spacing w:after="0" w:line="264" w:lineRule="auto"/>
        <w:rPr>
          <w:sz w:val="20"/>
          <w:szCs w:val="20"/>
          <w:color w:val="auto"/>
        </w:rPr>
      </w:pPr>
      <w:r>
        <w:rPr>
          <w:rFonts w:ascii="Arial" w:cs="Arial" w:eastAsia="Arial" w:hAnsi="Arial"/>
          <w:sz w:val="18"/>
          <w:szCs w:val="18"/>
          <w:color w:val="auto"/>
        </w:rPr>
        <w:t>The Company leases its office space under an operating lease agreement that initially expired on July 31, 2013, but was amended in 2013 to extend the lease through January 31, 2014. The lease, as amended, allows for up to two six-month extension periods. In December 2013, the Company extended the lease through July 31, 2014, cancellable with 30 days’ notice.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40" w:type="dxa"/>
            <w:vAlign w:val="bottom"/>
            <w:gridSpan w:val="2"/>
          </w:tcPr>
          <w:p>
            <w:pPr>
              <w:ind w:left="460"/>
              <w:spacing w:after="0"/>
              <w:rPr>
                <w:sz w:val="20"/>
                <w:szCs w:val="20"/>
                <w:color w:val="auto"/>
              </w:rPr>
            </w:pPr>
            <w:r>
              <w:rPr>
                <w:rFonts w:ascii="Arial" w:cs="Arial" w:eastAsia="Arial" w:hAnsi="Arial"/>
                <w:sz w:val="18"/>
                <w:szCs w:val="18"/>
                <w:color w:val="auto"/>
              </w:rPr>
              <w:t>Future minimum lease payments for its operating lease as of December 31, 2013 were as follows: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110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9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11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64</w:t>
            </w:r>
          </w:p>
        </w:tc>
        <w:tc>
          <w:tcPr>
            <w:tcW w:w="10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also leased laboratory space in prior years; however, these leases terminated prior to 2011 and, as of December 31, 2013, there are no future commitments for laboratory space. During the years ended December 31, 2011, 2012 and 2013, the Company recognized $102, $129 and $</w:t>
      </w:r>
      <w:r>
        <w:rPr>
          <w:rFonts w:ascii="Arial" w:cs="Arial" w:eastAsia="Arial" w:hAnsi="Arial"/>
          <w:sz w:val="18"/>
          <w:szCs w:val="18"/>
          <w:u w:val="single" w:color="auto"/>
          <w:color w:val="auto"/>
        </w:rPr>
        <w:t>105</w:t>
      </w:r>
      <w:r>
        <w:rPr>
          <w:rFonts w:ascii="Arial" w:cs="Arial" w:eastAsia="Arial" w:hAnsi="Arial"/>
          <w:sz w:val="18"/>
          <w:szCs w:val="18"/>
          <w:color w:val="auto"/>
        </w:rPr>
        <w:t>, respectively, of rental expense related to office space. For the period from inception (November 22, 2005) through December 31, 2013, the Company recognized $882 of rental expense related to office and laboratory space.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 Related to these license agreements, the Company made payments and recorded research and development expenses in its consolidated statements of operations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77"/>
        </w:trPr>
        <w:tc>
          <w:tcPr>
            <w:tcW w:w="5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3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(November 22, 2005)</w:t>
            </w:r>
          </w:p>
        </w:tc>
        <w:tc>
          <w:tcPr>
            <w:tcW w:w="0" w:type="dxa"/>
            <w:vAlign w:val="bottom"/>
          </w:tcPr>
          <w:p>
            <w:pPr>
              <w:spacing w:after="0"/>
              <w:rPr>
                <w:sz w:val="1"/>
                <w:szCs w:val="1"/>
                <w:color w:val="auto"/>
              </w:rPr>
            </w:pPr>
          </w:p>
        </w:tc>
      </w:tr>
      <w:tr>
        <w:trPr>
          <w:trHeight w:val="52"/>
        </w:trPr>
        <w:tc>
          <w:tcPr>
            <w:tcW w:w="5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1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6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Licensing, milestone and license maintenance fees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$ 1,055</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is obligated to make additional milestone payments of up to $18,950 upon reaching certain pre-commercialization milestones, such as clinical trials and government approvals, and up to $12,500 upon reaching certain product commercialization milestones. Under one of the license agreements, the Company is also obligated to pay up to $1,250 with respect to each subsequent licensed product, if any, that is a new chemical entity. In addition, the Company will owe single-digit royalties on sales of commercial products developed using these licensed technologies, if any. The Company is also obligated to pay to the licensors a percentage of fees received if and when the Company sublicenses the technology. As of December 31, 2013, the Company has not yet developed a commercial product using the licensed technologies and it has not entered into any sublicense agreements for the technologies.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2012 or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years ended December 31, 2011, 2012 and 2013, the Company recorded no income tax benefits for the net operating losses incurred in each year or interim period, due to its uncertainty of realizing a benefit from those items.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3"/>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Federal and state research and development tax credit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668"/>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Orphan drug tax credit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State taxes, net of federal benefit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668"/>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Meals and entertainment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Nondeductible Australia research and development expenses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Change in deferred tax asset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440"/>
              <w:spacing w:after="0"/>
              <w:rPr>
                <w:sz w:val="20"/>
                <w:szCs w:val="20"/>
                <w:color w:val="auto"/>
              </w:rPr>
            </w:pPr>
            <w:r>
              <w:rPr>
                <w:rFonts w:ascii="Arial" w:cs="Arial" w:eastAsia="Arial" w:hAnsi="Arial"/>
                <w:sz w:val="18"/>
                <w:szCs w:val="18"/>
                <w:color w:val="auto"/>
              </w:rPr>
              <w:t>Net deferred tax assets as of December 31, 2012 and 2013 consisted of the following:</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deferred tax assets:</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rPr>
              <w:t>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temporary differences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Total current deferred tax assets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Capitalized research and development expenses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w w:val="98"/>
              </w:rPr>
              <w:t>16,676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3,209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Tax credit carryforwards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legal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deferred tax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8"/>
              </w:rPr>
              <w:t>23,959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Total gross deferred tax assets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24,006</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89"/>
              </w:rPr>
              <w:t>(24,006)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552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Changes in the valuation allowance for deferred tax assets during the years ended December 31, 2011, 2012 and 2013 related primarily to the increase in net operating loss carryforwards, capitalized research and development expenses and research and development tax credit carryforwards and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740" w:type="dxa"/>
            <w:vAlign w:val="bottom"/>
            <w:gridSpan w:val="7"/>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$18,744</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Decreases recorded as benefit to income tax provision</w:t>
            </w: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recorded to income tax provision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Valuation allowance as of end of year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18,744</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24,006</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30,357</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As of December 31, 2013, the Company had net operating loss carryforwards for federal and state income tax purposes of $10,548 and $8,226, respectively, which begin to expire in 2026 and 2014, respectively. The Company also had an additional $16 of federal and state net operating losses not reflected above that were attributable to stock option exercises, which will be recorded as an increase in additional paid-in capital once they are realized in accordance with accounting for stock-based compensation awards. As of December 31, 2013, the Company also had available research and development tax credit carryforwards for federal and state income tax purposes of $4,706 and $1,322, respectively, which begin to expire in 2026 and 2021, respectively.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December 31, 2012 and 2013, the Company’s gross deferred tax asset balance of $24,006 and $30,357, respectively, was comprised principally of net operating loss carryforwards, capitalized research and development expenses and research and development tax credit carryforwards. During the years ended December 31, 2011, 2012 and 2013, gross deferred tax assets increased due to additional net operating loss carryforwards, research and development tax credits generated and additional research and development expenses capitalized for tax purposes.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2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2012 and 2013. Management reevaluates the positive and negative evidence at each reporting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recorded any amounts for unrecognized tax benefits as of December 31, 2012 or 2013.</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2010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In 2009, the Company established a Savings Incentive Match Plan for employees. Under the terms of the plan, the Company contributes 2% of an employee’s annual base salary, up to a maximum of the annual Internal Revenue Service compensation limits, for all full-time employees.</w:t>
      </w:r>
    </w:p>
    <w:p>
      <w:pPr>
        <w:spacing w:after="0" w:line="124"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During the years ended December 31, 2011, 2012 and 2013, the Company recognized $15, $16 and $26, respectively, of expense related to its contributions to this plan. During the period from inception (November 22, 2005) through December 31, 2013, the Company recognized $78 of expense related to its contributions to this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Qualifying Therapeutic Discovery Project Program</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2010, the Company received $489 for two research projects under the Qualifying Therapeutic Discovery Project Credit program under the Patient Protection and Affordable Care Act, covering 50% of qualifying expenses incurred. The Company recorded the proceeds as a reduction of research and development expenses in the consolidated statements of operations for the period from inception (November 22, 2005) through December 31,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Australia Research and Development Tax Incentive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Australian government has established a research and development tax incentive to encourage industry investment in research and development, which is available to companies incorporated under an Australian law that have core research and development activities. The Company established Zafgen Australia Pty Limited, a wholly owned subsidiary, in October 2012 to carry out certain research and development activities. As this subsidiary meets the eligibility requirements of the Australian tax law, it is eligible to receive a 45% refundable tax incentive for qualified research and development activities. For the years ended December 31, 2012 and 2013, $630 and $1,237, respectively, have been recorded as a reduction to research and development expenses in the consolidated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of operations, representing 45% of the Company’s qualified research and development spending in Australia. For the period from inception (November 22, 2005) through December 31, 2013, $1,867 has been recorded as a reduction to research and development expenses in the consolidated statements of operations. The refund is denominated in Australian dollars and, therefore, the receivable is re-measured into U.S. dollars as of each reporting date. For the year ended December 31, 2013, the Company recorded in its consolidated statements of operations unrealized foreign currency exchange losses of $250 related to this tax incentive receivable. The Company did not have any foreign exchange gains or losses related to this receivable for periods prior to 2013. As of December 31, 2012 and 2013, the Company’s tax incentive receivable from the Australian government was $630 and $1,617,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2011, the Company entered into an agreement with a member of the board of directors under which the board member would also serve as a business development consultant. Under the terms of the agreement, the annual consulting fee was $80. Additionally, a success fee of $500 would be earned upon a change in control of the Company. During the years ended December 31, 2011 and 2012, the Company paid the board member $18 and $80, respectively, for consulting services. This agreement was terminated in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For its consolidated financial statements as of December 31, 2013 and for the year then ended, the Company evaluated subsequent events through March 14, 2014, the date on which those consolidated financial statements were issued.</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February 2014, the Company issued 204,101 shares of Series E redeemable convertible preferred stock at a price of $2.1725 per share for net proceeds of $443.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24130</wp:posOffset>
            </wp:positionV>
            <wp:extent cx="1758315" cy="445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583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1041400</wp:posOffset>
            </wp:positionV>
            <wp:extent cx="22383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252095</wp:posOffset>
            </wp:positionV>
            <wp:extent cx="2238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900" w:type="dxa"/>
            <w:vAlign w:val="bottom"/>
            <w:gridSpan w:val="2"/>
          </w:tcPr>
          <w:p>
            <w:pPr>
              <w:jc w:val="right"/>
              <w:ind w:right="4865"/>
              <w:spacing w:after="0"/>
              <w:rPr>
                <w:sz w:val="20"/>
                <w:szCs w:val="20"/>
                <w:color w:val="auto"/>
              </w:rPr>
            </w:pPr>
            <w:r>
              <w:rPr>
                <w:rFonts w:ascii="Arial" w:cs="Arial" w:eastAsia="Arial" w:hAnsi="Arial"/>
                <w:sz w:val="18"/>
                <w:szCs w:val="18"/>
                <w:b w:val="1"/>
                <w:bCs w:val="1"/>
                <w:i w:val="1"/>
                <w:iCs w:val="1"/>
                <w:color w:val="auto"/>
              </w:rPr>
              <w:t>Joint Bookrunners</w:t>
            </w:r>
          </w:p>
        </w:tc>
      </w:tr>
      <w:tr>
        <w:trPr>
          <w:trHeight w:val="586"/>
        </w:trPr>
        <w:tc>
          <w:tcPr>
            <w:tcW w:w="4520" w:type="dxa"/>
            <w:vAlign w:val="bottom"/>
          </w:tcPr>
          <w:p>
            <w:pPr>
              <w:spacing w:after="0"/>
              <w:rPr>
                <w:sz w:val="20"/>
                <w:szCs w:val="20"/>
                <w:color w:val="auto"/>
              </w:rPr>
            </w:pPr>
            <w:r>
              <w:rPr>
                <w:rFonts w:ascii="Arial" w:cs="Arial" w:eastAsia="Arial" w:hAnsi="Arial"/>
                <w:sz w:val="29"/>
                <w:szCs w:val="29"/>
                <w:b w:val="1"/>
                <w:bCs w:val="1"/>
                <w:color w:val="auto"/>
              </w:rPr>
              <w:t>Leerink Partners</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9"/>
                <w:szCs w:val="29"/>
                <w:b w:val="1"/>
                <w:bCs w:val="1"/>
                <w:color w:val="auto"/>
              </w:rPr>
              <w:t>Cowen and Company</w:t>
            </w:r>
          </w:p>
        </w:tc>
      </w:tr>
      <w:tr>
        <w:trPr>
          <w:trHeight w:val="34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26"/>
        </w:trPr>
        <w:tc>
          <w:tcPr>
            <w:tcW w:w="4520" w:type="dxa"/>
            <w:vAlign w:val="bottom"/>
          </w:tcPr>
          <w:p>
            <w:pPr>
              <w:spacing w:after="0"/>
              <w:rPr>
                <w:sz w:val="24"/>
                <w:szCs w:val="24"/>
                <w:color w:val="auto"/>
              </w:rPr>
            </w:pPr>
          </w:p>
        </w:tc>
        <w:tc>
          <w:tcPr>
            <w:tcW w:w="6900" w:type="dxa"/>
            <w:vAlign w:val="bottom"/>
            <w:gridSpan w:val="2"/>
          </w:tcPr>
          <w:p>
            <w:pPr>
              <w:jc w:val="right"/>
              <w:ind w:right="5065"/>
              <w:spacing w:after="0"/>
              <w:rPr>
                <w:sz w:val="20"/>
                <w:szCs w:val="20"/>
                <w:color w:val="auto"/>
              </w:rPr>
            </w:pPr>
            <w:r>
              <w:rPr>
                <w:rFonts w:ascii="Arial" w:cs="Arial" w:eastAsia="Arial" w:hAnsi="Arial"/>
                <w:sz w:val="18"/>
                <w:szCs w:val="18"/>
                <w:b w:val="1"/>
                <w:bCs w:val="1"/>
                <w:i w:val="1"/>
                <w:iCs w:val="1"/>
                <w:color w:val="auto"/>
              </w:rPr>
              <w:t>Co-Managers</w:t>
            </w:r>
          </w:p>
        </w:tc>
      </w:tr>
      <w:tr>
        <w:trPr>
          <w:trHeight w:val="549"/>
        </w:trPr>
        <w:tc>
          <w:tcPr>
            <w:tcW w:w="4520" w:type="dxa"/>
            <w:vAlign w:val="bottom"/>
          </w:tcPr>
          <w:p>
            <w:pPr>
              <w:spacing w:after="0"/>
              <w:rPr>
                <w:sz w:val="20"/>
                <w:szCs w:val="20"/>
                <w:color w:val="auto"/>
              </w:rPr>
            </w:pPr>
            <w:r>
              <w:rPr>
                <w:rFonts w:ascii="Arial" w:cs="Arial" w:eastAsia="Arial" w:hAnsi="Arial"/>
                <w:sz w:val="25"/>
                <w:szCs w:val="25"/>
                <w:b w:val="1"/>
                <w:bCs w:val="1"/>
                <w:color w:val="auto"/>
              </w:rPr>
              <w:t>Canaccord Genuity</w:t>
            </w:r>
          </w:p>
        </w:tc>
        <w:tc>
          <w:tcPr>
            <w:tcW w:w="238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5"/>
                <w:szCs w:val="25"/>
                <w:b w:val="1"/>
                <w:bCs w:val="1"/>
                <w:color w:val="auto"/>
              </w:rPr>
              <w:t>JMP Securities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772160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table sets forth all expenses, other than the underwriting discounts and commissions, payable by Zafgen, Inc. (the “Company” or the “Registrant”) in connection with the sale of the common stock being registered. All the amounts shown are estimates except the SEC registration fee and the FINRA filing fee.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initial listing fee</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Blue sky qualification fees and expenses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9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case, he or she is fairly and reasonably entitled to indemnity for such expenses which the Court of Chancery or other adjudicating court shall deem proper.</w:t>
      </w:r>
    </w:p>
    <w:p>
      <w:pPr>
        <w:spacing w:after="0" w:line="24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Company’s amended and restated certificate of incorporation, which will become effective upon completion of the offering, provides for the indemnification of directors to the fullest extent permissible under Delaware law.</w:t>
      </w:r>
    </w:p>
    <w:p>
      <w:pPr>
        <w:spacing w:after="0" w:line="1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Company’s amended and restated by-laws, which will become effective upon completion of the offering, provide for the indemnification of officers, directors and third parties acting on the Company’s behalf if such persons act in good faith and in a manner reasonably believed to be in and not opposed to the Company’s best interest, and, with respect to any criminal action or proceeding, such indemnified party had no reason to believe his or her conduct was unlawful.</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entering into indemnification agreements with each of its directors and executive officers, in addition to the indemnification provisions provided for in its charter documents, and the Company intends to enter into indemnification agreements with any new directors and executive officers in the future. These agreements will provide that we will indemnify each of our directors and executive officers, and such entities to the fullest extent permitted by law.</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underwriting agreement (to be filed as Exhibit 1.1 hereto) will provide for indemnification by the underwriters of the Company, and its executive officers and directors, and indemnification of the underwriters by the Company for certain liabilities, including liabilities arising under the Securities Act of 1933, as amended, in connection with matters specifically provided in writing by the underwriters for inclusion in the registration statement.</w:t>
      </w:r>
    </w:p>
    <w:p>
      <w:pPr>
        <w:spacing w:after="0" w:line="14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Company intends to purchase and maintain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of Capital Stock</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February 15, 2011, we issued an aggregate of 2,682,011 shares of our Series B redeemable convertible preferred stock to three investors for aggregate consideration of $2,024,999.</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June 30, 2011, we issued an aggregate of 6,716,624 shares of our Series C redeemable convertible preferred stock to six investors for aggregate consideration of $6,085,933. On December 1, 2011, we issued an aggregate of 2,207,260 of our Series C redeemable convertible preferred stock to two investors for aggregate consideration of $1,999,998. On February 1, 2012, we issued an aggregate of 7,808,400 shares of our Series C redeemable convertible preferred stock to six investors for aggregate consideration of $7,075,191.</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August 13, 2012 and November 8, 2012, we issued convertible promissory notes to two of our existing investors for an aggregate principal amount of $6,000,000. On November 30, 2012, we issued an aggregate of 4,975,260 shares of our Series D redeemable convertible preferred stock to such investors upon conversion of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On November 30, 2012, we issued an aggregate of 6,653,988 shares of our Series D redeemable convertible preferred stock to four investors for aggregate consideration of $9,044,101 in cash. On January 11, 2013, we issued an aggregate of 4,381,914 shares of our Series D redeemable convertible preferred stock to two investors for aggregate consideration of $5,955,898.</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November 25, 2013, we issued an aggregate of 16,110,473 shares of our Series E redeemable convertible preferred stock to eight investors for aggregate consideration of $35,000,002 in cash.</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February 28, 2014, we issued an aggregate of 204,101 shares of at Series E redeemable convertible preferred stock to four investors for aggregate consideration of $443,409 in cash.</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 underwriters were used in the foregoing transactions. All sales of securities described above were made in reliance upon the exemption from registration provided by Section 4(2) of the Securities Act (and/or Regulation D promulgated thereunder) for transactions by an issuer not involving a public offering. All of the foregoing securities are deemed restricted securities for the purposes of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Stock Options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January 1, 2011, we have granted stock options to purchase an aggregate of 8,827,748 shares of our common stock, with exercise prices ranging from $0.25 to $1.54 per share, to employees, directors and consultants pursuant to our stock option plan. The issuances of these securities were exempt either pursuant to Rule 701, as a transaction pursuant to a compensatory benefit plan, or pursuant to Section 4(2), as a transaction by an issuer not involving a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to the registration statement are listed in the Exhibit Index to this registration statement and are incorporated herein by reference.</w:t>
      </w:r>
    </w:p>
    <w:p>
      <w:pPr>
        <w:spacing w:after="0" w:line="341" w:lineRule="exact"/>
        <w:rPr>
          <w:sz w:val="20"/>
          <w:szCs w:val="20"/>
          <w:color w:val="auto"/>
        </w:rPr>
      </w:pPr>
    </w:p>
    <w:p>
      <w:pPr>
        <w:ind w:left="460" w:right="8740" w:hanging="452"/>
        <w:spacing w:after="0" w:line="407" w:lineRule="auto"/>
        <w:tabs>
          <w:tab w:leader="none" w:pos="269"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1060" w:firstLine="464"/>
        <w:spacing w:after="0" w:line="308" w:lineRule="auto"/>
        <w:tabs>
          <w:tab w:leader="none" w:pos="70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undersigned Registrant will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rFonts w:ascii="Arial" w:cs="Arial" w:eastAsia="Arial" w:hAnsi="Arial"/>
          <w:sz w:val="17"/>
          <w:szCs w:val="17"/>
          <w:color w:val="auto"/>
        </w:rPr>
      </w:pPr>
    </w:p>
    <w:p>
      <w:pPr>
        <w:ind w:right="680" w:firstLine="464"/>
        <w:spacing w:after="0" w:line="27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prospectus filed by the Registrant pursuant to Rule 424(b)(1) or (4) or 497(h) under the Securities Act shall be deemed to be part of this registration statement as of the time it was declared effective.</w:t>
      </w:r>
    </w:p>
    <w:p>
      <w:pPr>
        <w:spacing w:after="0" w:line="170" w:lineRule="exact"/>
        <w:rPr>
          <w:sz w:val="20"/>
          <w:szCs w:val="20"/>
          <w:color w:val="auto"/>
        </w:rPr>
      </w:pPr>
    </w:p>
    <w:p>
      <w:pPr>
        <w:ind w:firstLine="464"/>
        <w:spacing w:after="0" w:line="264" w:lineRule="auto"/>
        <w:tabs>
          <w:tab w:leader="none" w:pos="7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signed on its behalf by the undersigned, thereunto duly authorized, in the City of Cambridge, Commonwealth of Massachusetts, on the day of , 2014.</w:t>
      </w: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ZAFGEN,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E. Hughes,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Thomas E. Hughes and Patricia L. Allen, and each of them, with full power of substitution and resubstitution and full power to act without the other, as his or her true and lawful attorney in fact and agent to act in his or her name, place and stead and to execute in the name and on behalf of each person, individually and in each capacity stated below, and to file any and all amendments to this Registration Statement, including any and all post effective amendments and amendments thereto, and any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 in fact and agents, and each of them, full power and authority to do and perform each and every act and thing, ratifying and confirming all that said attorneys in fact and agents or any of them or their or his substitute or substitutes may lawfully do or cause to be done by virtue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capacities indicated below on the   day of</w:t>
            </w:r>
          </w:p>
        </w:tc>
        <w:tc>
          <w:tcPr>
            <w:tcW w:w="1720" w:type="dxa"/>
            <w:vAlign w:val="bottom"/>
          </w:tcPr>
          <w:p>
            <w:pPr>
              <w:jc w:val="right"/>
              <w:ind w:right="830"/>
              <w:spacing w:after="0"/>
              <w:rPr>
                <w:sz w:val="20"/>
                <w:szCs w:val="20"/>
                <w:color w:val="auto"/>
              </w:rPr>
            </w:pPr>
            <w:r>
              <w:rPr>
                <w:rFonts w:ascii="Arial" w:cs="Arial" w:eastAsia="Arial" w:hAnsi="Arial"/>
                <w:sz w:val="18"/>
                <w:szCs w:val="18"/>
                <w:color w:val="auto"/>
              </w:rPr>
              <w:t>, 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7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w w:val="99"/>
              </w:rPr>
              <w:t>President, Chief Executive Officer and Director (Principal</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28"/>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THOMAS E. HUGHES, PH.D.</w:t>
            </w:r>
          </w:p>
        </w:tc>
        <w:tc>
          <w:tcPr>
            <w:tcW w:w="1720" w:type="dxa"/>
            <w:vAlign w:val="bottom"/>
          </w:tcPr>
          <w:p>
            <w:pPr>
              <w:spacing w:after="0"/>
              <w:rPr>
                <w:sz w:val="11"/>
                <w:szCs w:val="11"/>
                <w:color w:val="auto"/>
              </w:rPr>
            </w:pPr>
          </w:p>
        </w:tc>
        <w:tc>
          <w:tcPr>
            <w:tcW w:w="46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Executive Officer)</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w w:val="97"/>
              </w:rPr>
              <w:t>Chief Financial Officer (Principal Financial and Accounting</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28"/>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PATRICIA L. ALLEN</w:t>
            </w:r>
          </w:p>
        </w:tc>
        <w:tc>
          <w:tcPr>
            <w:tcW w:w="1720" w:type="dxa"/>
            <w:vAlign w:val="bottom"/>
          </w:tcPr>
          <w:p>
            <w:pPr>
              <w:spacing w:after="0"/>
              <w:rPr>
                <w:sz w:val="11"/>
                <w:szCs w:val="11"/>
                <w:color w:val="auto"/>
              </w:rPr>
            </w:pPr>
          </w:p>
        </w:tc>
        <w:tc>
          <w:tcPr>
            <w:tcW w:w="46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6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Chairman of the Board of Directors</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PETER BARRETT,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BRUCE BOOTH,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AVI GOLDBERG</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JOHN L. LAMATTINA,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KEVIN P. STARR</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6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2014</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LOU TARTAGLIA, PH.D.</w:t>
            </w:r>
          </w:p>
        </w:tc>
        <w:tc>
          <w:tcPr>
            <w:tcW w:w="17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gridSpan w:val="2"/>
            <w:vMerge w:val="continue"/>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72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19"/>
                <w:szCs w:val="19"/>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Seventh Amended and Restated Certificate of Incorporation of the Registrant, as currently in effect</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in effect upon completion of the offering</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3.3*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Amended and Restated By-laws of the Registrant and the amendments thereto, as currently in effect</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3.4*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Amended and Restated By-laws of the Registrant, to be in effect upon completion of the offering</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310"/>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Third Amended and Restated Investors’ Rights Agreement by and among the Registrant and certain of its stockholders dated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November 25, 2013</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Goodwin Procter LLP</w:t>
            </w:r>
          </w:p>
        </w:tc>
      </w:tr>
      <w:tr>
        <w:trPr>
          <w:trHeight w:val="32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10.1*#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Amended and Restated 2006 Stock Option Plan and forms of award agreements thereunder</w:t>
            </w:r>
          </w:p>
        </w:tc>
      </w:tr>
      <w:tr>
        <w:trPr>
          <w:trHeight w:val="324"/>
        </w:trPr>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10.2*#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2014 Stock Option and Incentive Plan and forms of award agreements thereunder</w:t>
            </w:r>
          </w:p>
        </w:tc>
      </w:tr>
      <w:tr>
        <w:trPr>
          <w:trHeight w:val="310"/>
        </w:trPr>
        <w:tc>
          <w:tcPr>
            <w:tcW w:w="1700" w:type="dxa"/>
            <w:vAlign w:val="bottom"/>
            <w:gridSpan w:val="3"/>
          </w:tcPr>
          <w:p>
            <w:pPr>
              <w:jc w:val="right"/>
              <w:ind w:right="1200"/>
              <w:spacing w:after="0"/>
              <w:rPr>
                <w:sz w:val="20"/>
                <w:szCs w:val="20"/>
                <w:color w:val="auto"/>
              </w:rPr>
            </w:pPr>
            <w:r>
              <w:rPr>
                <w:rFonts w:ascii="Arial" w:cs="Arial" w:eastAsia="Arial" w:hAnsi="Arial"/>
                <w:sz w:val="18"/>
                <w:szCs w:val="18"/>
                <w:color w:val="auto"/>
                <w:w w:val="92"/>
              </w:rPr>
              <w:t>10.3*†</w:t>
            </w:r>
          </w:p>
        </w:tc>
        <w:tc>
          <w:tcPr>
            <w:tcW w:w="9720" w:type="dxa"/>
            <w:vAlign w:val="bottom"/>
          </w:tcPr>
          <w:p>
            <w:pPr>
              <w:spacing w:after="0"/>
              <w:rPr>
                <w:sz w:val="20"/>
                <w:szCs w:val="20"/>
                <w:color w:val="auto"/>
              </w:rPr>
            </w:pPr>
            <w:r>
              <w:rPr>
                <w:rFonts w:ascii="Arial" w:cs="Arial" w:eastAsia="Arial" w:hAnsi="Arial"/>
                <w:sz w:val="18"/>
                <w:szCs w:val="18"/>
                <w:color w:val="auto"/>
                <w:w w:val="91"/>
              </w:rPr>
              <w:t>Exclusive License Agreement by and between the Registrant and Chong Kun Dang Pharmaceutical Corp. of South Korea, dated July</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6, 2009, as amended</w:t>
            </w:r>
          </w:p>
        </w:tc>
      </w:tr>
      <w:tr>
        <w:trPr>
          <w:trHeight w:val="310"/>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Lease Agreement by and between the Company and MIT One Broadway LLC, dated July 8, 2011, as amended by First Amendment to</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Lease, dated June 20, 2013</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Letter by and between the Registrant and Thomas E. Hughes, dated July 25, 2008</w:t>
            </w:r>
          </w:p>
        </w:tc>
      </w:tr>
      <w:tr>
        <w:trPr>
          <w:trHeight w:val="310"/>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Employee Non-Competition, Non-Solicitation, Confidentiality and Assignment Agreement by and between the Registrant and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Thomas E. Hughes, dated July 29, 2008</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10.7*</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Letter by and between the Registrant and Dennis D. Kim, dated August 23, 2011</w:t>
            </w:r>
          </w:p>
        </w:tc>
      </w:tr>
      <w:tr>
        <w:trPr>
          <w:trHeight w:val="310"/>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10.8*</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Employee Non-Competition, Non-Solicitation, Confidentiality and Assignment Agreement by and between the Registrant and Dennis</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 Kim, dated August 29, 2013</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10.9*</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Letter by and between the Registrant and Patricia L. Allen, dated November 30, 2012</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Employee Non-Competition, Non-Solicitation, Confidentiality and Assignment Agreement by and between the Registrant and Patricia</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 Allen, dated August 29, 2013</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Indemnification Agreement, to be entered into between the Registrant and its officers and directors</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Senior Executive Cash Incentive Bonus Plan</w:t>
            </w:r>
          </w:p>
        </w:tc>
      </w:tr>
      <w:tr>
        <w:trPr>
          <w:trHeight w:val="310"/>
        </w:trPr>
        <w:tc>
          <w:tcPr>
            <w:tcW w:w="1700" w:type="dxa"/>
            <w:vAlign w:val="bottom"/>
            <w:gridSpan w:val="3"/>
          </w:tcPr>
          <w:p>
            <w:pPr>
              <w:spacing w:after="0"/>
              <w:rPr>
                <w:sz w:val="20"/>
                <w:szCs w:val="20"/>
                <w:color w:val="auto"/>
              </w:rPr>
            </w:pPr>
            <w:r>
              <w:rPr>
                <w:rFonts w:ascii="Arial" w:cs="Arial" w:eastAsia="Arial" w:hAnsi="Arial"/>
                <w:sz w:val="18"/>
                <w:szCs w:val="18"/>
                <w:color w:val="auto"/>
              </w:rPr>
              <w:t>10.13*†</w:t>
            </w:r>
          </w:p>
        </w:tc>
        <w:tc>
          <w:tcPr>
            <w:tcW w:w="9720" w:type="dxa"/>
            <w:vAlign w:val="bottom"/>
          </w:tcPr>
          <w:p>
            <w:pPr>
              <w:spacing w:after="0"/>
              <w:rPr>
                <w:sz w:val="20"/>
                <w:szCs w:val="20"/>
                <w:color w:val="auto"/>
              </w:rPr>
            </w:pPr>
            <w:r>
              <w:rPr>
                <w:rFonts w:ascii="Arial" w:cs="Arial" w:eastAsia="Arial" w:hAnsi="Arial"/>
                <w:sz w:val="18"/>
                <w:szCs w:val="18"/>
                <w:color w:val="auto"/>
                <w:w w:val="92"/>
              </w:rPr>
              <w:t>Exclusive License Agreement by and between the Registrant and Children’s Medical Center Corporation, dated January 4, 2007, as</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amended January 19, 2007</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Goodwin Procter LLP (included in Exhibit 5.1)</w:t>
            </w:r>
          </w:p>
        </w:tc>
      </w:tr>
      <w:tr>
        <w:trPr>
          <w:trHeight w:val="324"/>
        </w:trPr>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220" w:right="560" w:hanging="212"/>
        <w:spacing w:after="0" w:line="265" w:lineRule="auto"/>
        <w:tabs>
          <w:tab w:leader="none" w:pos="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rPr>
          <w:sz w:val="20"/>
          <w:szCs w:val="20"/>
          <w:color w:val="auto"/>
        </w:rPr>
      </w:pPr>
      <w:r>
        <w:rPr>
          <w:rFonts w:ascii="Arial" w:cs="Arial" w:eastAsia="Arial" w:hAnsi="Arial"/>
          <w:sz w:val="18"/>
          <w:szCs w:val="18"/>
          <w:color w:val="auto"/>
        </w:rPr>
        <w:t>#  Represents management compensation plan.</w:t>
      </w:r>
    </w:p>
    <w:p>
      <w:pPr>
        <w:sectPr>
          <w:pgSz w:w="11900" w:h="16838" w:orient="portrait"/>
          <w:cols w:equalWidth="0" w:num="1">
            <w:col w:w="11420"/>
          </w:cols>
          <w:pgMar w:left="240" w:top="46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Counselors at Law</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617.570.1000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617.523.1231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Austin Stephenson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Dan Greenspan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Zafgen,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Confidential Draft 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Submitted January 31,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CIK No. 0001374690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Stephenson:</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This letter is being submitted on behalf of Zafgen, Inc. (the “</w:t>
      </w:r>
      <w:r>
        <w:rPr>
          <w:rFonts w:ascii="Arial" w:cs="Arial" w:eastAsia="Arial" w:hAnsi="Arial"/>
          <w:sz w:val="16"/>
          <w:szCs w:val="16"/>
          <w:u w:val="single" w:color="auto"/>
          <w:color w:val="auto"/>
        </w:rPr>
        <w:t>Company</w:t>
      </w:r>
      <w:r>
        <w:rPr>
          <w:rFonts w:ascii="Arial" w:cs="Arial" w:eastAsia="Arial" w:hAnsi="Arial"/>
          <w:sz w:val="16"/>
          <w:szCs w:val="16"/>
          <w:color w:val="auto"/>
        </w:rPr>
        <w:t>”) in response to the comments of the staff of the Division of Corporation Finance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with respect to the Company’s Confidential Draft Registration Statement on Form S-1 submitted on January 31, 2014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set forth in your letter dated February 27, 2014 addressed to Thomas Hughes, Chief Executive Officer of the Company (the “</w:t>
      </w:r>
      <w:r>
        <w:rPr>
          <w:rFonts w:ascii="Arial" w:cs="Arial" w:eastAsia="Arial" w:hAnsi="Arial"/>
          <w:sz w:val="16"/>
          <w:szCs w:val="16"/>
          <w:u w:val="single" w:color="auto"/>
          <w:color w:val="auto"/>
        </w:rPr>
        <w:t>Comment Letter</w:t>
      </w:r>
      <w:r>
        <w:rPr>
          <w:rFonts w:ascii="Arial" w:cs="Arial" w:eastAsia="Arial" w:hAnsi="Arial"/>
          <w:sz w:val="16"/>
          <w:szCs w:val="16"/>
          <w:color w:val="auto"/>
        </w:rPr>
        <w:t>”). The Company is concurrently confidentially submitting Amendment No. 1 to the Draft Registration Statement on Form S-1 (“</w:t>
      </w:r>
      <w:r>
        <w:rPr>
          <w:rFonts w:ascii="Arial" w:cs="Arial" w:eastAsia="Arial" w:hAnsi="Arial"/>
          <w:sz w:val="16"/>
          <w:szCs w:val="16"/>
          <w:u w:val="single" w:color="auto"/>
          <w:color w:val="auto"/>
        </w:rPr>
        <w:t>Amendment No. 1</w:t>
      </w:r>
      <w:r>
        <w:rPr>
          <w:rFonts w:ascii="Arial" w:cs="Arial" w:eastAsia="Arial" w:hAnsi="Arial"/>
          <w:sz w:val="16"/>
          <w:szCs w:val="16"/>
          <w:color w:val="auto"/>
        </w:rPr>
        <w:t>”), which includes changes to reflect responses to the Staff’s comments.</w:t>
      </w:r>
    </w:p>
    <w:p>
      <w:pPr>
        <w:spacing w:after="0" w:line="15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refer to the Registration Statement, and page references in the responses refer to Amendment No. 1.</w:t>
      </w:r>
    </w:p>
    <w:p>
      <w:pPr>
        <w:sectPr>
          <w:pgSz w:w="11900" w:h="16838" w:orient="portrait"/>
          <w:cols w:equalWidth="0" w:num="1">
            <w:col w:w="11420"/>
          </w:cols>
          <w:pgMar w:left="240" w:top="125" w:right="239" w:bottom="1440" w:gutter="0" w:footer="0" w:header="0"/>
        </w:sectPr>
      </w:pPr>
    </w:p>
    <w:bookmarkStart w:id="183" w:name="page184"/>
    <w:bookmarkEnd w:id="183"/>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responses provided herein are based upon information provided to Goodwin Procter LLP by the Company. In addition to submitting this letter via EDGAR, we are sending via Federal Express two (2) copies of each of this letter and Amendment No. 1 (marked to show changes from the Registration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left="640" w:hanging="17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Please submit all outstanding exhibits as soon as practicable. We may have further comments upon examination of these exhibits</w:t>
      </w:r>
      <w:r>
        <w:rPr>
          <w:rFonts w:ascii="Arial" w:cs="Arial" w:eastAsia="Arial" w:hAnsi="Arial"/>
          <w:sz w:val="18"/>
          <w:szCs w:val="18"/>
          <w:color w:val="auto"/>
        </w:rPr>
        <w:t>.</w:t>
      </w:r>
    </w:p>
    <w:p>
      <w:pPr>
        <w:spacing w:after="0" w:line="117"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RESPONSE: The Company acknowledges the Staff’s comment and will file the outstanding exhibits in a future amendment to the Registration Statement.</w:t>
      </w:r>
    </w:p>
    <w:p>
      <w:pPr>
        <w:spacing w:after="0" w:line="170" w:lineRule="exact"/>
        <w:rPr>
          <w:sz w:val="20"/>
          <w:szCs w:val="20"/>
          <w:color w:val="auto"/>
        </w:rPr>
      </w:pPr>
    </w:p>
    <w:p>
      <w:pPr>
        <w:ind w:firstLine="464"/>
        <w:spacing w:after="0" w:line="277"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Please provide us proofs of all graphic, visual or photographic information you will provide in the printed prospectus prior to its use, for example in a preliminary prospectus. Please note that we may have comments regarding this material.</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RESPONSE: The Company acknowledges the Staff’s comment and will provide the Staff with any graphics, visual or photographic information that it elects to include in the printed prospectus prior to its use.</w:t>
      </w:r>
    </w:p>
    <w:p>
      <w:pPr>
        <w:spacing w:after="0" w:line="170" w:lineRule="exact"/>
        <w:rPr>
          <w:sz w:val="20"/>
          <w:szCs w:val="20"/>
          <w:color w:val="auto"/>
        </w:rPr>
      </w:pPr>
    </w:p>
    <w:p>
      <w:pPr>
        <w:ind w:firstLine="464"/>
        <w:spacing w:after="0" w:line="257" w:lineRule="auto"/>
        <w:tabs>
          <w:tab w:leader="none" w:pos="636"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 Similarly, please supplementally provide us with any research reports about you that are published or distributed in reliance upon Section 2(a)(3) of the Securities Act of 1933 added by Section 105(a) of the Jumpstart Our Business Startups Act by any broker or dealer that is participating or will participate in your offering.</w:t>
      </w:r>
    </w:p>
    <w:p>
      <w:pPr>
        <w:spacing w:after="0" w:line="8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RESPONSE: The Company respectfully advises the Staff that as of the date hereof no written communications have been presented to investors in reliance on Section 5(d) of the Securities Act. The Company will supplementally provide the Staff with any written communications that are presented to investors in reliance on Section 5(d) of the Securities Act that occur after the date hereof. The Company further advises the Staff that as of the date hereof no research reports about the Company have been published or distributed in reliance upon Section 2(a)(3) of the Securities Act. The Company will supplementally provide the Staff with any research reports about the Company that are published or distributed in reliance upon Section 2(a)(3) of the Securities Act after the date hereof.</w:t>
      </w:r>
    </w:p>
    <w:p>
      <w:pPr>
        <w:spacing w:after="0" w:line="193" w:lineRule="exact"/>
        <w:rPr>
          <w:sz w:val="20"/>
          <w:szCs w:val="20"/>
          <w:color w:val="auto"/>
        </w:rPr>
      </w:pPr>
    </w:p>
    <w:p>
      <w:pPr>
        <w:ind w:right="320" w:firstLine="464"/>
        <w:spacing w:after="0" w:line="277" w:lineRule="auto"/>
        <w:tabs>
          <w:tab w:leader="none" w:pos="636"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We note that your exhibit index indicates you have submitted an application for confidential treatment covering several of your exhibits. We will deliver comments to your confidential treatment request under separate cover.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RESPONSE: The Company acknowledges the Staff’s comment.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Severe Obesity in the General Population, pages 77-78</w:t>
      </w:r>
    </w:p>
    <w:p>
      <w:pPr>
        <w:spacing w:after="0" w:line="103" w:lineRule="exact"/>
        <w:rPr>
          <w:sz w:val="20"/>
          <w:szCs w:val="20"/>
          <w:color w:val="auto"/>
        </w:rPr>
      </w:pPr>
    </w:p>
    <w:p>
      <w:pPr>
        <w:ind w:firstLine="464"/>
        <w:spacing w:after="0" w:line="273" w:lineRule="auto"/>
        <w:tabs>
          <w:tab w:leader="none" w:pos="636"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We note your disclosure of current treatments for severe obesity and their “key limitations.” Below this table, you should include the qualification that beloranib could also be subject to some of the same limitations for treatment of obesity. In this regard, we note that one of the treatments is limited by unpleasant gastrointestinal side effects, which have also been observed as adverse events in clinical trials for beloranib. We also note your disclosure on page 89 that you expect beloranib will carry a Category X label and be contraindicated in pregnant women or women looking to become pregnant, which is another key limitation included in the chart on page 78. Please revise accordingly. In addition, please clarify the specific meaning of the key limitation, “potential for abuse,” and disclose whether the same limitation could apply to beloranib.</w:t>
      </w:r>
    </w:p>
    <w:p>
      <w:pPr>
        <w:spacing w:after="0" w:line="70"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3 and 77 of Amendment No.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Trials, page 81</w:t>
      </w:r>
    </w:p>
    <w:p>
      <w:pPr>
        <w:spacing w:after="0" w:line="117" w:lineRule="exact"/>
        <w:rPr>
          <w:sz w:val="20"/>
          <w:szCs w:val="20"/>
          <w:color w:val="auto"/>
        </w:rPr>
      </w:pPr>
    </w:p>
    <w:p>
      <w:pPr>
        <w:ind w:right="60" w:firstLine="464"/>
        <w:spacing w:after="0" w:line="255" w:lineRule="auto"/>
        <w:tabs>
          <w:tab w:leader="none" w:pos="636"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We note your statement on this page that you conducted additional clinical trials of beloranib to “further explore the efficacy, safety, tolerability and impact” of the drug on obesity. However, we also note your disclosures on pages 5 and 88 that none of your clinical trials were designed to “demonstrate efficacy.” However, you describe at least two of your trials as “Phase 2b” clinical trials, which are usually designed to assess, at least in part, efficacy. Further, we note descriptions of endpoints in multiple of your clinical trials that would seem to relate to measurements of efficacy, including endpoints relating to weight loss and body composition. As such, it is unclear how investors should properly assess, and how much weight to accord, any clinical observations from these trials that bear on efficacy. Please clarify any inconsistencies. For example, please revise your disclosure in this section to address the following:</w:t>
      </w:r>
    </w:p>
    <w:p>
      <w:pPr>
        <w:spacing w:after="0" w:line="94" w:lineRule="exact"/>
        <w:rPr>
          <w:rFonts w:ascii="Arial" w:cs="Arial" w:eastAsia="Arial" w:hAnsi="Arial"/>
          <w:sz w:val="18"/>
          <w:szCs w:val="18"/>
          <w:color w:val="auto"/>
        </w:rPr>
      </w:pPr>
    </w:p>
    <w:p>
      <w:pPr>
        <w:ind w:left="900" w:hanging="325"/>
        <w:spacing w:after="0"/>
        <w:tabs>
          <w:tab w:leader="none" w:pos="900" w:val="left"/>
        </w:tabs>
        <w:numPr>
          <w:ilvl w:val="1"/>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w:t>
      </w:r>
      <w:r>
        <w:rPr>
          <w:rFonts w:ascii="Arial" w:cs="Arial" w:eastAsia="Arial" w:hAnsi="Arial"/>
          <w:sz w:val="18"/>
          <w:szCs w:val="18"/>
          <w:i w:val="1"/>
          <w:iCs w:val="1"/>
          <w:u w:val="single" w:color="auto"/>
          <w:color w:val="auto"/>
        </w:rPr>
        <w:t>primary</w:t>
      </w:r>
      <w:r>
        <w:rPr>
          <w:rFonts w:ascii="Arial" w:cs="Arial" w:eastAsia="Arial" w:hAnsi="Arial"/>
          <w:sz w:val="18"/>
          <w:szCs w:val="18"/>
          <w:i w:val="1"/>
          <w:iCs w:val="1"/>
          <w:color w:val="auto"/>
        </w:rPr>
        <w:t xml:space="preserve"> clinical endpoints for each trial and the extent to which the endpoints were met;</w:t>
      </w:r>
    </w:p>
    <w:p>
      <w:pPr>
        <w:spacing w:after="0" w:line="130" w:lineRule="exact"/>
        <w:rPr>
          <w:rFonts w:ascii="Arial" w:cs="Arial" w:eastAsia="Arial" w:hAnsi="Arial"/>
          <w:sz w:val="18"/>
          <w:szCs w:val="18"/>
          <w:i w:val="1"/>
          <w:iCs w:val="1"/>
          <w:color w:val="auto"/>
        </w:rPr>
      </w:pPr>
    </w:p>
    <w:p>
      <w:pPr>
        <w:ind w:left="900" w:right="220" w:hanging="325"/>
        <w:spacing w:after="0" w:line="277" w:lineRule="auto"/>
        <w:tabs>
          <w:tab w:leader="none" w:pos="900" w:val="left"/>
        </w:tabs>
        <w:numPr>
          <w:ilvl w:val="1"/>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how secondary objectives, such as weight loss or changes in body composition, were analyzed (e.g., as part of the intended trial design or on a post-hoc basis); and</w:t>
      </w:r>
    </w:p>
    <w:p>
      <w:pPr>
        <w:spacing w:after="0" w:line="75" w:lineRule="exact"/>
        <w:rPr>
          <w:rFonts w:ascii="Arial" w:cs="Arial" w:eastAsia="Arial" w:hAnsi="Arial"/>
          <w:sz w:val="18"/>
          <w:szCs w:val="18"/>
          <w:i w:val="1"/>
          <w:iCs w:val="1"/>
          <w:color w:val="auto"/>
        </w:rPr>
      </w:pPr>
    </w:p>
    <w:p>
      <w:pPr>
        <w:ind w:left="900" w:right="40" w:hanging="325"/>
        <w:spacing w:after="0" w:line="277" w:lineRule="auto"/>
        <w:tabs>
          <w:tab w:leader="none" w:pos="900" w:val="left"/>
        </w:tabs>
        <w:numPr>
          <w:ilvl w:val="1"/>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to what extent, if any, you may rely on results from trials conducted to date in your regulatory filings with the FDA to support claims of efficacy if the trials were not designed to demonstrate efficacy.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Please ensure that you are consistent throughout disclosure on these points.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5, 82-84, 87 and 88 of Amendment No. 1.</w:t>
      </w:r>
    </w:p>
    <w:p>
      <w:pPr>
        <w:spacing w:after="0" w:line="170" w:lineRule="exact"/>
        <w:rPr>
          <w:sz w:val="20"/>
          <w:szCs w:val="20"/>
          <w:color w:val="auto"/>
        </w:rPr>
      </w:pPr>
    </w:p>
    <w:p>
      <w:pPr>
        <w:ind w:right="160" w:firstLine="464"/>
        <w:spacing w:after="0" w:line="264" w:lineRule="auto"/>
        <w:tabs>
          <w:tab w:leader="none" w:pos="636"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Please include in your disclosure a brief discussion of the importance and use of statistical significance in clinical trial analytics. Please also provide an explanation of “p-values” in layman’s terms and put this terminology in context by disclosing the threshold p-value below which a clinical result would be viewed as statistically significant</w:t>
      </w:r>
      <w:r>
        <w:rPr>
          <w:rFonts w:ascii="Arial" w:cs="Arial" w:eastAsia="Arial" w:hAnsi="Arial"/>
          <w:sz w:val="18"/>
          <w:szCs w:val="18"/>
          <w:color w:val="auto"/>
        </w:rPr>
        <w:t>.</w:t>
      </w:r>
    </w:p>
    <w:p>
      <w:pPr>
        <w:spacing w:after="0" w:line="73" w:lineRule="exact"/>
        <w:rPr>
          <w:sz w:val="20"/>
          <w:szCs w:val="20"/>
          <w:color w:val="auto"/>
        </w:rPr>
      </w:pPr>
    </w:p>
    <w:p>
      <w:pPr>
        <w:jc w:val="center"/>
        <w:ind w:left="460" w:right="240"/>
        <w:spacing w:after="0" w:line="449"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 82 of Amendment No. 1. 3</w:t>
      </w:r>
    </w:p>
    <w:p>
      <w:pPr>
        <w:sectPr>
          <w:pgSz w:w="11900" w:h="16838" w:orient="portrait"/>
          <w:cols w:equalWidth="0" w:num="1">
            <w:col w:w="11420"/>
          </w:cols>
          <w:pgMar w:left="240" w:top="274"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4-week Phase 1b Proof of Concept Clinical Trial in Obese Patients (ZAF-101), page 85</w:t>
      </w:r>
    </w:p>
    <w:p>
      <w:pPr>
        <w:spacing w:after="0" w:line="117" w:lineRule="exact"/>
        <w:rPr>
          <w:sz w:val="20"/>
          <w:szCs w:val="20"/>
          <w:color w:val="auto"/>
        </w:rPr>
      </w:pPr>
    </w:p>
    <w:p>
      <w:pPr>
        <w:ind w:firstLine="464"/>
        <w:spacing w:after="0" w:line="277" w:lineRule="auto"/>
        <w:tabs>
          <w:tab w:leader="none" w:pos="636"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We note your disclosure that at the highest dose, beloranib appears to be less tolerated and leads to more frequent moderate intensity TEAEs. Please disclose the frequency with which the referenced TEAEs occurred in this trial.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RESPONSE: The Registration Statement has been revised in response to the Staff’s comment. Please see revisions on page 85 of Amendment No.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2a Clinical Trials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ZAF-201, page 86</w:t>
      </w:r>
    </w:p>
    <w:p>
      <w:pPr>
        <w:spacing w:after="0" w:line="103" w:lineRule="exact"/>
        <w:rPr>
          <w:sz w:val="20"/>
          <w:szCs w:val="20"/>
          <w:color w:val="auto"/>
        </w:rPr>
      </w:pPr>
    </w:p>
    <w:p>
      <w:pPr>
        <w:ind w:right="220" w:firstLine="464"/>
        <w:spacing w:after="0" w:line="277"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We note your bullet points in this section stating that levels of the inflammation marker C-reactive protein and sense of hunger were both reduced. Please clarify: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the relevance of low concentrations of C-reactive protein and the relationship, if any, of inflammation to obesity.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how sense of hunger corresponded to measurements of cm and mg and how such measurements were obtained.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RESPONSE: The Registration Statement has been revised in response to the Staff’s comment. Please see revisions on page 86 of Amendment No. 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we respectfully advise the Staff that there is no relationship of inflammation to obesity.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ZAF-211, pages 87-88</w:t>
      </w:r>
    </w:p>
    <w:p>
      <w:pPr>
        <w:spacing w:after="0" w:line="117" w:lineRule="exact"/>
        <w:rPr>
          <w:sz w:val="20"/>
          <w:szCs w:val="20"/>
          <w:color w:val="auto"/>
        </w:rPr>
      </w:pPr>
    </w:p>
    <w:p>
      <w:pPr>
        <w:ind w:right="20" w:firstLine="464"/>
        <w:spacing w:after="0" w:line="264" w:lineRule="auto"/>
        <w:tabs>
          <w:tab w:leader="none" w:pos="726"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We note your disclosure that changes in body weight were “not statistically significant by ANCOVA, a pre-specified statistical analysis.” As this is not term that is familiar to non-specialists, please briefly define ANCOVA, explain how it was used in the analysis of trial results, and disclose whether it was considered in regard to all endpoint measurements</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RESPONSE: The Registration Statement has been revised in response to the Staff’s comment. Please see revisions on page 87 of Amendment No. 1.</w:t>
      </w:r>
    </w:p>
    <w:p>
      <w:pPr>
        <w:spacing w:after="0" w:line="248" w:lineRule="exact"/>
        <w:rPr>
          <w:sz w:val="20"/>
          <w:szCs w:val="20"/>
          <w:color w:val="auto"/>
        </w:rPr>
      </w:pPr>
    </w:p>
    <w:p>
      <w:pPr>
        <w:ind w:right="80" w:firstLine="464"/>
        <w:spacing w:after="0" w:line="259"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We note your disclosure that “engagement of the underlying drug pathway occurs with beloranib treatment in PWS patients, as evidenced by the treatment-related increase in high density lipoprotein cholesterol [and] the reduction in low density lipoprotein cholesterol.” Please clarify this statement by explaining why high density and low density lipoprotein cholesterol levels suggest engagement of the underlying drug pathway and the significance of this effect to beloranib’s potential as an effective treatment</w:t>
      </w:r>
      <w:r>
        <w:rPr>
          <w:rFonts w:ascii="Arial" w:cs="Arial" w:eastAsia="Arial" w:hAnsi="Arial"/>
          <w:sz w:val="18"/>
          <w:szCs w:val="18"/>
          <w:color w:val="auto"/>
        </w:rPr>
        <w:t>.</w:t>
      </w:r>
    </w:p>
    <w:p>
      <w:pPr>
        <w:spacing w:after="0" w:line="79" w:lineRule="exact"/>
        <w:rPr>
          <w:sz w:val="20"/>
          <w:szCs w:val="20"/>
          <w:color w:val="auto"/>
        </w:rPr>
      </w:pPr>
    </w:p>
    <w:p>
      <w:pPr>
        <w:jc w:val="center"/>
        <w:ind w:left="500" w:right="200"/>
        <w:spacing w:after="0" w:line="449"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 88 of Amendment No. 1. 4</w:t>
      </w:r>
    </w:p>
    <w:p>
      <w:pPr>
        <w:sectPr>
          <w:pgSz w:w="11900" w:h="16838" w:orient="portrait"/>
          <w:cols w:equalWidth="0" w:num="1">
            <w:col w:w="11380"/>
          </w:cols>
          <w:pgMar w:left="240" w:top="274" w:right="2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Clinical Trial Summary and Next Steps, pages 88-89</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12</w:t>
      </w:r>
      <w:r>
        <w:rPr>
          <w:rFonts w:ascii="Arial" w:cs="Arial" w:eastAsia="Arial" w:hAnsi="Arial"/>
          <w:sz w:val="18"/>
          <w:szCs w:val="18"/>
          <w:i w:val="1"/>
          <w:iCs w:val="1"/>
          <w:color w:val="auto"/>
        </w:rPr>
        <w:t>. We note that you are currently designing a Phase 2b/3 clinical trial to support registration and commercialization of beloranib in PWS patients.</w:t>
      </w:r>
      <w:r>
        <w:rPr>
          <w:rFonts w:ascii="Arial" w:cs="Arial" w:eastAsia="Arial" w:hAnsi="Arial"/>
          <w:sz w:val="18"/>
          <w:szCs w:val="18"/>
          <w:color w:val="auto"/>
        </w:rPr>
        <w:t xml:space="preserve"> </w:t>
      </w:r>
      <w:r>
        <w:rPr>
          <w:rFonts w:ascii="Arial" w:cs="Arial" w:eastAsia="Arial" w:hAnsi="Arial"/>
          <w:sz w:val="18"/>
          <w:szCs w:val="18"/>
          <w:i w:val="1"/>
          <w:iCs w:val="1"/>
          <w:color w:val="auto"/>
        </w:rPr>
        <w:t>Please disclose generally the primary clinical objectives of this planned trial. To the extent known, please describe the clinical trial’s design and goals, including primary clinical endpoints to be measured.</w:t>
      </w:r>
    </w:p>
    <w:p>
      <w:pPr>
        <w:spacing w:after="0" w:line="73"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color w:val="auto"/>
        </w:rPr>
        <w:t>RESPONSE: The Company respectfully advises the Staff that the FDA has agreed that the clinical trial described in the Registration Statement as the Phase 2b/3 clinical trial of beloranib as a treatment of severe obesity in PWS will be a Phase 3 clinical trial as opposed to a Phase 2b/3 clinical trial, therefore, this change has been made throughout Amendment No. 1. The Company is still discussing the design and goals, including primary clinical endpoints to be measured, of this Phase 3 clinical trial with the FDA. The Company will include this information in a future amendment to the Registration Statement.</w:t>
      </w:r>
    </w:p>
    <w:p>
      <w:pPr>
        <w:spacing w:after="0" w:line="188"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13</w:t>
      </w:r>
      <w:r>
        <w:rPr>
          <w:rFonts w:ascii="Arial" w:cs="Arial" w:eastAsia="Arial" w:hAnsi="Arial"/>
          <w:sz w:val="16"/>
          <w:szCs w:val="16"/>
          <w:i w:val="1"/>
          <w:iCs w:val="1"/>
          <w:color w:val="auto"/>
        </w:rPr>
        <w:t>. For your planned Phase 2b/3 clinical trial of beloranib in PWS patients, please elaborate on your strategy for patient enrollment. Approximately</w:t>
      </w:r>
      <w:r>
        <w:rPr>
          <w:rFonts w:ascii="Arial" w:cs="Arial" w:eastAsia="Arial" w:hAnsi="Arial"/>
          <w:sz w:val="16"/>
          <w:szCs w:val="16"/>
          <w:color w:val="auto"/>
        </w:rPr>
        <w:t xml:space="preserve"> </w:t>
      </w:r>
      <w:r>
        <w:rPr>
          <w:rFonts w:ascii="Arial" w:cs="Arial" w:eastAsia="Arial" w:hAnsi="Arial"/>
          <w:sz w:val="16"/>
          <w:szCs w:val="16"/>
          <w:i w:val="1"/>
          <w:iCs w:val="1"/>
          <w:color w:val="auto"/>
        </w:rPr>
        <w:t>how many patients do you expect you will require for successful completion of this trial? How do you expect to find and enroll the PWS patients, and what difficulties do you anticipate, if any? In this regard, we note the rarity of the disease and the fact that only 17 PWS patients were enrolled in the ZAF-211</w:t>
      </w:r>
      <w:r>
        <w:rPr>
          <w:rFonts w:ascii="Arial" w:cs="Arial" w:eastAsia="Arial" w:hAnsi="Arial"/>
          <w:sz w:val="16"/>
          <w:szCs w:val="16"/>
          <w:color w:val="auto"/>
        </w:rPr>
        <w:t>.</w:t>
      </w:r>
    </w:p>
    <w:p>
      <w:pPr>
        <w:spacing w:after="0" w:line="3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RESPONSE: The Company respectfully refers the Staff to its response to question 12 above regarding the change in this trial from a Phase 2b/3 clinical trial to a Phase 3 clinical trial. The Company is still discussing the design and goals, including size, of the Phase 3 clinical trial of beloranib in PWS patients with the FDA. The Company will include this information in a future amendment to the Registration Statement.</w:t>
      </w:r>
    </w:p>
    <w:p>
      <w:pPr>
        <w:spacing w:after="0" w:line="166" w:lineRule="exact"/>
        <w:rPr>
          <w:sz w:val="20"/>
          <w:szCs w:val="20"/>
          <w:color w:val="auto"/>
        </w:rPr>
      </w:pPr>
    </w:p>
    <w:p>
      <w:pPr>
        <w:ind w:right="20" w:firstLine="464"/>
        <w:spacing w:after="0" w:line="264" w:lineRule="auto"/>
        <w:tabs>
          <w:tab w:leader="none" w:pos="726"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We note your disclosure that you plan to seek feedback from the FDA in early 2014 before initiating further clinical trials. Please disclose what sort of feedback you will seek and disclose whether you will require anything specific, such as a Special Protocol Assessment, from the FDA before moving forward with further trials for beloranib</w:t>
      </w:r>
      <w:r>
        <w:rPr>
          <w:rFonts w:ascii="Arial" w:cs="Arial" w:eastAsia="Arial" w:hAnsi="Arial"/>
          <w:sz w:val="18"/>
          <w:szCs w:val="18"/>
          <w:color w:val="auto"/>
        </w:rPr>
        <w:t>.</w:t>
      </w:r>
    </w:p>
    <w:p>
      <w:pPr>
        <w:spacing w:after="0" w:line="7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RESPONSE: The Company respectfully advises the Staff that the Company had its end of Phase 2a meeting with the FDA in February 2014 with respect to its Phase 2a clinical trial of beloranib as a treatment of PWS. In connection with the meeting, the Company requested feedback from the FDA regarding (i) the design and goals of its planned Phase 2b/3 clinical trial of beloranib as a treatment of severe obesity in PWS and (ii) preclinical data that would need to be submitted to the FDA in an NDA for beloranib as a treatment of PWS. The Company refers the Staff to its response to question</w:t>
      </w:r>
    </w:p>
    <w:p>
      <w:pPr>
        <w:spacing w:after="0" w:line="2" w:lineRule="exact"/>
        <w:rPr>
          <w:sz w:val="20"/>
          <w:szCs w:val="20"/>
          <w:color w:val="auto"/>
        </w:rPr>
      </w:pPr>
    </w:p>
    <w:p>
      <w:pPr>
        <w:ind w:left="460" w:right="20"/>
        <w:spacing w:after="0" w:line="277" w:lineRule="auto"/>
        <w:rPr>
          <w:sz w:val="20"/>
          <w:szCs w:val="20"/>
          <w:color w:val="auto"/>
        </w:rPr>
      </w:pPr>
      <w:r>
        <w:rPr>
          <w:rFonts w:ascii="Arial" w:cs="Arial" w:eastAsia="Arial" w:hAnsi="Arial"/>
          <w:sz w:val="17"/>
          <w:szCs w:val="17"/>
          <w:color w:val="auto"/>
        </w:rPr>
        <w:t>12 above regarding the change in the trial from a Phase 2b/3 clinical trial to a Phase 3 clinical trial. The Company and the FDA are still discussing the design and goals of the Phase 3 clinical trial of beloranib in PWS patients and preclinical data that will need to be submitted in an NDA for beloranib as a treatment for PWS. The Company will include this information in a future amendment to the Registration Statement.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CKD License, page 91</w:t>
      </w:r>
    </w:p>
    <w:p>
      <w:pPr>
        <w:spacing w:after="0" w:line="103" w:lineRule="exact"/>
        <w:rPr>
          <w:sz w:val="20"/>
          <w:szCs w:val="20"/>
          <w:color w:val="auto"/>
        </w:rPr>
      </w:pPr>
    </w:p>
    <w:p>
      <w:pPr>
        <w:ind w:left="740" w:hanging="276"/>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Please disclose the potential aggregate amount of milestones you may be required to pay under this agreement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RESPONSE: The Registration Statement has been revised in response to the Staff’s comment. Please see revisions on page 91 of Amendment No.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Children’s License, page 91</w:t>
      </w:r>
    </w:p>
    <w:p>
      <w:pPr>
        <w:spacing w:after="0" w:line="117" w:lineRule="exact"/>
        <w:rPr>
          <w:sz w:val="20"/>
          <w:szCs w:val="20"/>
          <w:color w:val="auto"/>
        </w:rPr>
      </w:pPr>
    </w:p>
    <w:p>
      <w:pPr>
        <w:ind w:firstLine="464"/>
        <w:spacing w:after="0" w:line="312" w:lineRule="auto"/>
        <w:tabs>
          <w:tab w:leader="none" w:pos="726"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Please disclose the nature of the patents covered by this agreement. For example, do they provide different protection than those covered under the CKD license? If so, what type of protection do they provide? In addition, please disclose the potential aggregate amount of milestones you may be required to pay and the termination provisions governing this license. Finally, please file this license agreement as an exhibit to your registration statement</w:t>
      </w:r>
      <w:r>
        <w:rPr>
          <w:rFonts w:ascii="Arial" w:cs="Arial" w:eastAsia="Arial" w:hAnsi="Arial"/>
          <w:sz w:val="16"/>
          <w:szCs w:val="16"/>
          <w:color w:val="auto"/>
        </w:rPr>
        <w:t>.</w:t>
      </w:r>
    </w:p>
    <w:p>
      <w:pPr>
        <w:spacing w:after="0" w:line="39"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 91 and the Exhibit Index of Amendment No.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pages 91-92</w:t>
      </w:r>
    </w:p>
    <w:p>
      <w:pPr>
        <w:spacing w:after="0" w:line="117" w:lineRule="exact"/>
        <w:rPr>
          <w:sz w:val="20"/>
          <w:szCs w:val="20"/>
          <w:color w:val="auto"/>
        </w:rPr>
      </w:pPr>
    </w:p>
    <w:p>
      <w:pPr>
        <w:ind w:right="520" w:firstLine="464"/>
        <w:spacing w:after="0" w:line="308" w:lineRule="auto"/>
        <w:tabs>
          <w:tab w:leader="none" w:pos="726"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We note that the issued U.S. patents directed to beloranib are expected to expire between 2019 and 2031. Please disclose the specific year of expiration for your composition of matter patent(s) covering beloranib, and disclose whether you own or license such patent(s)</w:t>
      </w:r>
      <w:r>
        <w:rPr>
          <w:rFonts w:ascii="Arial" w:cs="Arial" w:eastAsia="Arial" w:hAnsi="Arial"/>
          <w:sz w:val="17"/>
          <w:szCs w:val="17"/>
          <w:color w:val="auto"/>
        </w:rPr>
        <w:t>.</w:t>
      </w:r>
    </w:p>
    <w:p>
      <w:pPr>
        <w:spacing w:after="0" w:line="38"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25 and 91-92 of Amendment No. 1.</w:t>
      </w:r>
    </w:p>
    <w:p>
      <w:pPr>
        <w:spacing w:after="0" w:line="170" w:lineRule="exact"/>
        <w:rPr>
          <w:sz w:val="20"/>
          <w:szCs w:val="20"/>
          <w:color w:val="auto"/>
        </w:rPr>
      </w:pPr>
    </w:p>
    <w:p>
      <w:pPr>
        <w:ind w:left="740" w:hanging="276"/>
        <w:spacing w:after="0"/>
        <w:tabs>
          <w:tab w:leader="none" w:pos="7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Please revise to clarify the distinction between “international” and “foreign” patent applications</w:t>
      </w:r>
      <w:r>
        <w:rPr>
          <w:rFonts w:ascii="Arial" w:cs="Arial" w:eastAsia="Arial" w:hAnsi="Arial"/>
          <w:sz w:val="18"/>
          <w:szCs w:val="18"/>
          <w:color w:val="auto"/>
        </w:rPr>
        <w:t>.</w:t>
      </w:r>
    </w:p>
    <w:p>
      <w:pPr>
        <w:spacing w:after="0" w:line="117"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25 and 91-92 of Amendment No. 1.</w:t>
      </w:r>
    </w:p>
    <w:p>
      <w:pPr>
        <w:spacing w:after="0" w:line="170" w:lineRule="exact"/>
        <w:rPr>
          <w:sz w:val="20"/>
          <w:szCs w:val="20"/>
          <w:color w:val="auto"/>
        </w:rPr>
      </w:pPr>
    </w:p>
    <w:p>
      <w:pPr>
        <w:ind w:right="60" w:firstLine="464"/>
        <w:spacing w:after="0" w:line="259" w:lineRule="auto"/>
        <w:tabs>
          <w:tab w:leader="none" w:pos="726"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Given your plan to pursue development and commercialization of beloranib in Europe, please disclose which of your issued or pending international and foreign patents afford protection in Europe. Include disclosure of the expiration date or expected expiration date of the most significant patent(s) applicable to Europe. Please additionally include an explanation of any material European/international patent laws and regulations and how they may affect your intellectual property position</w:t>
      </w:r>
      <w:r>
        <w:rPr>
          <w:rFonts w:ascii="Arial" w:cs="Arial" w:eastAsia="Arial" w:hAnsi="Arial"/>
          <w:sz w:val="18"/>
          <w:szCs w:val="18"/>
          <w:color w:val="auto"/>
        </w:rPr>
        <w:t>.</w:t>
      </w:r>
    </w:p>
    <w:p>
      <w:pPr>
        <w:spacing w:after="0" w:line="79"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25 and 91-92 of Amendment No. 1.</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 Regulation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Union Drug Review and Approval, page 103</w:t>
      </w:r>
    </w:p>
    <w:p>
      <w:pPr>
        <w:spacing w:after="0" w:line="103" w:lineRule="exact"/>
        <w:rPr>
          <w:sz w:val="20"/>
          <w:szCs w:val="20"/>
          <w:color w:val="auto"/>
        </w:rPr>
      </w:pPr>
    </w:p>
    <w:p>
      <w:pPr>
        <w:jc w:val="both"/>
        <w:ind w:right="60" w:firstLine="464"/>
        <w:spacing w:after="0" w:line="264" w:lineRule="auto"/>
        <w:tabs>
          <w:tab w:leader="none" w:pos="726"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99 that the benefits of orphan drug status in the European Union are almost identical to the benefits in the U.S. To the extent material differences exist between the U.S. and European regulatory process with respect to orphan drugs, please revise disclosure on page 103 to describe the criteria for and process of seeking orphan drug designation in Europe</w:t>
      </w:r>
      <w:r>
        <w:rPr>
          <w:rFonts w:ascii="Arial" w:cs="Arial" w:eastAsia="Arial" w:hAnsi="Arial"/>
          <w:sz w:val="18"/>
          <w:szCs w:val="18"/>
          <w:color w:val="auto"/>
        </w:rPr>
        <w:t>.</w:t>
      </w:r>
    </w:p>
    <w:p>
      <w:pPr>
        <w:spacing w:after="0" w:line="73"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RESPONSE: The Registration Statement has been revised in response to the Staff’s comment. Please see revisions on pages 103-104 of Amendment No.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 page 116</w:t>
      </w:r>
    </w:p>
    <w:p>
      <w:pPr>
        <w:spacing w:after="0" w:line="117" w:lineRule="exact"/>
        <w:rPr>
          <w:sz w:val="20"/>
          <w:szCs w:val="20"/>
          <w:color w:val="auto"/>
        </w:rPr>
      </w:pPr>
    </w:p>
    <w:p>
      <w:pPr>
        <w:ind w:right="260" w:firstLine="464"/>
        <w:spacing w:after="0" w:line="277" w:lineRule="auto"/>
        <w:tabs>
          <w:tab w:leader="none" w:pos="726"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Please confirm that you will file as an exhibit to your registration statement the nonemployee director compensation agreement that will become effective upon the completion of this offering</w:t>
      </w:r>
      <w:r>
        <w:rPr>
          <w:rFonts w:ascii="Arial" w:cs="Arial" w:eastAsia="Arial" w:hAnsi="Arial"/>
          <w:sz w:val="18"/>
          <w:szCs w:val="18"/>
          <w:color w:val="auto"/>
        </w:rPr>
        <w:t>.</w:t>
      </w:r>
    </w:p>
    <w:p>
      <w:pPr>
        <w:spacing w:after="0" w:line="6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RESPONSE: The Company respectfully advises the Staff that the Company plans to adopt a nonemployee director compensation policy that will become effective upon the completion of this offering. The details of such policy will be disclosed in a future amendment to the Registration Statement. The Company does not plan to enter into nonemployee director compensation agreements in connection with adopting this policy and, therefore, does not intend to file a nonemployee director compensation agreement as an Exhibit to the Registration Statement.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Eligible for Future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Lock-up Agreements, page 133</w:t>
      </w:r>
    </w:p>
    <w:p>
      <w:pPr>
        <w:spacing w:after="0" w:line="103" w:lineRule="exact"/>
        <w:rPr>
          <w:sz w:val="20"/>
          <w:szCs w:val="20"/>
          <w:color w:val="auto"/>
        </w:rPr>
      </w:pPr>
    </w:p>
    <w:p>
      <w:pPr>
        <w:ind w:left="740" w:hanging="276"/>
        <w:spacing w:after="0"/>
        <w:tabs>
          <w:tab w:leader="none" w:pos="7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Please file the form of lock-up agreement as an exhibit to your registration statement as soon as it becomes available</w:t>
      </w:r>
      <w:r>
        <w:rPr>
          <w:rFonts w:ascii="Arial" w:cs="Arial" w:eastAsia="Arial" w:hAnsi="Arial"/>
          <w:sz w:val="18"/>
          <w:szCs w:val="18"/>
          <w:color w:val="auto"/>
        </w:rPr>
        <w:t>.</w:t>
      </w:r>
    </w:p>
    <w:p>
      <w:pPr>
        <w:spacing w:after="0" w:line="117"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RESPONSE: The Company respectfully acknowledges the Staff’s comment and confirms for the Staff that it will include the form of lock-up agreement as an exhibit to the Underwriting Agreement in a future filing of the Registration Statement to be filed as Exhibit 1.1 to the Registration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and Industry Data and Forecasts, page 144</w:t>
      </w:r>
    </w:p>
    <w:p>
      <w:pPr>
        <w:spacing w:after="0" w:line="117" w:lineRule="exact"/>
        <w:rPr>
          <w:sz w:val="20"/>
          <w:szCs w:val="20"/>
          <w:color w:val="auto"/>
        </w:rPr>
      </w:pPr>
    </w:p>
    <w:p>
      <w:pPr>
        <w:ind w:right="100" w:firstLine="464"/>
        <w:spacing w:after="0" w:line="257" w:lineRule="auto"/>
        <w:tabs>
          <w:tab w:leader="none" w:pos="72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Please note that it is not appropriate to state or imply that you do not have liability for the statements in your registration statement. Your statements in this section that the accuracy and completeness of the information is not guaranteed and that you have not independently any of the referenced data could imply that you are not taking liability for the statistical and other industry and market data included in your registration statement. In order to eliminate any inference that you are not liable for all of the information in your registration statement, please delete these statements or include a statement specifically accepting liability for these statements</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89" w:name="page190"/>
    <w:bookmarkEnd w:id="18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 The Registration Statement has been revised in response to the Staff’s comment to delete the section on Market and Industry Data and Forecasts. Please see revisions on page 144 of Amendment No. 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concerning the enclosed matters, please contact the undersigned at (617) 570-1021.</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Minahan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cc: Thomas Hughes, </w:t>
      </w:r>
      <w:r>
        <w:rPr>
          <w:rFonts w:ascii="Arial" w:cs="Arial" w:eastAsia="Arial" w:hAnsi="Arial"/>
          <w:sz w:val="18"/>
          <w:szCs w:val="18"/>
          <w:i w:val="1"/>
          <w:iCs w:val="1"/>
          <w:color w:val="auto"/>
        </w:rPr>
        <w:t>Zafgen, Inc.</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Patricia Allen, </w:t>
      </w:r>
      <w:r>
        <w:rPr>
          <w:rFonts w:ascii="Arial" w:cs="Arial" w:eastAsia="Arial" w:hAnsi="Arial"/>
          <w:sz w:val="18"/>
          <w:szCs w:val="18"/>
          <w:i w:val="1"/>
          <w:iCs w:val="1"/>
          <w:color w:val="auto"/>
        </w:rPr>
        <w:t>Zafgen, Inc.</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Mitchell S. Bloom, </w:t>
      </w:r>
      <w:r>
        <w:rPr>
          <w:rFonts w:ascii="Arial" w:cs="Arial" w:eastAsia="Arial" w:hAnsi="Arial"/>
          <w:sz w:val="18"/>
          <w:szCs w:val="18"/>
          <w:i w:val="1"/>
          <w:iCs w:val="1"/>
          <w:color w:val="auto"/>
        </w:rPr>
        <w:t>Goodwin Procter LLP</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Laurie A. Burlingame, </w:t>
      </w:r>
      <w:r>
        <w:rPr>
          <w:rFonts w:ascii="Arial" w:cs="Arial" w:eastAsia="Arial" w:hAnsi="Arial"/>
          <w:sz w:val="18"/>
          <w:szCs w:val="18"/>
          <w:i w:val="1"/>
          <w:iCs w:val="1"/>
          <w:color w:val="auto"/>
        </w:rPr>
        <w:t>Goodwin Procter LLP</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sectPr>
      <w:pgSz w:w="11900" w:h="16838" w:orient="portrait"/>
      <w:cols w:equalWidth="0" w:num="1">
        <w:col w:w="11120"/>
      </w:cols>
      <w:pgMar w:left="2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decimal"/>
      <w:start w:val="5"/>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A"/>
      <w:numFmt w:val="bullet"/>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lowerRoman"/>
      <w:start w:val="2"/>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1)"/>
      <w:numFmt w:val="decimal"/>
      <w:start w:val="3"/>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lvl w:ilvl="1">
      <w:lvlJc w:val="left"/>
      <w:lvlText w:val="•"/>
      <w:numFmt w:val="bullet"/>
      <w:start w:val="1"/>
    </w:lvl>
  </w:abstractNum>
  <w:abstractNum w:abstractNumId="55">
    <w:nsid w:val="1716703B"/>
    <w:multiLevelType w:val="hybridMultilevel"/>
    <w:lvl w:ilvl="0">
      <w:lvlJc w:val="left"/>
      <w:lvlText w:val="*"/>
      <w:numFmt w:val="bullet"/>
      <w:start w:val="1"/>
    </w:lvl>
    <w:lvl w:ilvl="1">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1)"/>
      <w:numFmt w:val="lowerRoman"/>
      <w:start w:val="1"/>
    </w:lvl>
  </w:abstractNum>
  <w:abstractNum w:abstractNumId="62">
    <w:nsid w:val="4A2AC315"/>
    <w:multiLevelType w:val="hybridMultilevel"/>
    <w:lvl w:ilvl="0">
      <w:lvlJc w:val="left"/>
      <w:lvlText w:val="(%1)"/>
      <w:numFmt w:val="lowerRoman"/>
      <w:start w:val="4"/>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1)"/>
      <w:numFmt w:val="decimal"/>
      <w:start w:val="1"/>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6"/>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1)"/>
      <w:numFmt w:val="decimal"/>
      <w:start w:val="3"/>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decimal"/>
      <w:start w:val="2"/>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1)"/>
      <w:numFmt w:val="lowerRoman"/>
      <w:start w:val="1"/>
    </w:lvl>
  </w:abstractNum>
  <w:abstractNum w:abstractNumId="92">
    <w:nsid w:val="5092CA79"/>
    <w:multiLevelType w:val="hybridMultilevel"/>
    <w:lvl w:ilvl="0">
      <w:lvlJc w:val="left"/>
      <w:lvlText w:val="%1."/>
      <w:numFmt w:val="decimal"/>
      <w:start w:val="8"/>
    </w:lvl>
  </w:abstractNum>
  <w:abstractNum w:abstractNumId="93">
    <w:nsid w:val="1D545C4D"/>
    <w:multiLevelType w:val="hybridMultilevel"/>
    <w:lvl w:ilvl="0">
      <w:lvlJc w:val="left"/>
      <w:lvlText w:val="%1."/>
      <w:numFmt w:val="decimal"/>
      <w:start w:val="9"/>
    </w:lvl>
  </w:abstractNum>
  <w:abstractNum w:abstractNumId="94">
    <w:nsid w:val="59ADEA3D"/>
    <w:multiLevelType w:val="hybridMultilevel"/>
    <w:lvl w:ilvl="0">
      <w:lvlJc w:val="left"/>
      <w:lvlText w:val="%1."/>
      <w:numFmt w:val="decimal"/>
      <w:start w:val="10"/>
    </w:lvl>
  </w:abstractNum>
  <w:abstractNum w:abstractNumId="95">
    <w:nsid w:val="288F1A34"/>
    <w:multiLevelType w:val="hybridMultilevel"/>
    <w:lvl w:ilvl="0">
      <w:lvlJc w:val="left"/>
      <w:lvlText w:val="(%1)"/>
      <w:numFmt w:val="lowerLetter"/>
      <w:start w:val="2"/>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3"/>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2"/>
    </w:lvl>
  </w:abstractNum>
  <w:abstractNum w:abstractNumId="101">
    <w:nsid w:val="53584BCB"/>
    <w:multiLevelType w:val="hybridMultilevel"/>
    <w:lvl w:ilvl="0">
      <w:lvlJc w:val="left"/>
      <w:lvlText w:val="%1."/>
      <w:numFmt w:val="decimal"/>
      <w:start w:val="3"/>
    </w:lvl>
  </w:abstractNum>
  <w:abstractNum w:abstractNumId="102">
    <w:nsid w:val="415E286C"/>
    <w:multiLevelType w:val="hybridMultilevel"/>
    <w:lvl w:ilvl="0">
      <w:lvlJc w:val="left"/>
      <w:lvlText w:val="%1."/>
      <w:numFmt w:val="decimal"/>
      <w:start w:val="4"/>
    </w:lvl>
  </w:abstractNum>
  <w:abstractNum w:abstractNumId="103">
    <w:nsid w:val="7C58FD05"/>
    <w:multiLevelType w:val="hybridMultilevel"/>
    <w:lvl w:ilvl="0">
      <w:lvlJc w:val="left"/>
      <w:lvlText w:val="%1."/>
      <w:numFmt w:val="decimal"/>
      <w:start w:val="5"/>
    </w:lvl>
  </w:abstractNum>
  <w:abstractNum w:abstractNumId="104">
    <w:nsid w:val="23D86AAC"/>
    <w:multiLevelType w:val="hybridMultilevel"/>
    <w:lvl w:ilvl="0">
      <w:lvlJc w:val="left"/>
      <w:lvlText w:val="%1."/>
      <w:numFmt w:val="decimal"/>
      <w:start w:val="6"/>
    </w:lvl>
    <w:lvl w:ilvl="1">
      <w:lvlJc w:val="left"/>
      <w:lvlText w:val="•"/>
      <w:numFmt w:val="bullet"/>
      <w:start w:val="1"/>
    </w:lvl>
  </w:abstractNum>
  <w:abstractNum w:abstractNumId="105">
    <w:nsid w:val="45E6D486"/>
    <w:multiLevelType w:val="hybridMultilevel"/>
    <w:lvl w:ilvl="0">
      <w:lvlJc w:val="left"/>
      <w:lvlText w:val="%1."/>
      <w:numFmt w:val="decimal"/>
      <w:start w:val="7"/>
    </w:lvl>
  </w:abstractNum>
  <w:abstractNum w:abstractNumId="106">
    <w:nsid w:val="5C10FE21"/>
    <w:multiLevelType w:val="hybridMultilevel"/>
    <w:lvl w:ilvl="0">
      <w:lvlJc w:val="left"/>
      <w:lvlText w:val="%1."/>
      <w:numFmt w:val="decimal"/>
      <w:start w:val="8"/>
    </w:lvl>
  </w:abstractNum>
  <w:abstractNum w:abstractNumId="107">
    <w:nsid w:val="E7FFA2B"/>
    <w:multiLevelType w:val="hybridMultilevel"/>
    <w:lvl w:ilvl="0">
      <w:lvlJc w:val="left"/>
      <w:lvlText w:val="%1."/>
      <w:numFmt w:val="decimal"/>
      <w:start w:val="9"/>
    </w:lvl>
    <w:lvl w:ilvl="1">
      <w:lvlJc w:val="left"/>
      <w:lvlText w:val="•"/>
      <w:numFmt w:val="bullet"/>
      <w:start w:val="1"/>
    </w:lvl>
  </w:abstractNum>
  <w:abstractNum w:abstractNumId="108">
    <w:nsid w:val="3C5991AA"/>
    <w:multiLevelType w:val="hybridMultilevel"/>
    <w:lvl w:ilvl="0">
      <w:lvlJc w:val="left"/>
      <w:lvlText w:val="%1."/>
      <w:numFmt w:val="decimal"/>
      <w:start w:val="10"/>
    </w:lvl>
  </w:abstractNum>
  <w:abstractNum w:abstractNumId="109">
    <w:nsid w:val="4BD8591A"/>
    <w:multiLevelType w:val="hybridMultilevel"/>
    <w:lvl w:ilvl="0">
      <w:lvlJc w:val="left"/>
      <w:lvlText w:val="%1."/>
      <w:numFmt w:val="decimal"/>
      <w:start w:val="11"/>
    </w:lvl>
  </w:abstractNum>
  <w:abstractNum w:abstractNumId="110">
    <w:nsid w:val="78DF6A55"/>
    <w:multiLevelType w:val="hybridMultilevel"/>
    <w:lvl w:ilvl="0">
      <w:lvlJc w:val="left"/>
      <w:lvlText w:val="%1."/>
      <w:numFmt w:val="decimal"/>
      <w:start w:val="14"/>
    </w:lvl>
  </w:abstractNum>
  <w:abstractNum w:abstractNumId="111">
    <w:nsid w:val="39B7AAA2"/>
    <w:multiLevelType w:val="hybridMultilevel"/>
    <w:lvl w:ilvl="0">
      <w:lvlJc w:val="left"/>
      <w:lvlText w:val="%1."/>
      <w:numFmt w:val="decimal"/>
      <w:start w:val="15"/>
    </w:lvl>
  </w:abstractNum>
  <w:abstractNum w:abstractNumId="112">
    <w:nsid w:val="2B0D8DBE"/>
    <w:multiLevelType w:val="hybridMultilevel"/>
    <w:lvl w:ilvl="0">
      <w:lvlJc w:val="left"/>
      <w:lvlText w:val="%1."/>
      <w:numFmt w:val="decimal"/>
      <w:start w:val="16"/>
    </w:lvl>
  </w:abstractNum>
  <w:abstractNum w:abstractNumId="113">
    <w:nsid w:val="6C80EC70"/>
    <w:multiLevelType w:val="hybridMultilevel"/>
    <w:lvl w:ilvl="0">
      <w:lvlJc w:val="left"/>
      <w:lvlText w:val="%1."/>
      <w:numFmt w:val="decimal"/>
      <w:start w:val="17"/>
    </w:lvl>
  </w:abstractNum>
  <w:abstractNum w:abstractNumId="114">
    <w:nsid w:val="379E21B5"/>
    <w:multiLevelType w:val="hybridMultilevel"/>
    <w:lvl w:ilvl="0">
      <w:lvlJc w:val="left"/>
      <w:lvlText w:val="%1."/>
      <w:numFmt w:val="decimal"/>
      <w:start w:val="18"/>
    </w:lvl>
  </w:abstractNum>
  <w:abstractNum w:abstractNumId="115">
    <w:nsid w:val="69E373"/>
    <w:multiLevelType w:val="hybridMultilevel"/>
    <w:lvl w:ilvl="0">
      <w:lvlJc w:val="left"/>
      <w:lvlText w:val="%1."/>
      <w:numFmt w:val="decimal"/>
      <w:start w:val="19"/>
    </w:lvl>
  </w:abstractNum>
  <w:abstractNum w:abstractNumId="116">
    <w:nsid w:val="2C27173B"/>
    <w:multiLevelType w:val="hybridMultilevel"/>
    <w:lvl w:ilvl="0">
      <w:lvlJc w:val="left"/>
      <w:lvlText w:val="%1."/>
      <w:numFmt w:val="decimal"/>
      <w:start w:val="20"/>
    </w:lvl>
  </w:abstractNum>
  <w:abstractNum w:abstractNumId="117">
    <w:nsid w:val="4C9B0904"/>
    <w:multiLevelType w:val="hybridMultilevel"/>
    <w:lvl w:ilvl="0">
      <w:lvlJc w:val="left"/>
      <w:lvlText w:val="%1."/>
      <w:numFmt w:val="decimal"/>
      <w:start w:val="21"/>
    </w:lvl>
  </w:abstractNum>
  <w:abstractNum w:abstractNumId="118">
    <w:nsid w:val="6AA7B75C"/>
    <w:multiLevelType w:val="hybridMultilevel"/>
    <w:lvl w:ilvl="0">
      <w:lvlJc w:val="left"/>
      <w:lvlText w:val="%1."/>
      <w:numFmt w:val="decimal"/>
      <w:start w:val="22"/>
    </w:lvl>
  </w:abstractNum>
  <w:abstractNum w:abstractNumId="119">
    <w:nsid w:val="1DF029D3"/>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2019-12-07T14:15:03Z</dcterms:created>
  <dcterms:modified xsi:type="dcterms:W3CDTF">2019-12-07T14:15:03Z</dcterms:modified>
</cp:coreProperties>
</file>