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333-219834</w:t>
      </w:r>
    </w:p>
    <w:p>
      <w:pPr>
        <w:spacing w:after="0" w:line="1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August 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314325</wp:posOffset>
            </wp:positionV>
            <wp:extent cx="1818005" cy="643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1800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left="4820"/>
        <w:spacing w:after="0"/>
        <w:rPr>
          <w:sz w:val="20"/>
          <w:szCs w:val="20"/>
          <w:color w:val="auto"/>
        </w:rPr>
      </w:pPr>
      <w:r>
        <w:rPr>
          <w:rFonts w:ascii="Arial" w:cs="Arial" w:eastAsia="Arial" w:hAnsi="Arial"/>
          <w:sz w:val="25"/>
          <w:szCs w:val="25"/>
          <w:b w:val="1"/>
          <w:bCs w:val="1"/>
          <w:color w:val="auto"/>
        </w:rPr>
        <w:t>8,000,000 Shares</w:t>
      </w:r>
    </w:p>
    <w:p>
      <w:pPr>
        <w:spacing w:after="0" w:line="226" w:lineRule="exact"/>
        <w:rPr>
          <w:sz w:val="24"/>
          <w:szCs w:val="24"/>
          <w:color w:val="auto"/>
        </w:rPr>
      </w:pPr>
    </w:p>
    <w:p>
      <w:pPr>
        <w:ind w:left="4880"/>
        <w:spacing w:after="0"/>
        <w:rPr>
          <w:sz w:val="20"/>
          <w:szCs w:val="20"/>
          <w:color w:val="auto"/>
        </w:rPr>
      </w:pPr>
      <w:r>
        <w:rPr>
          <w:rFonts w:ascii="Arial" w:cs="Arial" w:eastAsia="Arial" w:hAnsi="Arial"/>
          <w:sz w:val="25"/>
          <w:szCs w:val="25"/>
          <w:b w:val="1"/>
          <w:bCs w:val="1"/>
          <w:color w:val="auto"/>
        </w:rPr>
        <w:t>Common Stock</w:t>
      </w:r>
    </w:p>
    <w:p>
      <w:pPr>
        <w:spacing w:after="0" w:line="226" w:lineRule="exact"/>
        <w:rPr>
          <w:sz w:val="24"/>
          <w:szCs w:val="24"/>
          <w:color w:val="auto"/>
        </w:rPr>
      </w:pPr>
    </w:p>
    <w:p>
      <w:pPr>
        <w:ind w:left="4900"/>
        <w:spacing w:after="0"/>
        <w:rPr>
          <w:sz w:val="20"/>
          <w:szCs w:val="20"/>
          <w:color w:val="auto"/>
        </w:rPr>
      </w:pPr>
      <w:r>
        <w:rPr>
          <w:rFonts w:ascii="Arial" w:cs="Arial" w:eastAsia="Arial" w:hAnsi="Arial"/>
          <w:sz w:val="25"/>
          <w:szCs w:val="25"/>
          <w:b w:val="1"/>
          <w:bCs w:val="1"/>
          <w:color w:val="auto"/>
        </w:rPr>
        <w:t>$7.50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Arial" w:cs="Arial" w:eastAsia="Arial" w:hAnsi="Arial"/>
          <w:sz w:val="18"/>
          <w:szCs w:val="18"/>
          <w:color w:val="auto"/>
        </w:rPr>
        <w:t>We are selling 8,000,000 shares of our common stock in this offering.</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Our common stock is quoted on The Nasdaq Global Select Market under the symbol “ZFGN”. On June 27, 2018, the last reported sale price of our common stock on The Nasdaq Global Select Market was $8.50 per share.</w:t>
      </w:r>
    </w:p>
    <w:p>
      <w:pPr>
        <w:spacing w:after="0" w:line="170" w:lineRule="exact"/>
        <w:rPr>
          <w:sz w:val="24"/>
          <w:szCs w:val="24"/>
          <w:color w:val="auto"/>
        </w:rPr>
      </w:pPr>
    </w:p>
    <w:p>
      <w:pPr>
        <w:ind w:right="760"/>
        <w:spacing w:after="0" w:line="277" w:lineRule="auto"/>
        <w:rPr>
          <w:sz w:val="20"/>
          <w:szCs w:val="20"/>
          <w:color w:val="auto"/>
        </w:rPr>
      </w:pPr>
      <w:r>
        <w:rPr>
          <w:rFonts w:ascii="Arial" w:cs="Arial" w:eastAsia="Arial" w:hAnsi="Arial"/>
          <w:sz w:val="18"/>
          <w:szCs w:val="18"/>
          <w:color w:val="auto"/>
        </w:rPr>
        <w:t>We are an “emerging growth company” under applicable Securities and Exchange Commission rules and will be subject to reduced public reporting requirements for this prospectus and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right="300"/>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Please read “</w:t>
      </w:r>
      <w:hyperlink w:anchor="page1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S-10 of this prospectus supplement and page 4 of the accompanying prospectus, and in the documents incorporated by reference into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215265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tbl>
      <w:tblPr>
        <w:tblLayout w:type="fixed"/>
        <w:tblInd w:w="920" w:type="dxa"/>
        <w:tblCellMar>
          <w:top w:w="0" w:type="dxa"/>
          <w:left w:w="0" w:type="dxa"/>
          <w:bottom w:w="0" w:type="dxa"/>
          <w:right w:w="0" w:type="dxa"/>
        </w:tblCellMar>
      </w:tblPr>
      <w:tr>
        <w:trPr>
          <w:trHeight w:val="167"/>
        </w:trPr>
        <w:tc>
          <w:tcPr>
            <w:tcW w:w="7060" w:type="dxa"/>
            <w:vAlign w:val="bottom"/>
          </w:tcPr>
          <w:p>
            <w:pPr>
              <w:spacing w:after="0"/>
              <w:rPr>
                <w:sz w:val="14"/>
                <w:szCs w:val="14"/>
                <w:color w:val="auto"/>
              </w:rPr>
            </w:pPr>
          </w:p>
        </w:tc>
        <w:tc>
          <w:tcPr>
            <w:tcW w:w="1460" w:type="dxa"/>
            <w:vAlign w:val="bottom"/>
            <w:gridSpan w:val="3"/>
          </w:tcPr>
          <w:p>
            <w:pPr>
              <w:jc w:val="right"/>
              <w:ind w:right="840"/>
              <w:spacing w:after="0"/>
              <w:rPr>
                <w:sz w:val="20"/>
                <w:szCs w:val="20"/>
                <w:color w:val="auto"/>
              </w:rPr>
            </w:pPr>
            <w:r>
              <w:rPr>
                <w:rFonts w:ascii="Arial" w:cs="Arial" w:eastAsia="Arial" w:hAnsi="Arial"/>
                <w:sz w:val="14"/>
                <w:szCs w:val="14"/>
                <w:b w:val="1"/>
                <w:bCs w:val="1"/>
                <w:i w:val="1"/>
                <w:iCs w:val="1"/>
                <w:color w:val="auto"/>
                <w:w w:val="91"/>
              </w:rPr>
              <w:t>Per Share</w:t>
            </w:r>
          </w:p>
        </w:tc>
        <w:tc>
          <w:tcPr>
            <w:tcW w:w="20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i w:val="1"/>
                <w:iCs w:val="1"/>
                <w:color w:val="auto"/>
              </w:rPr>
              <w:t>Total</w:t>
            </w:r>
          </w:p>
        </w:tc>
      </w:tr>
      <w:tr>
        <w:trPr>
          <w:trHeight w:val="210"/>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Public Offering Price</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60,000,000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b w:val="1"/>
                <w:bCs w:val="1"/>
                <w:color w:val="auto"/>
              </w:rPr>
              <w:t>Underwriting Discounts and Commissions(1)</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0.45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7"/>
              </w:rPr>
              <w:t>3,600,000</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Proceeds to Zafgen, Inc. (before expenses)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7.05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6"/>
              </w:rPr>
              <w:t>56,400,000</w:t>
            </w:r>
          </w:p>
        </w:tc>
      </w:tr>
    </w:tbl>
    <w:p>
      <w:pPr>
        <w:spacing w:after="0" w:line="229"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beginning on page S-21 for a description of the compensation payable to the underwriters.</w:t>
      </w:r>
    </w:p>
    <w:p>
      <w:pPr>
        <w:spacing w:after="0" w:line="22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We have granted the underwriters an option to purchase up to an additional 1,200,000 shares of our common stock from us, at a price of $7.05 per share, for 30 days after the date of this prospectus supplement.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Delivery of the shares of common stock is expected to be made on or about July 2, 2018.</w:t>
      </w:r>
    </w:p>
    <w:p>
      <w:pPr>
        <w:spacing w:after="0" w:line="221" w:lineRule="exact"/>
        <w:rPr>
          <w:sz w:val="24"/>
          <w:szCs w:val="24"/>
          <w:color w:val="auto"/>
        </w:rPr>
      </w:pPr>
    </w:p>
    <w:p>
      <w:pPr>
        <w:spacing w:after="0" w:line="386"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determined if this prospectus supplement or the accompanying prospectus are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p>
        </w:tc>
        <w:tc>
          <w:tcPr>
            <w:tcW w:w="6900" w:type="dxa"/>
            <w:vAlign w:val="bottom"/>
            <w:gridSpan w:val="2"/>
          </w:tcPr>
          <w:p>
            <w:pPr>
              <w:jc w:val="right"/>
              <w:ind w:right="4805"/>
              <w:spacing w:after="0"/>
              <w:rPr>
                <w:sz w:val="20"/>
                <w:szCs w:val="20"/>
                <w:color w:val="auto"/>
              </w:rPr>
            </w:pPr>
            <w:r>
              <w:rPr>
                <w:rFonts w:ascii="Arial" w:cs="Arial" w:eastAsia="Arial" w:hAnsi="Arial"/>
                <w:sz w:val="18"/>
                <w:szCs w:val="18"/>
                <w:b w:val="1"/>
                <w:bCs w:val="1"/>
                <w:i w:val="1"/>
                <w:iCs w:val="1"/>
                <w:color w:val="auto"/>
              </w:rPr>
              <w:t>Joint Book-Runners</w:t>
            </w:r>
          </w:p>
        </w:tc>
      </w:tr>
      <w:tr>
        <w:trPr>
          <w:trHeight w:val="586"/>
        </w:trPr>
        <w:tc>
          <w:tcPr>
            <w:tcW w:w="4520" w:type="dxa"/>
            <w:vAlign w:val="bottom"/>
          </w:tcPr>
          <w:p>
            <w:pPr>
              <w:spacing w:after="0"/>
              <w:rPr>
                <w:sz w:val="20"/>
                <w:szCs w:val="20"/>
                <w:color w:val="auto"/>
              </w:rPr>
            </w:pPr>
            <w:r>
              <w:rPr>
                <w:rFonts w:ascii="Arial" w:cs="Arial" w:eastAsia="Arial" w:hAnsi="Arial"/>
                <w:sz w:val="29"/>
                <w:szCs w:val="29"/>
                <w:b w:val="1"/>
                <w:bCs w:val="1"/>
                <w:color w:val="auto"/>
              </w:rPr>
              <w:t>Cowen</w:t>
            </w:r>
          </w:p>
        </w:tc>
        <w:tc>
          <w:tcPr>
            <w:tcW w:w="2380" w:type="dxa"/>
            <w:vAlign w:val="bottom"/>
          </w:tcPr>
          <w:p>
            <w:pPr>
              <w:spacing w:after="0"/>
              <w:rPr>
                <w:sz w:val="24"/>
                <w:szCs w:val="24"/>
                <w:color w:val="auto"/>
              </w:rPr>
            </w:pPr>
          </w:p>
        </w:tc>
        <w:tc>
          <w:tcPr>
            <w:tcW w:w="4520" w:type="dxa"/>
            <w:vAlign w:val="bottom"/>
          </w:tcPr>
          <w:p>
            <w:pPr>
              <w:jc w:val="right"/>
              <w:spacing w:after="0"/>
              <w:rPr>
                <w:sz w:val="20"/>
                <w:szCs w:val="20"/>
                <w:color w:val="auto"/>
              </w:rPr>
            </w:pPr>
            <w:r>
              <w:rPr>
                <w:rFonts w:ascii="Arial" w:cs="Arial" w:eastAsia="Arial" w:hAnsi="Arial"/>
                <w:sz w:val="29"/>
                <w:szCs w:val="29"/>
                <w:b w:val="1"/>
                <w:bCs w:val="1"/>
                <w:color w:val="auto"/>
              </w:rPr>
              <w:t>Piper Jaffray</w:t>
            </w:r>
          </w:p>
        </w:tc>
      </w:tr>
      <w:tr>
        <w:trPr>
          <w:trHeight w:val="34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426"/>
        </w:trPr>
        <w:tc>
          <w:tcPr>
            <w:tcW w:w="4520" w:type="dxa"/>
            <w:vAlign w:val="bottom"/>
          </w:tcPr>
          <w:p>
            <w:pPr>
              <w:spacing w:after="0"/>
              <w:rPr>
                <w:sz w:val="24"/>
                <w:szCs w:val="24"/>
                <w:color w:val="auto"/>
              </w:rPr>
            </w:pPr>
          </w:p>
        </w:tc>
        <w:tc>
          <w:tcPr>
            <w:tcW w:w="6900" w:type="dxa"/>
            <w:vAlign w:val="bottom"/>
            <w:gridSpan w:val="2"/>
          </w:tcPr>
          <w:p>
            <w:pPr>
              <w:jc w:val="right"/>
              <w:ind w:right="4845"/>
              <w:spacing w:after="0"/>
              <w:rPr>
                <w:sz w:val="20"/>
                <w:szCs w:val="20"/>
                <w:color w:val="auto"/>
              </w:rPr>
            </w:pPr>
            <w:r>
              <w:rPr>
                <w:rFonts w:ascii="Arial" w:cs="Arial" w:eastAsia="Arial" w:hAnsi="Arial"/>
                <w:sz w:val="18"/>
                <w:szCs w:val="18"/>
                <w:b w:val="1"/>
                <w:bCs w:val="1"/>
                <w:i w:val="1"/>
                <w:iCs w:val="1"/>
                <w:color w:val="auto"/>
              </w:rPr>
              <w:t>Co-Lead Managers</w:t>
            </w:r>
          </w:p>
        </w:tc>
      </w:tr>
      <w:tr>
        <w:trPr>
          <w:trHeight w:val="549"/>
        </w:trPr>
        <w:tc>
          <w:tcPr>
            <w:tcW w:w="4520" w:type="dxa"/>
            <w:vAlign w:val="bottom"/>
          </w:tcPr>
          <w:p>
            <w:pPr>
              <w:spacing w:after="0"/>
              <w:rPr>
                <w:sz w:val="20"/>
                <w:szCs w:val="20"/>
                <w:color w:val="auto"/>
              </w:rPr>
            </w:pPr>
            <w:r>
              <w:rPr>
                <w:rFonts w:ascii="Arial" w:cs="Arial" w:eastAsia="Arial" w:hAnsi="Arial"/>
                <w:sz w:val="25"/>
                <w:szCs w:val="25"/>
                <w:b w:val="1"/>
                <w:bCs w:val="1"/>
                <w:color w:val="auto"/>
              </w:rPr>
              <w:t>JMP Securities</w:t>
            </w:r>
          </w:p>
        </w:tc>
        <w:tc>
          <w:tcPr>
            <w:tcW w:w="2380" w:type="dxa"/>
            <w:vAlign w:val="bottom"/>
          </w:tcPr>
          <w:p>
            <w:pPr>
              <w:spacing w:after="0"/>
              <w:rPr>
                <w:sz w:val="24"/>
                <w:szCs w:val="24"/>
                <w:color w:val="auto"/>
              </w:rPr>
            </w:pPr>
          </w:p>
        </w:tc>
        <w:tc>
          <w:tcPr>
            <w:tcW w:w="4520" w:type="dxa"/>
            <w:vAlign w:val="bottom"/>
          </w:tcPr>
          <w:p>
            <w:pPr>
              <w:jc w:val="right"/>
              <w:spacing w:after="0"/>
              <w:rPr>
                <w:sz w:val="20"/>
                <w:szCs w:val="20"/>
                <w:color w:val="auto"/>
              </w:rPr>
            </w:pPr>
            <w:r>
              <w:rPr>
                <w:rFonts w:ascii="Arial" w:cs="Arial" w:eastAsia="Arial" w:hAnsi="Arial"/>
                <w:sz w:val="25"/>
                <w:szCs w:val="25"/>
                <w:b w:val="1"/>
                <w:bCs w:val="1"/>
                <w:color w:val="auto"/>
              </w:rPr>
              <w:t>Wedbush PacGrow</w:t>
            </w:r>
          </w:p>
        </w:tc>
      </w:tr>
    </w:tbl>
    <w:p>
      <w:pPr>
        <w:spacing w:after="0" w:line="189" w:lineRule="exact"/>
        <w:rPr>
          <w:sz w:val="24"/>
          <w:szCs w:val="24"/>
          <w:color w:val="auto"/>
        </w:rPr>
      </w:pPr>
    </w:p>
    <w:p>
      <w:pPr>
        <w:sectPr>
          <w:pgSz w:w="11900" w:h="16838" w:orient="portrait"/>
          <w:cols w:equalWidth="0" w:num="1">
            <w:col w:w="11420"/>
          </w:cols>
          <w:pgMar w:left="240" w:top="230" w:right="239" w:bottom="1440" w:gutter="0" w:footer="0" w:header="0"/>
        </w:sectPr>
      </w:pPr>
    </w:p>
    <w:p>
      <w:pPr>
        <w:jc w:val="center"/>
        <w:ind w:right="-19"/>
        <w:spacing w:after="0"/>
        <w:rPr>
          <w:sz w:val="20"/>
          <w:szCs w:val="20"/>
          <w:color w:val="auto"/>
        </w:rPr>
      </w:pPr>
      <w:r>
        <w:rPr>
          <w:rFonts w:ascii="Arial" w:cs="Arial" w:eastAsia="Arial" w:hAnsi="Arial"/>
          <w:sz w:val="15"/>
          <w:szCs w:val="15"/>
          <w:b w:val="1"/>
          <w:bCs w:val="1"/>
          <w:color w:val="auto"/>
        </w:rPr>
        <w:t>June 27, 2018</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20" w:type="dxa"/>
            <w:vAlign w:val="bottom"/>
            <w:gridSpan w:val="2"/>
          </w:tcPr>
          <w:p>
            <w:pPr>
              <w:ind w:left="24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940" w:type="dxa"/>
            <w:vAlign w:val="bottom"/>
            <w:gridSpan w:val="24"/>
            <w:vMerge w:val="restart"/>
          </w:tcPr>
          <w:p>
            <w:pPr>
              <w:spacing w:after="0"/>
              <w:rPr>
                <w:sz w:val="20"/>
                <w:szCs w:val="20"/>
                <w:color w:val="auto"/>
              </w:rPr>
            </w:pPr>
            <w:r>
              <w:rPr>
                <w:rFonts w:ascii="Arial" w:cs="Arial" w:eastAsia="Arial" w:hAnsi="Arial"/>
                <w:sz w:val="18"/>
                <w:szCs w:val="18"/>
                <w:b w:val="1"/>
                <w:bCs w:val="1"/>
                <w:color w:val="auto"/>
              </w:rPr>
              <w:t>Prospectus Supplement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940" w:type="dxa"/>
            <w:vAlign w:val="bottom"/>
            <w:gridSpan w:val="24"/>
            <w:vMerge w:val="continue"/>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00" w:type="dxa"/>
            <w:vAlign w:val="bottom"/>
            <w:tcBorders>
              <w:bottom w:val="single" w:sz="8" w:color="0000EE"/>
            </w:tcBorders>
            <w:gridSpan w:val="16"/>
          </w:tcPr>
          <w:p>
            <w:pPr>
              <w:spacing w:after="0" w:line="190"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About this Prospectus Supplement</w:t>
              </w:r>
            </w:hyperlink>
          </w:p>
        </w:tc>
        <w:tc>
          <w:tcPr>
            <w:tcW w:w="8440" w:type="dxa"/>
            <w:vAlign w:val="bottom"/>
            <w:gridSpan w:val="8"/>
          </w:tcPr>
          <w:p>
            <w:pPr>
              <w:spacing w:after="0"/>
              <w:rPr>
                <w:sz w:val="16"/>
                <w:szCs w:val="16"/>
                <w:color w:val="auto"/>
              </w:rPr>
            </w:pPr>
          </w:p>
        </w:tc>
        <w:tc>
          <w:tcPr>
            <w:tcW w:w="420" w:type="dxa"/>
            <w:vAlign w:val="bottom"/>
          </w:tcPr>
          <w:p>
            <w:pPr>
              <w:jc w:val="right"/>
              <w:spacing w:after="0" w:line="190" w:lineRule="exact"/>
              <w:rPr>
                <w:sz w:val="20"/>
                <w:szCs w:val="20"/>
                <w:color w:val="auto"/>
              </w:rPr>
            </w:pPr>
            <w:r>
              <w:rPr>
                <w:rFonts w:ascii="Arial" w:cs="Arial" w:eastAsia="Arial" w:hAnsi="Arial"/>
                <w:sz w:val="18"/>
                <w:szCs w:val="18"/>
                <w:color w:val="auto"/>
              </w:rPr>
              <w:t>S-2</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Disclosure Regarding Forward-Looking Statements</w:t>
              </w:r>
            </w:hyperlink>
          </w:p>
        </w:tc>
        <w:tc>
          <w:tcPr>
            <w:tcW w:w="7200" w:type="dxa"/>
            <w:vAlign w:val="bottom"/>
            <w:gridSpan w:val="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Prospectus Supplement Summary</w:t>
              </w:r>
            </w:hyperlink>
          </w:p>
        </w:tc>
        <w:tc>
          <w:tcPr>
            <w:tcW w:w="8500" w:type="dxa"/>
            <w:vAlign w:val="bottom"/>
            <w:gridSpan w:val="9"/>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Risk Factors</w:t>
              </w:r>
            </w:hyperlink>
          </w:p>
        </w:tc>
        <w:tc>
          <w:tcPr>
            <w:tcW w:w="10020" w:type="dxa"/>
            <w:vAlign w:val="bottom"/>
            <w:gridSpan w:val="2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Use of Proceeds</w:t>
              </w:r>
            </w:hyperlink>
          </w:p>
        </w:tc>
        <w:tc>
          <w:tcPr>
            <w:tcW w:w="9760" w:type="dxa"/>
            <w:vAlign w:val="bottom"/>
            <w:gridSpan w:val="1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196"/>
        </w:trPr>
        <w:tc>
          <w:tcPr>
            <w:tcW w:w="10940" w:type="dxa"/>
            <w:vAlign w:val="bottom"/>
            <w:gridSpan w:val="24"/>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Dilution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17">
              <w:r>
                <w:rPr>
                  <w:rFonts w:ascii="Arial" w:cs="Arial" w:eastAsia="Arial" w:hAnsi="Arial"/>
                  <w:sz w:val="18"/>
                  <w:szCs w:val="18"/>
                  <w:color w:val="0000EE"/>
                  <w:w w:val="95"/>
                </w:rPr>
                <w:t>Dividend Policy</w:t>
              </w:r>
            </w:hyperlink>
          </w:p>
        </w:tc>
        <w:tc>
          <w:tcPr>
            <w:tcW w:w="9740" w:type="dxa"/>
            <w:vAlign w:val="bottom"/>
            <w:gridSpan w:val="1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196"/>
        </w:trPr>
        <w:tc>
          <w:tcPr>
            <w:tcW w:w="10940" w:type="dxa"/>
            <w:vAlign w:val="bottom"/>
            <w:gridSpan w:val="24"/>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Price Range of Common Stock</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S-16</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Material U.S. Federal Income Tax Considerations for Non-U.S. Holders of Common Stock</w:t>
              </w:r>
            </w:hyperlink>
          </w:p>
        </w:tc>
        <w:tc>
          <w:tcPr>
            <w:tcW w:w="438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Underwriting</w:t>
              </w:r>
            </w:hyperlink>
          </w:p>
        </w:tc>
        <w:tc>
          <w:tcPr>
            <w:tcW w:w="9960" w:type="dxa"/>
            <w:vAlign w:val="bottom"/>
            <w:gridSpan w:val="2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S-21</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Legal Matters</w:t>
              </w:r>
            </w:hyperlink>
          </w:p>
        </w:tc>
        <w:tc>
          <w:tcPr>
            <w:tcW w:w="9920" w:type="dxa"/>
            <w:vAlign w:val="bottom"/>
            <w:gridSpan w:val="2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S-27</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Experts</w:t>
              </w:r>
            </w:hyperlink>
          </w:p>
        </w:tc>
        <w:tc>
          <w:tcPr>
            <w:tcW w:w="10340" w:type="dxa"/>
            <w:vAlign w:val="bottom"/>
            <w:gridSpan w:val="2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S-27</w:t>
            </w:r>
          </w:p>
        </w:tc>
        <w:tc>
          <w:tcPr>
            <w:tcW w:w="0" w:type="dxa"/>
            <w:vAlign w:val="bottom"/>
          </w:tcPr>
          <w:p>
            <w:pPr>
              <w:spacing w:after="0"/>
              <w:rPr>
                <w:sz w:val="1"/>
                <w:szCs w:val="1"/>
                <w:color w:val="auto"/>
              </w:rPr>
            </w:pPr>
          </w:p>
        </w:tc>
      </w:tr>
      <w:tr>
        <w:trPr>
          <w:trHeight w:val="196"/>
        </w:trPr>
        <w:tc>
          <w:tcPr>
            <w:tcW w:w="290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Where You Can Find More Information</w:t>
              </w:r>
            </w:hyperlink>
          </w:p>
        </w:tc>
        <w:tc>
          <w:tcPr>
            <w:tcW w:w="8040" w:type="dxa"/>
            <w:vAlign w:val="bottom"/>
            <w:gridSpan w:val="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S-28</w:t>
            </w:r>
          </w:p>
        </w:tc>
        <w:tc>
          <w:tcPr>
            <w:tcW w:w="0" w:type="dxa"/>
            <w:vAlign w:val="bottom"/>
          </w:tcPr>
          <w:p>
            <w:pPr>
              <w:spacing w:after="0"/>
              <w:rPr>
                <w:sz w:val="1"/>
                <w:szCs w:val="1"/>
                <w:color w:val="auto"/>
              </w:rPr>
            </w:pPr>
          </w:p>
        </w:tc>
      </w:tr>
      <w:tr>
        <w:trPr>
          <w:trHeight w:val="196"/>
        </w:trPr>
        <w:tc>
          <w:tcPr>
            <w:tcW w:w="10940" w:type="dxa"/>
            <w:vAlign w:val="bottom"/>
            <w:gridSpan w:val="2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Incorporation of Certain Information by Reference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S-29</w:t>
            </w:r>
          </w:p>
        </w:tc>
        <w:tc>
          <w:tcPr>
            <w:tcW w:w="0" w:type="dxa"/>
            <w:vAlign w:val="bottom"/>
          </w:tcPr>
          <w:p>
            <w:pPr>
              <w:spacing w:after="0"/>
              <w:rPr>
                <w:sz w:val="1"/>
                <w:szCs w:val="1"/>
                <w:color w:val="auto"/>
              </w:rPr>
            </w:pPr>
          </w:p>
        </w:tc>
      </w:tr>
      <w:tr>
        <w:trPr>
          <w:trHeight w:val="438"/>
        </w:trPr>
        <w:tc>
          <w:tcPr>
            <w:tcW w:w="3660" w:type="dxa"/>
            <w:vAlign w:val="bottom"/>
            <w:tcBorders>
              <w:top w:val="single" w:sz="8" w:color="0000EE"/>
            </w:tcBorders>
            <w:gridSpan w:val="20"/>
          </w:tcPr>
          <w:p>
            <w:pPr>
              <w:spacing w:after="0"/>
              <w:rPr>
                <w:sz w:val="20"/>
                <w:szCs w:val="20"/>
                <w:color w:val="auto"/>
              </w:rPr>
            </w:pPr>
            <w:r>
              <w:rPr>
                <w:rFonts w:ascii="Arial" w:cs="Arial" w:eastAsia="Arial" w:hAnsi="Arial"/>
                <w:sz w:val="18"/>
                <w:szCs w:val="18"/>
                <w:b w:val="1"/>
                <w:bCs w:val="1"/>
                <w:color w:val="auto"/>
              </w:rPr>
              <w:t>Prospectus</w:t>
            </w:r>
          </w:p>
        </w:tc>
        <w:tc>
          <w:tcPr>
            <w:tcW w:w="728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940" w:type="dxa"/>
            <w:vAlign w:val="bottom"/>
            <w:gridSpan w:val="24"/>
          </w:tcPr>
          <w:p>
            <w:pPr>
              <w:spacing w:after="0" w:line="190" w:lineRule="exact"/>
              <w:rPr>
                <w:rFonts w:ascii="Arial" w:cs="Arial" w:eastAsia="Arial" w:hAnsi="Arial"/>
                <w:sz w:val="18"/>
                <w:szCs w:val="18"/>
                <w:color w:val="0000EE"/>
              </w:rPr>
            </w:pPr>
            <w:hyperlink w:anchor="page34">
              <w:r>
                <w:rPr>
                  <w:rFonts w:ascii="Arial" w:cs="Arial" w:eastAsia="Arial" w:hAnsi="Arial"/>
                  <w:sz w:val="18"/>
                  <w:szCs w:val="18"/>
                  <w:color w:val="0000EE"/>
                </w:rPr>
                <w:t>About this Prospectus</w:t>
              </w:r>
            </w:hyperlink>
          </w:p>
        </w:tc>
        <w:tc>
          <w:tcPr>
            <w:tcW w:w="42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Risk Factors</w:t>
              </w:r>
            </w:hyperlink>
          </w:p>
        </w:tc>
        <w:tc>
          <w:tcPr>
            <w:tcW w:w="660" w:type="dxa"/>
            <w:vAlign w:val="bottom"/>
            <w:tcBorders>
              <w:top w:val="single" w:sz="8" w:color="0000EE"/>
            </w:tcBorders>
            <w:gridSpan w:val="8"/>
          </w:tcPr>
          <w:p>
            <w:pPr>
              <w:spacing w:after="0"/>
              <w:rPr>
                <w:sz w:val="17"/>
                <w:szCs w:val="17"/>
                <w:color w:val="auto"/>
              </w:rPr>
            </w:pPr>
          </w:p>
        </w:tc>
        <w:tc>
          <w:tcPr>
            <w:tcW w:w="9360" w:type="dxa"/>
            <w:vAlign w:val="bottom"/>
            <w:gridSpan w:val="1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940" w:type="dxa"/>
            <w:vAlign w:val="bottom"/>
            <w:gridSpan w:val="2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Cautionary Statement Regarding Forward-Looking Statements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The Company</w:t>
              </w:r>
            </w:hyperlink>
          </w:p>
        </w:tc>
        <w:tc>
          <w:tcPr>
            <w:tcW w:w="3480" w:type="dxa"/>
            <w:vAlign w:val="bottom"/>
            <w:tcBorders>
              <w:top w:val="single" w:sz="8" w:color="0000EE"/>
            </w:tcBorders>
            <w:gridSpan w:val="17"/>
          </w:tcPr>
          <w:p>
            <w:pPr>
              <w:spacing w:after="0"/>
              <w:rPr>
                <w:sz w:val="17"/>
                <w:szCs w:val="17"/>
                <w:color w:val="auto"/>
              </w:rPr>
            </w:pPr>
          </w:p>
        </w:tc>
        <w:tc>
          <w:tcPr>
            <w:tcW w:w="642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0940" w:type="dxa"/>
            <w:vAlign w:val="bottom"/>
            <w:gridSpan w:val="2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Ratio of Earnings to Fixed Charges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Use of Proceeds</w:t>
              </w:r>
            </w:hyperlink>
          </w:p>
        </w:tc>
        <w:tc>
          <w:tcPr>
            <w:tcW w:w="1360" w:type="dxa"/>
            <w:vAlign w:val="bottom"/>
            <w:tcBorders>
              <w:top w:val="single" w:sz="8" w:color="0000EE"/>
            </w:tcBorders>
            <w:gridSpan w:val="11"/>
          </w:tcPr>
          <w:p>
            <w:pPr>
              <w:spacing w:after="0"/>
              <w:rPr>
                <w:sz w:val="17"/>
                <w:szCs w:val="17"/>
                <w:color w:val="auto"/>
              </w:rPr>
            </w:pPr>
          </w:p>
        </w:tc>
        <w:tc>
          <w:tcPr>
            <w:tcW w:w="8400" w:type="dxa"/>
            <w:vAlign w:val="bottom"/>
            <w:gridSpan w:val="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0940" w:type="dxa"/>
            <w:vAlign w:val="bottom"/>
            <w:gridSpan w:val="2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Securities We May Offer</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44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6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Description of Capital Stock</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44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6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Description of Debt Securities</w:t>
              </w:r>
            </w:hyperlink>
          </w:p>
        </w:tc>
        <w:tc>
          <w:tcPr>
            <w:tcW w:w="8700" w:type="dxa"/>
            <w:vAlign w:val="bottom"/>
            <w:gridSpan w:val="1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61">
              <w:r>
                <w:rPr>
                  <w:rFonts w:ascii="Arial" w:cs="Arial" w:eastAsia="Arial" w:hAnsi="Arial"/>
                  <w:sz w:val="18"/>
                  <w:szCs w:val="18"/>
                  <w:color w:val="0000EE"/>
                  <w:w w:val="93"/>
                </w:rPr>
                <w:t>Description of Warrants</w:t>
              </w:r>
            </w:hyperlink>
          </w:p>
        </w:tc>
        <w:tc>
          <w:tcPr>
            <w:tcW w:w="9140" w:type="dxa"/>
            <w:vAlign w:val="bottom"/>
            <w:gridSpan w:val="1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62">
              <w:r>
                <w:rPr>
                  <w:rFonts w:ascii="Arial" w:cs="Arial" w:eastAsia="Arial" w:hAnsi="Arial"/>
                  <w:sz w:val="18"/>
                  <w:szCs w:val="18"/>
                  <w:color w:val="0000EE"/>
                  <w:w w:val="93"/>
                </w:rPr>
                <w:t>Description of Units</w:t>
              </w:r>
            </w:hyperlink>
          </w:p>
        </w:tc>
        <w:tc>
          <w:tcPr>
            <w:tcW w:w="9460" w:type="dxa"/>
            <w:vAlign w:val="bottom"/>
            <w:gridSpan w:val="1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65">
              <w:r>
                <w:rPr>
                  <w:rFonts w:ascii="Arial" w:cs="Arial" w:eastAsia="Arial" w:hAnsi="Arial"/>
                  <w:sz w:val="18"/>
                  <w:szCs w:val="18"/>
                  <w:color w:val="0000EE"/>
                  <w:w w:val="93"/>
                </w:rPr>
                <w:t>Plan of Distribution</w:t>
              </w:r>
            </w:hyperlink>
          </w:p>
        </w:tc>
        <w:tc>
          <w:tcPr>
            <w:tcW w:w="9500" w:type="dxa"/>
            <w:vAlign w:val="bottom"/>
            <w:gridSpan w:val="1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Legal Matters</w:t>
              </w:r>
            </w:hyperlink>
          </w:p>
        </w:tc>
        <w:tc>
          <w:tcPr>
            <w:tcW w:w="9920" w:type="dxa"/>
            <w:vAlign w:val="bottom"/>
            <w:gridSpan w:val="2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Experts</w:t>
              </w:r>
            </w:hyperlink>
          </w:p>
        </w:tc>
        <w:tc>
          <w:tcPr>
            <w:tcW w:w="10340" w:type="dxa"/>
            <w:vAlign w:val="bottom"/>
            <w:gridSpan w:val="2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Where You Can Find More Information</w:t>
              </w:r>
            </w:hyperlink>
          </w:p>
        </w:tc>
        <w:tc>
          <w:tcPr>
            <w:tcW w:w="8060" w:type="dxa"/>
            <w:vAlign w:val="bottom"/>
            <w:gridSpan w:val="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0940" w:type="dxa"/>
            <w:vAlign w:val="bottom"/>
            <w:gridSpan w:val="24"/>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Incorporation by Reference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Neither we nor the underwriters have authorized anyone to provide any information or make any representations other than those contained or incorporated by reference in this prospectus supplement, the accompanying prospectus or any free writing prospectus that we have authorized for use in connection with this offering. We take no responsibility for, and can provide no assurance as to the reliability of, any other information that others may give you. This prospectus supplement and the accompanying prospectus is an offer to sell only the shares offered hereby, but only under circumstances and in jurisdictions where it is lawful to do so. The information contained in this prospectus supplement, the accompanying prospectus and any free writing prospectus that we have authorized for use in connection with this offering is current only as of their respective dates. Our business, financial condition, results of operations and prospects may have changed since those dates. You should read this prospectus supplement, the accompanying prospectus, the documents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in the section of this prospectus supplement entitled “Incorporation of Certain Information by Reference.”</w:t>
      </w:r>
    </w:p>
    <w:p>
      <w:pPr>
        <w:spacing w:after="0" w:line="16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 investors outside the United States: We have not, and the underwriters have not, done anything that would permit this offering or possession or distribution of this prospectus supplement or the accompanying prospectus in any jurisdiction where action for that purpose is required, other than in the United States. Persons outside the United States who come into possession of this prospectus supplement or the accompanying prospectus must inform themselves about, and observe any restrictions relating to, the offering of the shares of common stock and the distribution of this prospectus supplement and the accompanying prospectus outside the United States.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This prospectus supplement and the accompanying prospectus form part of a registration statement on Form S-3 that we filed with the Securities and Exchange Commission (“SEC”) using a “shelf” registration process. This document contains two parts. The first part consists of this prospectus supplement, which provides you with specific information about this offering. The second part, the accompanying prospectus, provides more general information, some of which may not apply to this offering. Generally, when we refer only to the “prospectus,” we are referring to both parts combined.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herein or therein, the statements made in this prospectus supplement will be deemed to modify or supersede those made in the accompanying prospectus and such documents incorporated by reference herein and therein.</w:t>
      </w:r>
    </w:p>
    <w:p>
      <w:pPr>
        <w:spacing w:after="0" w:line="17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this prospectus supplement, unless the context otherwise requires, references to “Zafgen,” “the Company,” “we,” “us,” and “our” refer to Zafgen, Inc. and its wholly-owned subsidiaries.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references in this prospectus supplement to our consolidated financial statements include, unless the context indicates otherwise, the related notes.</w:t>
      </w:r>
    </w:p>
    <w:p>
      <w:pPr>
        <w:spacing w:after="0" w:line="248"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The industry and market data and other statistical information contained in the documents we incorporate by reference are based on management’s own estimates, independent publications, government publications, reports by market research firms or other published independent sources, and, in each case, are believed by management to be reasonable estimates. Although we believe these sources are reliable, we have not independently verified the information.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This prospectus supplement and any accompanying prospectus, including the documents that we incorporate by reference, may contain forward-looking statements within the meaning of Section 27A of the Securities Act of 1933, as amended, or the Securities Act, and Section 21E of the Securities Exchange Act of 1934, as amended, or the Exchange Act.</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Forward-looking statements in this prospectus supplement and any accompanying prospectus give our current expectations or forecasts of future events. You can identify these statements by the fact that they do not relate strictly to historical or current facts. You can find many (but not all) of these statements by looking for words such as “may,” “will,” “should,” “expects,” “intends,” “plans,” “anticipates,” “believes,” “estimates,” “predicts,” “potential,” “continue” or the negative of these terms or other comparable terminology in this prospectus supplement and any accompanying prospectus. In particular, forward-looking statements include statements relating to future actions, prospective products and applications, customers, technologies, future performance or future financial results. These forward-looking statements are subject to certain risks and uncertainties that could cause actual results to differ materially from our historical experience and our present expectations or projections. Factors that could cause actual results to differ from those discussed in the forward-looking statements include, but are not limited to:</w:t>
      </w:r>
    </w:p>
    <w:p>
      <w:pPr>
        <w:spacing w:after="0" w:line="84"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file and have our investigational new drug application, or IND, for ZGN-1258 go into effect;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successfully advance ZGN-1258 into and through all clinical trials to enable submission of a new drug application, or NDA;</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gain regulatory approval and to successfully commercialize ZGN-1258;</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file and have our IND for ZGN-1061 go into effect;</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supportive clinical and nonclinical data for partnering and to successfully partner ZGN-1061 before commencing Phase 3 clinical development;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select and advance through toxicology trials and the IND process an oral MetAP2 inhibitor for a liver-specific metabolic disease;</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advance an oral methionine aminopeptidase 2, or MetAP2, inhibitor into Phase 1 trials;</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dissociate effects of or MetAP2 inhibitors from pro-thrombotic effects or other adverse events observed in clinical development of our first-generation compound, beloranib;</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cash forecasts and capital requirements;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distinguish ZGN-1061 and other novel MetAP2 inhibitors relative to our first-generation compound;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and political developments in the United States and foreign countries;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performance of our third-party contract manufacturers, clinical research organizations and contract research organizations;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proprietary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additional financing when needed;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success of competing products that are or become available for the indications that we are pursuing;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scientific or management personnel; and</w:t>
      </w:r>
    </w:p>
    <w:p>
      <w:pPr>
        <w:spacing w:after="0" w:line="130" w:lineRule="exact"/>
        <w:rPr>
          <w:rFonts w:ascii="Arial" w:cs="Arial" w:eastAsia="Arial" w:hAnsi="Arial"/>
          <w:sz w:val="18"/>
          <w:szCs w:val="18"/>
          <w:color w:val="auto"/>
        </w:rPr>
      </w:pPr>
    </w:p>
    <w:p>
      <w:pPr>
        <w:ind w:left="900" w:right="92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in this prospectus supplement and the accompanying prospectus or the documents incorporated by reference in this prospectus.</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levels of activity, performance or achievements. The forward-looking statements are based upon management’s beliefs and assumptions and are made as of the date of this prospectus supplement. We undertake no obligation to publicly update or revise any forward-looking statements included in this prospectus supplement to conform such statements to actual results or changes in our expectations. You should not place undue reliance on these forward-looking statements.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7842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57842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i w:val="1"/>
          <w:iCs w:val="1"/>
          <w:color w:val="auto"/>
        </w:rPr>
        <w:t>The following summary of our business highlights some of the information contained elsewhere in or incorporated by reference into this prospectus supplement. Because this is only a summary, however, it does not contain all of the information that may be important to you. You should carefully read this prospectus supplement and the accompanying prospectus, including the documents incorporated by reference, which are described under “Incorporation of Certain Information by Reference” in this prospectus supplement. You should also carefully consider the matters discussed in the section in this prospectus supplement entitled “Risk Factors” and in the accompanying prospectus and in other periodic reports incorporated herein by reference.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are a biopharmaceutical company dedicated to significantly improving the health and well-being of patients affected by both rare and prevalent metabolic diseases including type 2 diabetes, Prader-Willi syndrome, or PWS, and potentially other metabolically related disorders. We have pioneered the study of methionine aminopeptidase 2, or MetAP2, inhibitors and are focused on developing novel therapeutics that treat biological mechanisms that underlie metabolic disorders through the MetAP2 pathway.</w:t>
      </w:r>
    </w:p>
    <w:p>
      <w:pPr>
        <w:spacing w:after="0" w:line="18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Our lead product candidate is ZGN-1061, a novel fumagillin-class MetAP2 inhibitor administered by subcutaneous injection, which is currently being profiled for its utility in the treatment of type 2 diabetes. Type 2 diabetes is a prevalent, chronic, progressive, multifactorial disorder that leads to increased microvascular and macrovascular disease, and as such increases risk of death from cardiovascular disease, stroke, and kidney failure. Type 2 diabetes is also a leading cause of lower-limb amputation and blindness. Existing agents, while effective in reducing blood glucose levels, fail to reduce progression of the disease, which is driven by loss of function of insulin-producing beta cells and by loss of sensitivity to insulin action. It is estimated that approximately one-third of patients progress to needing insulin (recently estimated to be a $20 billion market based on annual sales). New therapies are needed to improve glycemic control and reduce comorbidities of type 2 diabetes.</w:t>
      </w:r>
    </w:p>
    <w:p>
      <w:pPr>
        <w:spacing w:after="0" w:line="178"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We completed a Phase 1 clinical trial of ZGN-1061 in the Netherlands, which demonstrated rapid drug absorption and clearance in line with pre-specified criteria established for the molecule. In addition, ZGN-1061 was well-tolerated, with no evidence of pro-thrombotic effects or other safety signals. We are also conducting a Phase 2 clinical trial of ZGN-1061 in Australia and New Zealand, which is designed to demonstrate proof-of-concept efficacy and safety in patients with type 2 diabetes and establish minimally effective doses. The core part of the Phase 2 clinical trial has met its primary objectives at a 0.9 mg dose as compared to a placebo and 12-week data has demonstrated a favorable safety and tolerability profile, with no treatment-related serious adverse events and no cardiovascular safety signals observed. ZGN-1061 was generally safe and well-tolerated, with primarily mild to moderate adverse events and an overall high study completion rate (95%). We expect to report the results of an additional cohort arm dosing up to 1.8 mg early in 2019.</w:t>
      </w:r>
    </w:p>
    <w:p>
      <w:pPr>
        <w:spacing w:after="0" w:line="192"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addition to the Phase 2 clinical data for ZGN-1061, nonclinical data on treatment with both ZGN-1061 and liraglutide suggest that combination therapy with these glucose-lowering agents may yield additive improvement in glycemic control and weight loss than either agent alone in patients with type 2 diabetes, demonstrating the potential effect of two complementary mechanisms – MetAP2 and GLP-1. From nonclinical data in a nonalcoholic steatohepatitis, or NASH, model, we further observed that ZGN-1061 markedly reduced liver weight, NAS score and markers of liver damage (ALT and AST). These NASH-related data, combined with previous gene expression data with ZGN-1061 and clinical liver fat content data from Zafgen’s first generation MetAP2 inhibitor, suggest potential clinical value in treating liver-specific metabolic conditions. We anticipate that treatment with ZGN-1061 could improve multiple aspects of NASH, and we will evaluate the potential utility of ZGN-1061 as a NASH therapy in the setting of type 2 diabetes.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372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53727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have also initiated development of a second, highly-optimized MetAP2 development candidate, ZGN-1258, which is administered by subcutaneous injection. We expect that our initial indication for ZGN-1258 will be PWS. PWS is a rare and complex genetic disorder characterized by physiologic, cognitive and behavioral symptoms including hyperphagia, uncontrollable hunger and its related behaviors, and obesity. Published population studies estimate that the prevalence of PWS in the United States and in the European Union ranges from 1 in 8,000 to 1 in 50,000. The physiological drive to eat in patients with PWS is so powerful that they will go to great lengths to eat large quantities of food, even if it is spoiled, indigestible or unpalatable to others. Unsupervised patients will often eat to the point that it causes serious physical harm or death. As a result, caregivers are often forced to place locks and alarms on refrigerators and pantries that contain food. Despite attempts to control the access to food, the typical adult patient with PWS is morbidly obese and, based on evaluation of published survival data, has an average life expectancy of 32 years of age. Unfortunately, neither dietary intervention nor currently available pharmaceutical therapies bring meaningful benefits to patients with PWS and, as a result, they experience severe and life-threatening consequences of their condition. Furthermore, existing surgical techniques such as bariatric surgery are contraindicated in PWS, as patients with PWS often overeat to a point whereby they can rupture their stomachs, which is frequently a cause of death in this patient population.</w:t>
      </w:r>
    </w:p>
    <w:p>
      <w:pPr>
        <w:spacing w:after="0" w:line="180"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initiated IND enabling nonclinical activities in the first quarter of 2018, in preparation for filing an IND with the U.S. Food and Drug Administration, or FDA, and plan to begin Phase 1 clinical development by the end of 2018. We anticipate our Phase 1 clinical program of ZGN-1258 will be focused on evaluation of drug exposure, safety and tolerability following single doses in normal weight and otherwise healthy subjects, and understanding the dose-responsiveness of changes following repeat dosing for circulating biomarkers of drug effect, body weight change, and changes in hunger-related parameters in obese but otherwise healthy subjects. Providing the results of the Phase 1 clinical program are supportive of further development, subsequent clinical trials are anticipated to evaluate the effects of treatment with ZGN-1258 on core therapeutic endpoints in PWS such as improvement of hyperphagia-related behaviors. We expect to conduct a multinational PWS natural history study, which we plan to begin in mid-year 2018. The study will inform our development program and provide important insights into the medical and clinical history of people with PWS.</w:t>
      </w:r>
    </w:p>
    <w:p>
      <w:pPr>
        <w:spacing w:after="0" w:line="166"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Both ZGN-1061 and ZGN-1258 were discovered by our researchers as part of a multi-year campaign to identify highly potent and novel compounds with nonclinical safety profiles supportive of continued development. One core element of focus for optimization was to reduce or eliminate the potential for pro-thrombotic effects, a limiting factor that led to termination of development of our first-generation compound. To date, both new compounds have similar intrinsic potency against the MetAP2 pathway and display appropriate activity in animal models of type 2 diabetes and obesity. Both compounds display improved safety profiles relative to beloranib for effects on thrombosis.</w:t>
      </w:r>
    </w:p>
    <w:p>
      <w:pPr>
        <w:spacing w:after="0" w:line="173"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ZGN-1061 and ZGN-1258 are differentiated from each other with respect to their tissue distribution and predominant sites of action in animal models. While treatment with both compounds leads to target engagement and MetAP2 inhibition in key organs of relevance to the treatment of type 2 diabetes and obesity, ZGN-1258 also displays enhanced uptake into the brain and displays greater potency and activity in animal models of hyperphagic behaviors than does ZGN-1061. These differences support the development of ZGN-1061 for treatment of type 2 diabetes, in which metabolic effects related to liver, adipose tissue, and muscle effects are likely to be important, and ZGN-1258 in higher need indications such as PWS, in which brain activity is likely to be more important for therapeutic effects.</w:t>
      </w:r>
    </w:p>
    <w:p>
      <w:pPr>
        <w:spacing w:after="0" w:line="193"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We own various U.S. federal trademark registrations and applications, and unregistered trademarks, including our corporate name and our corporate logo.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8445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8445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were incorporated under the laws of the State of Delaware in 2005. Our principal executive offices are located at 175 Portland Street, 4th Floor, Boston, Massachusetts 02114 and our telephone number is (617) 622-4003. Our website address is www.zafgen.com. We do not incorporate the information on or accessible through our website into this prospectus, and you should not consider any information on, or that can be accessed through, our website as part of this prospectus. Our common stock trades on The Nasdaq Global Select Market under the symbol “ZFGN”.</w:t>
      </w:r>
    </w:p>
    <w:p>
      <w:pPr>
        <w:spacing w:after="0" w:line="200" w:lineRule="exact"/>
        <w:rPr>
          <w:sz w:val="20"/>
          <w:szCs w:val="20"/>
          <w:color w:val="auto"/>
        </w:rPr>
      </w:pP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00"/>
          </w:cols>
          <w:pgMar w:left="240" w:top="459" w:right="5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355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5355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20"/>
          </w:cols>
          <w:pgMar w:left="240" w:top="459" w:right="439" w:bottom="1440" w:gutter="0" w:footer="0" w:header="0"/>
        </w:sect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Zafgen, Inc.</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8,000,000 shares</w:t>
      </w:r>
    </w:p>
    <w:p>
      <w:pPr>
        <w:spacing w:after="0" w:line="211"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35,558,883 shares</w:t>
      </w:r>
    </w:p>
    <w:p>
      <w:pPr>
        <w:spacing w:after="0" w:line="211" w:lineRule="exact"/>
        <w:rPr>
          <w:sz w:val="20"/>
          <w:szCs w:val="20"/>
          <w:color w:val="auto"/>
        </w:rPr>
      </w:pPr>
    </w:p>
    <w:p>
      <w:pPr>
        <w:sectPr>
          <w:pgSz w:w="11900" w:h="16838" w:orient="portrait"/>
          <w:cols w:equalWidth="0" w:num="2">
            <w:col w:w="3880" w:space="500"/>
            <w:col w:w="6840"/>
          </w:cols>
          <w:pgMar w:left="240" w:top="459" w:right="43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Underwriters’ option to purchase additional shares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1,200,000 shares</w:t>
      </w:r>
    </w:p>
    <w:p>
      <w:pPr>
        <w:spacing w:after="0" w:line="211" w:lineRule="exact"/>
        <w:rPr>
          <w:sz w:val="20"/>
          <w:szCs w:val="20"/>
          <w:color w:val="auto"/>
        </w:rPr>
      </w:pPr>
    </w:p>
    <w:p>
      <w:pPr>
        <w:sectPr>
          <w:pgSz w:w="11900" w:h="16838" w:orient="portrait"/>
          <w:cols w:equalWidth="0" w:num="2">
            <w:col w:w="3840" w:space="540"/>
            <w:col w:w="6840"/>
          </w:cols>
          <w:pgMar w:left="240" w:top="459" w:right="43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intend to use the net proceeds from this offering to advance the clinical development of ZGN-1258 for rare metabolic indications, initially focusing on Prader-Willi syndrome; develop clinical and nonclinical data necessary to potentially optimize the value of ZGN-1061, including unique mechanistic effects in diabetes, potential liver effects in NASH, and other endpoint data based upon proprietary knowledge of the MetAP2 pathway; select and advance into clinical development an orally active MetAP2 inhibitor for the treatment of liver-specific metabolic disease; and fund working capital and other general corporate purposes. See “Use of Proceeds.”</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This investment involves a high degree of risk. See the information contained in or incorporated by reference under “Risk Factors” beginning on page S-10 of this prospectus supplement and page 4 of the accompanying prospectus, and in the documents incorporated by reference into this prospectus supplement.</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ind w:left="200" w:right="1000" w:firstLine="441"/>
        <w:spacing w:after="0" w:line="277" w:lineRule="auto"/>
        <w:rPr>
          <w:sz w:val="20"/>
          <w:szCs w:val="20"/>
          <w:color w:val="auto"/>
        </w:rPr>
      </w:pPr>
      <w:r>
        <w:rPr>
          <w:rFonts w:ascii="Arial" w:cs="Arial" w:eastAsia="Arial" w:hAnsi="Arial"/>
          <w:sz w:val="18"/>
          <w:szCs w:val="18"/>
          <w:color w:val="auto"/>
        </w:rPr>
        <w:t>The number of shares of common stock shown above to be outstanding immediately after this offering is based on 27,558,883 shares outstanding, as of March 31, 2018, and excludes as of that date:</w:t>
      </w:r>
    </w:p>
    <w:p>
      <w:pPr>
        <w:spacing w:after="0" w:line="76" w:lineRule="exact"/>
        <w:rPr>
          <w:sz w:val="20"/>
          <w:szCs w:val="20"/>
          <w:color w:val="auto"/>
        </w:rPr>
      </w:pPr>
    </w:p>
    <w:p>
      <w:pPr>
        <w:ind w:left="1060" w:right="40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7,214,261 shares of common stock issuable upon the exercise of stock options outstanding as of March 31, 2018, at a weighted average exercise price of $8.32 per share;</w:t>
      </w:r>
    </w:p>
    <w:p>
      <w:pPr>
        <w:spacing w:after="0" w:line="75" w:lineRule="exact"/>
        <w:rPr>
          <w:rFonts w:ascii="Arial" w:cs="Arial" w:eastAsia="Arial" w:hAnsi="Arial"/>
          <w:sz w:val="18"/>
          <w:szCs w:val="18"/>
          <w:color w:val="auto"/>
        </w:rPr>
      </w:pPr>
    </w:p>
    <w:p>
      <w:pPr>
        <w:ind w:left="1060" w:right="18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1,677,858 shares of common stock that are available for future issuance under the Zafgen, Inc. 2014 Stock Option and Incentive Plan as of March 31, 2018; and</w:t>
      </w:r>
    </w:p>
    <w:p>
      <w:pPr>
        <w:spacing w:after="0" w:line="75" w:lineRule="exact"/>
        <w:rPr>
          <w:rFonts w:ascii="Arial" w:cs="Arial" w:eastAsia="Arial" w:hAnsi="Arial"/>
          <w:sz w:val="18"/>
          <w:szCs w:val="18"/>
          <w:color w:val="auto"/>
        </w:rPr>
      </w:pPr>
    </w:p>
    <w:p>
      <w:pPr>
        <w:ind w:left="1060" w:right="40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176,016 shares of common stock that are available for future issuance under the Zafgen, Inc. 2014 Employee Stock Purchase Plan as of March 31, 2018.</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20"/>
          </w:cols>
          <w:pgMar w:left="240" w:top="459" w:right="4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9817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9817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the underwriters’ option to purchase additional 1,200,000 shares is exercised in full, we will issue and sell an additional 1,200,000 shares of our common stock and will have 36,758,883 shares outstanding after the offering.</w:t>
      </w:r>
    </w:p>
    <w:p>
      <w:pPr>
        <w:spacing w:after="0" w:line="17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Except as otherwise noted, all information in this prospectus supplement assumes no exercise of the underwriters’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60"/>
          </w:cols>
          <w:pgMar w:left="24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An investment in our common stock involves a high degree of risk. Before deciding whether to invest in our common stock, you should carefully consider the risks discussed under the section captioned “Risk Factors” contained in our Annual Report on Form 10-K for the year ended December 31, 2017, and our Quarterly Report on Form 10-Q for the quarter ended March 31, 2018, which are incorporated by reference in this prospectus supplement and the accompanying prospectus in its entirety, together with other information in this prospectus supplement, the accompanying prospectus, the information and documents incorporated by reference herein and therein, and in any free writing prospectus that we have authorized for use in connection with this offering. If any of these risks actually occurs, our business, financial condition, results of operations or cash flow could be seriously harmed. This could cause the trading price of our common stock to decline, resulting in a loss of all or part of your investment.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our existing cash and may not use them effectively.</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including for any of the purposes described in the section entitled “Use of Proceeds,” as well as our existing cash and cash equivalents, and you will be relying on the judgment of our management regarding such application. You will not have the opportunity, as part of your investment decision, to assess whether the proceeds are being used appropriately. Our management might not apply the net proceeds or our existing cash in ways that ultimately increase the value of your investment. If we do not invest or apply the net proceeds from this offering or our existing cash in ways that enhance stockholder value, we may fail to achieve expected results, which could cause our stock price to decline. Pending their use, we may invest the net proceeds from this offering in investment-grade, interest-bearing securities. These investments may not yield a favorable return to our stockholders.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immediate and substantial dilution.</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offering price per share in this offering may exceed the net tangible book value per share of our common stock outstanding prior to this offering. After giving effect to the sale by us of 8,000,000 shares of our common stock in this offering, at an offering price of $7.50 per share and after deducting the underwriters’ discounts and commissions and estimated offering expenses payable by us, you will experience immediate dilution of $4.10 per share based on the difference between our as adjusted net tangible book value per share as of March 31, 2018 after giving effect to this offering and the offering price. The exercise of outstanding stock options may result in further dilution of your investment. See the section titled “Dilution” below for a more detailed illustration of the dilution you may incur if you participate in this offering.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11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more or less than the price per share paid by investors in this offering, and investors purchasing shares or other securities in the future could have rights superior to existing stockholders.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after this offering could cause our stock price to fall.</w:t>
      </w:r>
    </w:p>
    <w:p>
      <w:pPr>
        <w:spacing w:after="0" w:line="129"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capital through the sale of additional equity securities. We are unable to predict the effect that sales may have on the prevailing market price of our common stock. In addition, the sale of substantial amounts of our common stock could adversely impact the price of our common stock. As of March 31, 2018, 27,558,883 shares of our common stock and options to purchase 7,214,261 shares of our common stock were outstanding. The sale or the availability for sale of a large number of shares of our common stock in the public market could cause the price of our common stock to decline.</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Upon completion of this offering, based on the number of shares of common stock outstanding as of March 31, 2018, there will be 35,558,883 shares of our common stock outstanding assuming no exercise of the underwriters’ option to purchase additional shares. Of these, 8,000,000 shares are being sold in this offering, 30,683,482 will be freely tradable immediately after this offering and the remaining 4,875,401 shares may be sold upon expiration of lock-up agreements 60 days after the date of this offering (subject in some cases to volume limitations and excluding any shares tradable pursuant to a trading plan existing as of the date hereof that satisfies the requirements of Rule 10b5-1 under the Exchange Act). A large portion of these shares are held by a small number of persons and investment funds. Moreover, after this offering, Atlas Venture Fund VII, L.P. and certain of our other stockholders will have rights, subject to some conditions, to require us to file registration statements covering the shares of our common stock they currently hold, or to include these shares in registration statements that we may file for ourselves or other stockholders. For more information regarding these registration rights, see Exhibit 4.2 to our Annual Report on Form 10-K for the fiscal year ended December 31, 2017, which is incorporated herein by reference.</w:t>
      </w:r>
    </w:p>
    <w:p>
      <w:pPr>
        <w:spacing w:after="0" w:line="16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Certain holders of shares of our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tax credit carryforwards may be subject to limitation.</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Since our inception in 2005, we have not recorded any U.S. federal or state income tax benefits for the net losses we have incurred in each year or our earned tax credits, due to our uncertainty of realizing a benefit from those items. As of December 31, 2017, we had net operating loss carryforwards for federal and state income tax purposes of $54.0 million and $39.6 million, respectively, which begin to expire in 2026 and 2030, respectively. As of December 31, 2017, we also had available tax credit carryforwards for federal and state income tax purposes of $14.8 million and $2.4 million, respectively, which begin to expire in 2026 and 2021, respectively. Under Section 382 of the Internal Revenue Code of 1986, as amended, or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Our follow-on public offering, initial public offering, or IPO, private placements, this offering and other transactions that have occurred since our inception, may trigger such an ownership change pursuant to Section 382. Any such limitation, whether as the result of our follow-on public offering, IPO, prior private placements, this offering, sales of our common stock by our existing stockholders or additional sales of our common stock by us,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 The reduction of the corporate tax rate under the Tax Cuts and Jobs Act of 2017, or the TCJA, may cause a reduction in the economic benefit of our net operating loss carryforwards and other deferred tax assets available to us. Under the TCJA, net operating losses generated after December 31, 2017 will not be subject to expiration.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common stock and we do not anticipate paying any dividends in the foreseeable future.</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have not paid dividends on any of our common stock to date and we currently intend to retain all of our future earnings, if any, to fund the development and growth of our business. Our Loan and Security Agreement with Silicon Valley Bank also includes limitations on our ability to pay dividends to our stockholders. As a result, capital appreciation, if any, of our common stock will be the sole source of gains for our common stockholders for the foreseeable future. Consequently, in the foreseeable future, our common stockholders will likely only experience a gain from their investment in our common stock if the price of our common stock increases.</w:t>
      </w:r>
    </w:p>
    <w:p>
      <w:pPr>
        <w:spacing w:after="0" w:line="29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Developing small molecule products is expensive, and we expect our research and development expenses to increase substantially in connection with our ongoing activities, particularly as we advance ZGN-1061 into later stage clinical trials and as we continue our preparations for filing IND applications for ZGN-1061 and ZGN-1258 with the FDA and advance into the clinical trial stage. Depending on the status of regulatory approval or, if approved, commercialization of ZGN-1061, ZGN-1258, or any of our other product candidates, as well as the progress we make in selling ZGN-1061 or any of our other product candidates, we will require additional capital to fund operating needs thereafter. We may also need to raise additional funds sooner if we choose to pursue additional indications and/or geographies for ZGN-1061, ZGN-1258, or our other product candidates or otherwise expand more rapidly than we presently anticipate.</w:t>
      </w:r>
    </w:p>
    <w:p>
      <w:pPr>
        <w:spacing w:after="0" w:line="18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March 31, 2018, our cash, cash equivalents and marketable securities were $89.1 million and our outstanding debt totaled $20 million. Based on our current plans and forecasted expenses, and considering our minimum cash and investments balance requirement associated with our Term Loan, we believe that our cash, cash equivalents and marketable securities will enable us to fund our operating expenses, debt service obligations and capital expenditures through the second quarter of 2019.</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estimate that the net proceeds to us from the sale of the securities that we are offering will be approximately $55.9 million, or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$64.4 million if the option to purchase additional shares is exercised in full, after deducting underwriting discounts and commissions and estimated offering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w:t>
      </w:r>
    </w:p>
    <w:p>
      <w:pPr>
        <w:spacing w:after="0" w:line="21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We intend to use any proceeds received from this offering to advance the clinical development of ZGN-1258 for rare metabolic indications, initially focusing on Prader-Willi syndrome; develop clinical and nonclinical data necessary to potentially optimize the value of ZGN-1061, including unique mechanistic effects in diabetes, potential liver effects in NASH, and other endpoint data based upon proprietary knowledge of the MetAP2 pathway; select and advance into clinical development an orally active MetAP2 inhibitor for the treatment of liver-specific metabolic disease; and fund working capital and other general corporate purposes.</w:t>
      </w:r>
    </w:p>
    <w:p>
      <w:pPr>
        <w:spacing w:after="0" w:line="18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Even if we sell all of the securities subject to this offering, we will still need to obtain additional financing in the future in order to fully fund our business through the FDA regulatory approval process. We may elect to seek such additional financing through public or private equity or debt offerings or other sources, including collaborative or other arrangements with corporate partners or through refinancing our existing debt. There can be no assurance we will be able to obtain such additional financing or that such additional financing will be on terms that are favorable to us. Although we currently anticipate that we will use the net proceeds of this offering as described above, there may be circumstances where a reallocation of funds may be necessary. The amounts and timing of our actual expenditures will depend upon numerous factors, including the progress of our development and commercialization efforts, the progress of our clinical studies, whether or not we enter into strategic collaborations or partnerships and our operating costs and expenditures. Accordingly, our management will have significant flexibility in applying the net proceeds of this offering.</w:t>
      </w:r>
    </w:p>
    <w:p>
      <w:pPr>
        <w:spacing w:after="0" w:line="17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costs and timing of regulatory approval, particularly conducting clinical studies, are highly uncertain, are subject to substantial risks and can often change. Accordingly, we may change the allocation of use of these proceeds as a result of contingencies such as the progress and results of our clinical studies and other development activities, the establishment of collaborations, our manufacturing requirements and regulatory or competitive developments.</w:t>
      </w:r>
    </w:p>
    <w:p>
      <w:pPr>
        <w:spacing w:after="0" w:line="14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Pending the application of the net proceeds as described above or otherwise, we may invest the proceeds in short-term, investment-grade, interest-bearing securities or guaranteed obligations of the U.S. government or other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Our net tangible book value as of March 31, 2018 was approximately $65.0 million, or approximately $2.36 per share of common stock, based upon 27,558,883 shares outstanding as of that date. Net tangible book value per share is determined by dividing such number of outstanding shares of common stock into our net tangible book value, which is our total tangible assets, less total liabilities at that date.</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After giving effect to the sale of the securities in this offering at the public offering price of $7.50 per share of common stock, excluding the exercise of the underwriters’ option to purchase additional shares and after deducting underwriting discounts, commissions and other estimated offering expenses payable by us, our adjusted net tangible book value as of March 31, 2018 would have been approximately $120.9 million, or approximately $3.40 per share. This represents an immediate increase in net tangible book value of approximately $1.04 per share to our existing stockholders, and an immediate dilution of $4.10 per share to investors purchasing securities in the offering.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920" w:type="dxa"/>
            <w:vAlign w:val="bottom"/>
          </w:tcPr>
          <w:p>
            <w:pPr>
              <w:ind w:left="440"/>
              <w:spacing w:after="0"/>
              <w:rPr>
                <w:sz w:val="20"/>
                <w:szCs w:val="20"/>
                <w:color w:val="auto"/>
              </w:rPr>
            </w:pPr>
            <w:r>
              <w:rPr>
                <w:rFonts w:ascii="Arial" w:cs="Arial" w:eastAsia="Arial" w:hAnsi="Arial"/>
                <w:sz w:val="18"/>
                <w:szCs w:val="18"/>
                <w:color w:val="auto"/>
              </w:rPr>
              <w:t>The following table illustrates the per share dilution to investors purchasing securities in the offering:</w:t>
            </w: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9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 of common stock</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Net tangible book value per share as of March 31, 2018</w:t>
            </w:r>
          </w:p>
        </w:tc>
        <w:tc>
          <w:tcPr>
            <w:tcW w:w="2480" w:type="dxa"/>
            <w:vAlign w:val="bottom"/>
          </w:tcPr>
          <w:p>
            <w:pPr>
              <w:jc w:val="right"/>
              <w:ind w:right="77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Increase per share attributable to sale of common stock to investors</w:t>
            </w:r>
          </w:p>
        </w:tc>
        <w:tc>
          <w:tcPr>
            <w:tcW w:w="24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Adjusted net tangible book value per share after the offering</w:t>
            </w:r>
          </w:p>
        </w:tc>
        <w:tc>
          <w:tcPr>
            <w:tcW w:w="2480" w:type="dxa"/>
            <w:vAlign w:val="bottom"/>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investors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 calculation is based on 27,558,883 shares of common stock outstanding as of March 31, 2018 and excludes as of that date:</w:t>
      </w:r>
    </w:p>
    <w:p>
      <w:pPr>
        <w:spacing w:after="0" w:line="131" w:lineRule="exact"/>
        <w:rPr>
          <w:sz w:val="20"/>
          <w:szCs w:val="20"/>
          <w:color w:val="auto"/>
        </w:rPr>
      </w:pPr>
    </w:p>
    <w:p>
      <w:pPr>
        <w:ind w:left="900" w:right="14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7,214,261 shares of common stock issuable upon the exercise of stock options outstanding as of March 31, 2018, at a weighted average exercise price of $8.32 per share;</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1,677,858 shares of common stock that are available for future issuance under the Zafgen, Inc. 2014 Stock Option and Incentive Plan as of March 31, 2018; and</w:t>
      </w:r>
    </w:p>
    <w:p>
      <w:pPr>
        <w:spacing w:after="0" w:line="75"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176,016 shares of common stock that are available for future issuance under the Zafgen, Inc. 2014 Employee Stock Purchase Plan as of March 31, 2018.</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not paid dividends on our common stock, and we do not currently anticipate paying any dividends on our common stock in the foreseeable future. Any future determinations as to our dividend policy will be made at the discretion of our Board of Directors and will depend upon many factors, including our financial condition, earnings, legal requirements, covenants in future debt agreements and other factors our Board of Directors deems relevant. The terms of our existing Loan and Security Agreement with Silicon Valley Bank also restrict us from paying cash dividends to our stockholders under some circumstances. See “Risk Factors—We have never paid dividends on our common stock and we do not anticipate paying any dividends in the foreseeable future.”</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20"/>
          </w:cols>
          <w:pgMar w:left="24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table sets forth, for the periods indicated, the high and low sales prices of our common stock as reported by The Nasdaq Global Select Market:</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12"/>
              <w:spacing w:after="0"/>
              <w:rPr>
                <w:sz w:val="20"/>
                <w:szCs w:val="20"/>
                <w:color w:val="auto"/>
              </w:rPr>
            </w:pPr>
            <w:r>
              <w:rPr>
                <w:rFonts w:ascii="Arial" w:cs="Arial" w:eastAsia="Arial" w:hAnsi="Arial"/>
                <w:sz w:val="14"/>
                <w:szCs w:val="14"/>
                <w:b w:val="1"/>
                <w:bCs w:val="1"/>
                <w:color w:val="auto"/>
                <w:w w:val="96"/>
              </w:rPr>
              <w:t>High</w:t>
            </w:r>
          </w:p>
        </w:tc>
        <w:tc>
          <w:tcPr>
            <w:tcW w:w="560" w:type="dxa"/>
            <w:vAlign w:val="bottom"/>
          </w:tcPr>
          <w:p>
            <w:pPr>
              <w:spacing w:after="0"/>
              <w:rPr>
                <w:sz w:val="14"/>
                <w:szCs w:val="14"/>
                <w:color w:val="auto"/>
              </w:rPr>
            </w:pPr>
          </w:p>
        </w:tc>
        <w:tc>
          <w:tcPr>
            <w:tcW w:w="4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Low</w:t>
            </w: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2016</w:t>
            </w:r>
          </w:p>
        </w:tc>
        <w:tc>
          <w:tcPr>
            <w:tcW w:w="2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First Quarter</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12.18</w:t>
            </w:r>
          </w:p>
        </w:tc>
        <w:tc>
          <w:tcPr>
            <w:tcW w:w="980" w:type="dxa"/>
            <w:vAlign w:val="bottom"/>
            <w:gridSpan w:val="2"/>
          </w:tcPr>
          <w:p>
            <w:pPr>
              <w:jc w:val="center"/>
              <w:ind w:left="470"/>
              <w:spacing w:after="0"/>
              <w:rPr>
                <w:sz w:val="20"/>
                <w:szCs w:val="20"/>
                <w:color w:val="auto"/>
              </w:rPr>
            </w:pPr>
            <w:r>
              <w:rPr>
                <w:rFonts w:ascii="Arial" w:cs="Arial" w:eastAsia="Arial" w:hAnsi="Arial"/>
                <w:sz w:val="18"/>
                <w:szCs w:val="18"/>
                <w:color w:val="auto"/>
                <w:w w:val="93"/>
              </w:rPr>
              <w:t>$5.34</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3"/>
              </w:rPr>
              <w:t>$5.54</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Third Quarter</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7.10</w:t>
            </w:r>
          </w:p>
        </w:tc>
        <w:tc>
          <w:tcPr>
            <w:tcW w:w="980" w:type="dxa"/>
            <w:vAlign w:val="bottom"/>
            <w:gridSpan w:val="2"/>
          </w:tcPr>
          <w:p>
            <w:pPr>
              <w:jc w:val="center"/>
              <w:ind w:left="470"/>
              <w:spacing w:after="0"/>
              <w:rPr>
                <w:sz w:val="20"/>
                <w:szCs w:val="20"/>
                <w:color w:val="auto"/>
              </w:rPr>
            </w:pPr>
            <w:r>
              <w:rPr>
                <w:rFonts w:ascii="Arial" w:cs="Arial" w:eastAsia="Arial" w:hAnsi="Arial"/>
                <w:sz w:val="18"/>
                <w:szCs w:val="18"/>
                <w:color w:val="auto"/>
                <w:w w:val="93"/>
              </w:rPr>
              <w:t>$2.90</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3"/>
              </w:rPr>
              <w:t>$2.89</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3"/>
              </w:rPr>
              <w:t>$3.18</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Second Quarter</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5.46</w:t>
            </w:r>
          </w:p>
        </w:tc>
        <w:tc>
          <w:tcPr>
            <w:tcW w:w="980" w:type="dxa"/>
            <w:vAlign w:val="bottom"/>
            <w:gridSpan w:val="2"/>
          </w:tcPr>
          <w:p>
            <w:pPr>
              <w:jc w:val="center"/>
              <w:ind w:left="470"/>
              <w:spacing w:after="0"/>
              <w:rPr>
                <w:sz w:val="20"/>
                <w:szCs w:val="20"/>
                <w:color w:val="auto"/>
              </w:rPr>
            </w:pPr>
            <w:r>
              <w:rPr>
                <w:rFonts w:ascii="Arial" w:cs="Arial" w:eastAsia="Arial" w:hAnsi="Arial"/>
                <w:sz w:val="18"/>
                <w:szCs w:val="18"/>
                <w:color w:val="auto"/>
                <w:w w:val="93"/>
              </w:rPr>
              <w:t>$3.35</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3"/>
              </w:rPr>
              <w:t>$3.21</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Fourth Quarter</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4.83</w:t>
            </w:r>
          </w:p>
        </w:tc>
        <w:tc>
          <w:tcPr>
            <w:tcW w:w="980" w:type="dxa"/>
            <w:vAlign w:val="bottom"/>
            <w:gridSpan w:val="2"/>
          </w:tcPr>
          <w:p>
            <w:pPr>
              <w:jc w:val="center"/>
              <w:ind w:left="470"/>
              <w:spacing w:after="0"/>
              <w:rPr>
                <w:sz w:val="20"/>
                <w:szCs w:val="20"/>
                <w:color w:val="auto"/>
              </w:rPr>
            </w:pPr>
            <w:r>
              <w:rPr>
                <w:rFonts w:ascii="Arial" w:cs="Arial" w:eastAsia="Arial" w:hAnsi="Arial"/>
                <w:sz w:val="18"/>
                <w:szCs w:val="18"/>
                <w:color w:val="auto"/>
                <w:w w:val="93"/>
              </w:rPr>
              <w:t>$3.34</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First Quarter</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10.00</w:t>
            </w:r>
          </w:p>
        </w:tc>
        <w:tc>
          <w:tcPr>
            <w:tcW w:w="980" w:type="dxa"/>
            <w:vAlign w:val="bottom"/>
            <w:gridSpan w:val="2"/>
          </w:tcPr>
          <w:p>
            <w:pPr>
              <w:jc w:val="center"/>
              <w:ind w:left="470"/>
              <w:spacing w:after="0"/>
              <w:rPr>
                <w:sz w:val="20"/>
                <w:szCs w:val="20"/>
                <w:color w:val="auto"/>
              </w:rPr>
            </w:pPr>
            <w:r>
              <w:rPr>
                <w:rFonts w:ascii="Arial" w:cs="Arial" w:eastAsia="Arial" w:hAnsi="Arial"/>
                <w:sz w:val="18"/>
                <w:szCs w:val="18"/>
                <w:color w:val="auto"/>
                <w:w w:val="93"/>
              </w:rPr>
              <w:t>$4.60</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(through June 27)</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3"/>
              </w:rPr>
              <w:t>$6.01</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June 27, 2018, the closing price as reported on The Nasdaq Global Select Market of our common stock was $8.50 per share. As of June 27, 2018, we had approximately 27 holders of record of our common stock. However, because many of our outstanding shares are held in accounts with brokers and other institutions, we believe we have more beneficial owners.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CONSIDERATIONS FOR NON-U.S. HOLDERS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21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following is a summary of the material U.S. federal income tax considerations of the ownership and disposition of our common stock to non-U.S. holders (defined below), but does not purport to be a complete analysis of all the potential tax considerations relating thereto. This summary is based upon the provisions of the Code, Treasury regulations promulgated thereunder, administrative rulings and judicial decisions, all as of the date hereof. These authorities may be changed or subject to differing interpretations, possibly with retroactive effect, so as to result in U.S. federal income tax consequences different from those set forth below. We have not sought any ruling from the Internal Revenue Service, or the IRS, with respect to the statements made and the conclusions reached in the following summary, and there can be no assurance that the IRS will agree with such statements and conclusions.</w:t>
      </w:r>
    </w:p>
    <w:p>
      <w:pPr>
        <w:spacing w:after="0" w:line="165"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This summary also does not address the tax considerations arising under the laws of any U.S. state or local or any non-U.S. jurisdiction, U.S. federal estate or gift tax laws, the Medicare tax on net investment income or any alternative minimum tax consequences. In addition, this discussion does not address tax considerations applicable to an investor’s particular circumstances or to investors that may be subject to special tax rules, including, without limitation:</w:t>
      </w:r>
    </w:p>
    <w:p>
      <w:pPr>
        <w:spacing w:after="0" w:line="52"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capital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75"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treated as partnerships for U.S. federal income tax purposes (or investors in any such entities);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passive foreign investment companies;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persons that acquire our common stock as compensation for services.</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addition, if a partnership, including any entity or arrangement classified as a partnership for U.S. federal income tax purposes, holds our common stock, the tax treatment of a partner generally will depend on the status of the partner and upon the activities of the partnership. Accordingly, partnerships that hold our common stock, and partners in such partnerships, should consult their tax advisors.</w:t>
      </w:r>
    </w:p>
    <w:p>
      <w:pPr>
        <w:spacing w:after="0" w:line="177" w:lineRule="exact"/>
        <w:rPr>
          <w:sz w:val="20"/>
          <w:szCs w:val="20"/>
          <w:color w:val="auto"/>
        </w:rPr>
      </w:pPr>
    </w:p>
    <w:p>
      <w:pPr>
        <w:ind w:right="180" w:firstLine="456"/>
        <w:spacing w:after="0" w:line="314" w:lineRule="auto"/>
        <w:rPr>
          <w:sz w:val="20"/>
          <w:szCs w:val="20"/>
          <w:color w:val="auto"/>
        </w:rPr>
      </w:pPr>
      <w:r>
        <w:rPr>
          <w:rFonts w:ascii="Arial" w:cs="Arial" w:eastAsia="Arial" w:hAnsi="Arial"/>
          <w:sz w:val="16"/>
          <w:szCs w:val="16"/>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or gift tax rules or under the laws of any U.S. state or local or any non-U.S. or other taxing jurisdiction or under any applicable tax treaty.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purposes of this discussion, you are a non-U.S. holder if you are a beneficial owner of our common stock that is for U.S. federal income tax purposes (i) a foreign corporation or any other foreign organization taxable as a corporation for U.S. federal income tax purposes, (ii) a nonresident alien individual, or (iii) a foreign estate or trust that in either case is not subject to U.S. federal income tax on a net-income basis on income or gain from a note or share of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As discussed under “Dividend Policy,” above, we do not anticipate paying any dividends on our capital stock in the foreseeable future. If we were to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and then will be treated as gain from the sale of stock, subject to the tax treatment described in the discussion below regarding taxable dispositions of our common stock. Any such distributions would also be subject to the discussions below regarding backup withholding and FATCA.</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Subject to the discussion below regarding a dividend received by you that is effectively connected with the conduct of a U.S. trade or business, a dividend paid to you generally will be subject to U.S. withholding tax either at a rate of 30% of the gross amount of the dividend or such lower rate as may be specified by an applicable income tax treaty. In order to receive a reduced treaty rate, you must provide us with an IRS Form W-8BEN (generally including a U.S. taxpayer identification number), IRS Form W-8-BEN-E or another appropriate version of IRS Form W-8 (or a successor form), in each case, certifying qualification for the reduced rate.</w:t>
      </w:r>
    </w:p>
    <w:p>
      <w:pPr>
        <w:spacing w:after="0" w:line="188"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Dividends received by you that are effectively connected with the conduct of a U.S. trade or business (and, if required by an applicable income tax treaty, are attributable to a permanent establishment maintained by you in the United States) generally are exempt from such withholding tax. In order to obtain this exemption, you must provide us with an IRS Form W-8ECI or successor form or other applicable IRS Form W-8 properly certifying such exemption. Such effectively connected dividends, although not subject to withholding tax, are taxed at the same graduated rates applicable to U.S. persons, net of certain deductions and credits, subject to an applicable income tax treaty providing otherwise. In addition, if you are a corporate non-U.S. holder, you may also be subject to a branch profits tax at a rate of 30% or such lower rate as may be specified by an applicable income tax treaty on your earnings and profits in respect of such effectively connected dividend income.</w:t>
      </w:r>
    </w:p>
    <w:p>
      <w:pPr>
        <w:spacing w:after="0" w:line="17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If you are eligible for a reduced rate of withholding tax pursuant to a tax treaty, you may be able to obtain a refund of any excess amounts currently withheld if you file an appropriate claim for refund with the IRS.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Taxable Disposition of Common Stock</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Subject to the discussion below regarding backup withholding and FATCA, a non-U.S. Holder generally will not be required to pay U.S. federal income tax on any gain realized upon the sale or other taxable disposition of our common stock unless:</w:t>
      </w:r>
    </w:p>
    <w:p>
      <w:pPr>
        <w:spacing w:after="0" w:line="76" w:lineRule="exact"/>
        <w:rPr>
          <w:sz w:val="20"/>
          <w:szCs w:val="20"/>
          <w:color w:val="auto"/>
        </w:rPr>
      </w:pPr>
    </w:p>
    <w:p>
      <w:pPr>
        <w:ind w:left="900" w:right="80" w:hanging="325"/>
        <w:spacing w:after="0" w:line="25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U.S. trade or business (and, if required by an applicable income tax treaty, the gain is attributable to a permanent establishment maintained by you in the U.S.), in which case you will be required to pay tax on the net gain derived from the sale under regular graduated U.S. federal income tax rates, and for a non-U.S. holder that is a corporation, such non-U.S. holder may be subject to the branch profits tax on any earnings and profits attributable to such gains at a 30% rate or such lower rate as may be specified by an applicable income tax treaty;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a period or periods aggregating 183 days or more during the calendar year in which the sale or disposition occurs and certain other conditions are met, in which case you will be required to pay a flat 30% tax on the gain derived from the sale, which tax may be offset by U.S. source capital losses in the taxable year of disposition (even though you are not considered a resident of the United States) (subject to applicable income tax or other treaties); or</w:t>
      </w:r>
    </w:p>
    <w:p>
      <w:pPr>
        <w:spacing w:after="0" w:line="92" w:lineRule="exact"/>
        <w:rPr>
          <w:rFonts w:ascii="Arial" w:cs="Arial" w:eastAsia="Arial" w:hAnsi="Arial"/>
          <w:sz w:val="18"/>
          <w:szCs w:val="18"/>
          <w:color w:val="auto"/>
        </w:rPr>
      </w:pPr>
    </w:p>
    <w:p>
      <w:pPr>
        <w:ind w:left="900" w:hanging="325"/>
        <w:spacing w:after="0" w:line="271"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by reason of our status as a “U.S. real property holding corporation” for U.S. federal income tax purposes, a USRPHC, at any time within the shorter of the five-year period preceding the disposition or your holding period for our common stock. 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common stock is regularly traded on an established securities market (as determined under the Code), such common stock will be treated as U.S. real property interests only if you actually or constructively hold more than five percent of such regularly traded common stock at any time during the applicable period that is specified in the Code.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generally be sent to you. Pursuant to applicable income tax treaties or other agreements, the IRS may make these reports available to tax authorities in your country of residence.</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Payments of dividends or of proceeds on the disposition of stock made to you may be subject to additional information reporting and backup withholding at the then applicable rate unless you establish an exemption, for example by properly certifying your non-U.S. status on an IRS Form W-8BEN, IRS Form W-8BEN-E or another appropriate version of IRS Form W-8 (or a successor form). Notwithstanding the foregoing, backup withholding and information reporting may apply if either we or our paying agent has actual knowledge, or reason to know, that you are a U.S. person.</w:t>
      </w:r>
    </w:p>
    <w:p>
      <w:pPr>
        <w:spacing w:after="0" w:line="171"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 (“FATCA”)</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Provisions commonly referred to as “FATCA” may impose withholding tax on certain types of payments made to “foreign financial institutions” and certain other non-U.S. entities. The legislation imposes a 30% withholding tax on dividends on, or gross proceeds from the sale or other disposition of, our common stock paid to a foreign financial institution or to certain non-financial foreign entities, unless (i) the foreign financial institution undertakes certain diligence and reporting obligations, (ii) the non-financial foreign entity either certifies it does not have any substantial U.S. owners or furnishes identifying information regarding each substantial U.S. owner and such entity meets certain other specified requirements, or (iii) the foreign financial institution or non-financial foreign entity otherwise qualifies for an exemption from these rules. If the payee is a foreign financial institution and is subject to the requirements in (i) above, it must enter into an agreement with the U.S. Treasury requiring, among other things, that it undertake to identify accounts held by certain U.S. persons or U.S.-owned foreign entities, annually report certain information about such accounts, and withhold 30% on payments to account holders whose actions prevent it from complying with these reporting and other requirements. If the country in which a payee is resident has entered into an “intergovernmental agreement” with</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United States regarding FATCA, that agreement may permit the payee to report to that country rather than to the U.S. Treasury. Under final regulations and published guidance, the obligation to withhold from payments made to a foreign financial institution or a foreign non-financial entity under the new legislation with respect to dividends on our common stock are currently in effect, but with respect to the gross proceeds of a sale or other disposition of our common stock will not begin until January 1, 2019. Prospective investors should consult their tax advisors regarding FATCA.</w:t>
      </w:r>
    </w:p>
    <w:p>
      <w:pPr>
        <w:spacing w:after="0" w:line="167" w:lineRule="exact"/>
        <w:rPr>
          <w:sz w:val="20"/>
          <w:szCs w:val="20"/>
          <w:color w:val="auto"/>
        </w:rPr>
      </w:pPr>
    </w:p>
    <w:p>
      <w:pPr>
        <w:jc w:val="both"/>
        <w:ind w:right="300" w:firstLine="456"/>
        <w:spacing w:after="0" w:line="314" w:lineRule="auto"/>
        <w:rPr>
          <w:sz w:val="20"/>
          <w:szCs w:val="20"/>
          <w:color w:val="auto"/>
        </w:rPr>
      </w:pPr>
      <w:r>
        <w:rPr>
          <w:rFonts w:ascii="Arial" w:cs="Arial" w:eastAsia="Arial" w:hAnsi="Arial"/>
          <w:sz w:val="16"/>
          <w:szCs w:val="16"/>
          <w:b w:val="1"/>
          <w:bCs w:val="1"/>
          <w:color w:val="auto"/>
        </w:rPr>
        <w:t>The preceding discussion of U.S. federal income tax considerations is for general information only. It is not tax advice.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We and the underwriters for the offering named below have entered into an underwriting agreement with respect to the common stock being offered. Subject to the terms and conditions of the underwriting agreement, each underwriter has severally agreed to purchase from us the number of shares of our common stock set forth opposite its name below. Cowen and Company, LLC and Piper Jaffray &amp; Co. are the representatives of the underwriters.</w:t>
      </w:r>
    </w:p>
    <w:p>
      <w:pPr>
        <w:spacing w:after="0" w:line="15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91"/>
        </w:trPr>
        <w:tc>
          <w:tcPr>
            <w:tcW w:w="6740" w:type="dxa"/>
            <w:vAlign w:val="bottom"/>
            <w:gridSpan w:val="2"/>
            <w:vMerge w:val="continue"/>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90"/>
        </w:trPr>
        <w:tc>
          <w:tcPr>
            <w:tcW w:w="7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3"/>
              </w:rPr>
              <w:t>Cowen and</w:t>
            </w:r>
          </w:p>
        </w:tc>
        <w:tc>
          <w:tcPr>
            <w:tcW w:w="5960" w:type="dxa"/>
            <w:vAlign w:val="bottom"/>
            <w:tcBorders>
              <w:top w:val="single" w:sz="8" w:color="CCEEFF"/>
            </w:tcBorders>
            <w:shd w:val="clear" w:color="auto" w:fill="CCEEFF"/>
          </w:tcPr>
          <w:p>
            <w:pPr>
              <w:ind w:left="80"/>
              <w:spacing w:after="0" w:line="189" w:lineRule="exact"/>
              <w:rPr>
                <w:sz w:val="20"/>
                <w:szCs w:val="20"/>
                <w:color w:val="auto"/>
              </w:rPr>
            </w:pPr>
            <w:r>
              <w:rPr>
                <w:rFonts w:ascii="Arial" w:cs="Arial" w:eastAsia="Arial" w:hAnsi="Arial"/>
                <w:sz w:val="18"/>
                <w:szCs w:val="18"/>
                <w:color w:val="auto"/>
              </w:rPr>
              <w:t>Company, LLC</w:t>
            </w:r>
          </w:p>
        </w:tc>
        <w:tc>
          <w:tcPr>
            <w:tcW w:w="9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3,400,000</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Piper Jaffray &amp; Co.</w:t>
            </w:r>
          </w:p>
        </w:tc>
        <w:tc>
          <w:tcPr>
            <w:tcW w:w="940" w:type="dxa"/>
            <w:vAlign w:val="bottom"/>
          </w:tcPr>
          <w:p>
            <w:pPr>
              <w:jc w:val="right"/>
              <w:spacing w:after="0"/>
              <w:rPr>
                <w:sz w:val="20"/>
                <w:szCs w:val="20"/>
                <w:color w:val="auto"/>
              </w:rPr>
            </w:pPr>
            <w:r>
              <w:rPr>
                <w:rFonts w:ascii="Arial" w:cs="Arial" w:eastAsia="Arial" w:hAnsi="Arial"/>
                <w:sz w:val="18"/>
                <w:szCs w:val="18"/>
                <w:color w:val="auto"/>
              </w:rPr>
              <w:t>3,000,000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JMP Securities LLC</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Wedbush Securities Inc.</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underwriting agreement provides that the obligations of the underwriters are subject to certain conditions precedent and that the underwriters have agreed, severally and not jointly, to purchase all of the shares sold under the underwriting agreement if any of these shares are purchased, other than those shares covered by the overallotment option described below. If an underwriter defaults, the underwriting agreement provides that the purchase commitments of the non-defaulting underwriters may be increased or the underwriting agreement may be terminated.</w:t>
      </w:r>
    </w:p>
    <w:p>
      <w:pPr>
        <w:spacing w:after="0" w:line="17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have agreed to indemnify the underwriters against specified liabilities, including liabilities under the Securities Act of 1933, and to contribute to payments the underwriters may be required to make in respect thereof.</w:t>
      </w:r>
    </w:p>
    <w:p>
      <w:pPr>
        <w:spacing w:after="0" w:line="17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 xml:space="preserve">Option to Purchase Additional Shares. </w:t>
      </w:r>
      <w:r>
        <w:rPr>
          <w:rFonts w:ascii="Arial" w:cs="Arial" w:eastAsia="Arial" w:hAnsi="Arial"/>
          <w:sz w:val="17"/>
          <w:szCs w:val="17"/>
          <w:color w:val="auto"/>
        </w:rPr>
        <w:t>We have granted to the underwriters an option to purchase up to additional shares of common stock at the public</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price, less the underwriting discount. This option is exercisable for a period of 30 days. To the extent that the underwriters exercise this option, the underwriters will purchase additional shares from us in approximately the same proportion as shown in the table above.</w:t>
      </w:r>
    </w:p>
    <w:p>
      <w:pPr>
        <w:spacing w:after="0" w:line="166"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i w:val="1"/>
          <w:iCs w:val="1"/>
          <w:color w:val="auto"/>
        </w:rPr>
        <w:t xml:space="preserve">Discounts and Commissions. </w:t>
      </w:r>
      <w:r>
        <w:rPr>
          <w:rFonts w:ascii="Arial" w:cs="Arial" w:eastAsia="Arial" w:hAnsi="Arial"/>
          <w:sz w:val="17"/>
          <w:szCs w:val="17"/>
          <w:color w:val="auto"/>
        </w:rPr>
        <w:t>The following table shows the public offering price, underwriting discount and proceeds, before expenses to us. These</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are shown assuming both no exercise and full exercise of the underwriters’ option to purchase additional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estimate that the total expenses of the offering, excluding underwriting discount, will be approximately $500,000 and are payable by us.</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780"/>
              <w:spacing w:after="0"/>
              <w:rPr>
                <w:sz w:val="20"/>
                <w:szCs w:val="20"/>
                <w:color w:val="auto"/>
              </w:rPr>
            </w:pPr>
            <w:r>
              <w:rPr>
                <w:rFonts w:ascii="Arial" w:cs="Arial" w:eastAsia="Arial" w:hAnsi="Arial"/>
                <w:sz w:val="14"/>
                <w:szCs w:val="14"/>
                <w:b w:val="1"/>
                <w:bCs w:val="1"/>
                <w:color w:val="auto"/>
              </w:rPr>
              <w:t>Total</w:t>
            </w: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00" w:type="dxa"/>
            <w:vAlign w:val="bottom"/>
          </w:tcPr>
          <w:p>
            <w:pPr>
              <w:spacing w:after="0"/>
              <w:rPr>
                <w:sz w:val="10"/>
                <w:szCs w:val="10"/>
                <w:color w:val="auto"/>
              </w:rPr>
            </w:pPr>
          </w:p>
        </w:tc>
        <w:tc>
          <w:tcPr>
            <w:tcW w:w="12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91"/>
              </w:rPr>
              <w:t>Per Share</w:t>
            </w:r>
          </w:p>
        </w:tc>
        <w:tc>
          <w:tcPr>
            <w:tcW w:w="1520" w:type="dxa"/>
            <w:vAlign w:val="bottom"/>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Without Over-</w:t>
            </w:r>
          </w:p>
        </w:tc>
        <w:tc>
          <w:tcPr>
            <w:tcW w:w="860" w:type="dxa"/>
            <w:vAlign w:val="bottom"/>
          </w:tcPr>
          <w:p>
            <w:pPr>
              <w:jc w:val="right"/>
              <w:ind w:right="18"/>
              <w:spacing w:after="0" w:line="119" w:lineRule="exact"/>
              <w:rPr>
                <w:sz w:val="20"/>
                <w:szCs w:val="20"/>
                <w:color w:val="auto"/>
              </w:rPr>
            </w:pPr>
            <w:r>
              <w:rPr>
                <w:rFonts w:ascii="Arial" w:cs="Arial" w:eastAsia="Arial" w:hAnsi="Arial"/>
                <w:sz w:val="13"/>
                <w:szCs w:val="13"/>
                <w:b w:val="1"/>
                <w:bCs w:val="1"/>
                <w:color w:val="auto"/>
              </w:rPr>
              <w:t>With Over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5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Allotment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Allotment</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60,000,000</w:t>
            </w:r>
          </w:p>
        </w:tc>
        <w:tc>
          <w:tcPr>
            <w:tcW w:w="6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69,000,000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Underwriting discount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0.45</w:t>
            </w:r>
          </w:p>
        </w:tc>
        <w:tc>
          <w:tcPr>
            <w:tcW w:w="900" w:type="dxa"/>
            <w:vAlign w:val="bottom"/>
          </w:tcPr>
          <w:p>
            <w:pPr>
              <w:jc w:val="right"/>
              <w:spacing w:after="0"/>
              <w:rPr>
                <w:sz w:val="20"/>
                <w:szCs w:val="20"/>
                <w:color w:val="auto"/>
              </w:rPr>
            </w:pPr>
            <w:r>
              <w:rPr>
                <w:rFonts w:ascii="Arial" w:cs="Arial" w:eastAsia="Arial" w:hAnsi="Arial"/>
                <w:sz w:val="18"/>
                <w:szCs w:val="18"/>
                <w:color w:val="auto"/>
              </w:rPr>
              <w:t>3,600,000</w:t>
            </w:r>
          </w:p>
        </w:tc>
        <w:tc>
          <w:tcPr>
            <w:tcW w:w="6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4,140,000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Company</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7.05</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56,400,000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64,860,000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underwriters propose to offer the shares of common stock to the public at the public offering price set forth on the cover of this prospectus. The underwriters may offer the shares of common stock to securities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dealers at the public offering price less a concession not in excess of $0.27 per share. If all of the shares are not sold at the public offering price, the underwriters may change the offering price and other selling terms.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Discretionary Accounts. </w:t>
      </w:r>
      <w:r>
        <w:rPr>
          <w:rFonts w:ascii="Arial" w:cs="Arial" w:eastAsia="Arial" w:hAnsi="Arial"/>
          <w:sz w:val="16"/>
          <w:szCs w:val="16"/>
          <w:color w:val="auto"/>
        </w:rPr>
        <w:t>The underwriters do not intend to confirm sales of the shares to any accounts over which they have discretionary authority.</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Our common stock trades on The Nasdaq Global Select Market under the symbol “ZFGN”.</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i w:val="1"/>
          <w:iCs w:val="1"/>
          <w:color w:val="auto"/>
        </w:rPr>
        <w:t xml:space="preserve">Stabilization. </w:t>
      </w:r>
      <w:r>
        <w:rPr>
          <w:rFonts w:ascii="Arial" w:cs="Arial" w:eastAsia="Arial" w:hAnsi="Arial"/>
          <w:sz w:val="18"/>
          <w:szCs w:val="18"/>
          <w:color w:val="auto"/>
        </w:rPr>
        <w:t>In connection with this offering, the underwriters may engage in stabilizing transactions, overallotment transactions, syndicate covering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penalty bids and purchases to cover positions created by short sales.</w:t>
      </w:r>
    </w:p>
    <w:p>
      <w:pPr>
        <w:spacing w:after="0" w:line="76" w:lineRule="exact"/>
        <w:rPr>
          <w:sz w:val="20"/>
          <w:szCs w:val="20"/>
          <w:color w:val="auto"/>
        </w:rPr>
      </w:pPr>
    </w:p>
    <w:p>
      <w:pPr>
        <w:ind w:left="900" w:right="120" w:hanging="325"/>
        <w:spacing w:after="0" w:line="34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Stabilizing transactions permit bids to purchase shares of common stock so long as the stabilizing bids do not exceed a specified maximum, and are engaged in for the purpose of preventing or retarding a decline in the market price of the common stock while the offering is in progress.</w:t>
      </w:r>
    </w:p>
    <w:p>
      <w:pPr>
        <w:spacing w:after="0" w:line="29" w:lineRule="exact"/>
        <w:rPr>
          <w:rFonts w:ascii="Arial" w:cs="Arial" w:eastAsia="Arial" w:hAnsi="Arial"/>
          <w:sz w:val="16"/>
          <w:szCs w:val="16"/>
          <w:color w:val="auto"/>
        </w:rPr>
      </w:pPr>
    </w:p>
    <w:p>
      <w:pPr>
        <w:ind w:left="900" w:right="20" w:hanging="325"/>
        <w:spacing w:after="0" w:line="297"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Overallotment transactions involve sales by the underwriters of shares of common stock in excess of the number of shares the underwriters are obligated to purchase. This creates a syndicate short position which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short position by exercising their overallotment option and/or purchasing shares in the open market.</w:t>
      </w:r>
    </w:p>
    <w:p>
      <w:pPr>
        <w:spacing w:after="0" w:line="63" w:lineRule="exact"/>
        <w:rPr>
          <w:rFonts w:ascii="Arial" w:cs="Arial" w:eastAsia="Arial" w:hAnsi="Arial"/>
          <w:sz w:val="16"/>
          <w:szCs w:val="16"/>
          <w:color w:val="auto"/>
        </w:rPr>
      </w:pPr>
    </w:p>
    <w:p>
      <w:pPr>
        <w:ind w:left="900" w:right="220" w:hanging="325"/>
        <w:spacing w:after="0" w:line="272"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with the price at which they may purchase shares through exercise of the overallotment option. If the underwriters sell more shares than could be covered by exercise of the overallotment option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w:t>
      </w:r>
    </w:p>
    <w:p>
      <w:pPr>
        <w:spacing w:after="0" w:line="83" w:lineRule="exact"/>
        <w:rPr>
          <w:rFonts w:ascii="Arial" w:cs="Arial" w:eastAsia="Arial" w:hAnsi="Arial"/>
          <w:sz w:val="17"/>
          <w:szCs w:val="17"/>
          <w:color w:val="auto"/>
        </w:rPr>
      </w:pPr>
    </w:p>
    <w:p>
      <w:pPr>
        <w:ind w:left="900" w:right="120" w:hanging="325"/>
        <w:spacing w:after="0" w:line="308"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Penalty bids permit the representatives to reclaim a selling concession from a syndicate member when the common stock originally sold by that syndicate member is purchased in stabilizing or syndicate covering transactions to cover syndicate short positions.</w:t>
      </w:r>
    </w:p>
    <w:p>
      <w:pPr>
        <w:spacing w:after="0" w:line="14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These stabilizing transactions, syndicate covering transactions and penalty bids may have the effect of raising or maintaining the market price of our common stock or preventing or retarding a decline in the market price of our common stock. As a result, the price of our common stock in the open market may be higher than it would otherwise be in the absence of these transactions. Neither we nor the underwriters make any representation or prediction as to the effect that the transactions described above may have on the price of our common stock. These transactions may be effected on the Nasdaq Stock Market, in the over-the-counter market or otherwise and, if commenced, may be discontinued at any time.</w:t>
      </w:r>
    </w:p>
    <w:p>
      <w:pPr>
        <w:spacing w:after="0" w:line="173"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i w:val="1"/>
          <w:iCs w:val="1"/>
          <w:color w:val="auto"/>
        </w:rPr>
        <w:t xml:space="preserve">Passive Market Making. </w:t>
      </w:r>
      <w:r>
        <w:rPr>
          <w:rFonts w:ascii="Arial" w:cs="Arial" w:eastAsia="Arial" w:hAnsi="Arial"/>
          <w:sz w:val="17"/>
          <w:szCs w:val="17"/>
          <w:color w:val="auto"/>
        </w:rPr>
        <w:t>In connection with this offering, underwriters and selling group members may engage in passive market making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in our common stock on the Nasdaq Stock Market in accordance with Rule 103 of Regulation M under the Securities Exchange Act of 1934, as amended, during a period before the commencement of offers or sales of common stock and extending through the completion of the distribution. A passive market maker must display its bid at a price not in excess of the highest independent bid of that security. However, if all independent bids are lowered below the passive market maker’s bid, such bid must then be lowered when specified purchase limits are exceeded.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 xml:space="preserve">Lock-Up Agreements. </w:t>
      </w:r>
      <w:r>
        <w:rPr>
          <w:rFonts w:ascii="Arial" w:cs="Arial" w:eastAsia="Arial" w:hAnsi="Arial"/>
          <w:sz w:val="17"/>
          <w:szCs w:val="17"/>
          <w:color w:val="auto"/>
        </w:rPr>
        <w:t>We have agreed that we will not (i) offer, pledge, sell, contract to sell, sell any option or contract to purchase, purchase any</w:t>
      </w:r>
      <w:r>
        <w:rPr>
          <w:rFonts w:ascii="Arial" w:cs="Arial" w:eastAsia="Arial" w:hAnsi="Arial"/>
          <w:sz w:val="17"/>
          <w:szCs w:val="17"/>
          <w:i w:val="1"/>
          <w:iCs w:val="1"/>
          <w:color w:val="auto"/>
        </w:rPr>
        <w:t xml:space="preserve"> </w:t>
      </w:r>
      <w:r>
        <w:rPr>
          <w:rFonts w:ascii="Arial" w:cs="Arial" w:eastAsia="Arial" w:hAnsi="Arial"/>
          <w:sz w:val="17"/>
          <w:szCs w:val="17"/>
          <w:color w:val="auto"/>
        </w:rPr>
        <w:t>option or contract to sell, grant any option, right or warrant to purchase or otherwise dispose of, directly or indirectly, or file with the Securities and Exchange Commission a registration statement under the Securities Act relating to, any shares of our common stock or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Cowen and Company, LLC and Piper Jaffray &amp; Co. for a period of 60 days after the date of this prospectus, other than the shares of our common stock to be sold hereunder and any shares of our common stock issued upon the exercise of options granted under our existing stock-based compensation plans.</w:t>
      </w:r>
    </w:p>
    <w:p>
      <w:pPr>
        <w:spacing w:after="0" w:line="182"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Our directors and executive officers, and certain of our significant shareholders have entered into lock-up agreements with the underwriters prior to the commencement of this offering pursuant to which each of these persons or entities, with limited exceptions, for a period of 60 days after the date of this prospectus, may not, without the prior written consent of Cowen and Company, LLC and Piper Jaffray &amp; Co.,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or publicly disclose the intention to make any offer, sale, pledge or disposition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 subject to limited exceptions which include:</w:t>
      </w:r>
    </w:p>
    <w:p>
      <w:pPr>
        <w:spacing w:after="0" w:line="85"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of securities acquired in open market transactions after the completion of this offering;</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transfers of securities (i) as a bona fide gift or gifts or (ii) by will or intestacy to the legal representative, heir, beneficiary or a member of the immediate family of the undersigned in a transaction not involving a disposition for value;</w:t>
      </w:r>
    </w:p>
    <w:p>
      <w:pPr>
        <w:spacing w:after="0" w:line="75" w:lineRule="exact"/>
        <w:rPr>
          <w:rFonts w:ascii="Arial" w:cs="Arial" w:eastAsia="Arial" w:hAnsi="Arial"/>
          <w:sz w:val="18"/>
          <w:szCs w:val="18"/>
          <w:color w:val="auto"/>
        </w:rPr>
      </w:pPr>
    </w:p>
    <w:p>
      <w:pPr>
        <w:ind w:left="900" w:right="42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holder is an individual, transfers of shares of our common stock or any security convertible into our common stock to any trust for the benefit of the holder or the immediate family of the undersigned, or limited partnerships the partners of which are the holder and/or the immediate family members of the holder, in each case for estate planning purposes;</w:t>
      </w:r>
    </w:p>
    <w:p>
      <w:pPr>
        <w:spacing w:after="0" w:line="86"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holder is a trust, distributions of shares of our common stock or any security convertible into our common stock to its beneficiaries in a transaction not involving a disposition for value;</w:t>
      </w:r>
    </w:p>
    <w:p>
      <w:pPr>
        <w:spacing w:after="0" w:line="75" w:lineRule="exact"/>
        <w:rPr>
          <w:rFonts w:ascii="Arial" w:cs="Arial" w:eastAsia="Arial" w:hAnsi="Arial"/>
          <w:sz w:val="18"/>
          <w:szCs w:val="18"/>
          <w:color w:val="auto"/>
        </w:rPr>
      </w:pPr>
    </w:p>
    <w:p>
      <w:pPr>
        <w:ind w:left="900" w:right="28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holder is a corporation, limited liability company, partnership or other entity, distribution of shares of our common stock or any security convertible into our common stock to members, stockholders, limited partners, subsidiaries or affiliates (as defined in Rule 405 promulgated under the Securities Act of 1933, as amended) of the holder or to any investment fund or other entity that controls or manages the holder in a transaction not involving a disposition for value;</w:t>
      </w:r>
    </w:p>
    <w:p>
      <w:pPr>
        <w:spacing w:after="0" w:line="92"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transfers to us pursuant to agreements under which we have the option to repurchase such shares or securities upon termination of service of the holder;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receipt by the holder from us of shares of our common stock upon the exercise of options;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4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establishment of a trading plan that satisfies the requirements of Rule 10b5-1 under the Exchange Act, or a 10b-5 Plan, for the transfer of shares of our common stock under a currently existing 10b5-1 Plan, in each case subject to certain conditions.</w:t>
      </w:r>
    </w:p>
    <w:p>
      <w:pPr>
        <w:spacing w:after="0" w:line="170"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i w:val="1"/>
          <w:iCs w:val="1"/>
          <w:color w:val="auto"/>
        </w:rPr>
        <w:t>Canada</w:t>
      </w:r>
      <w:r>
        <w:rPr>
          <w:rFonts w:ascii="Arial" w:cs="Arial" w:eastAsia="Arial" w:hAnsi="Arial"/>
          <w:sz w:val="16"/>
          <w:szCs w:val="16"/>
          <w:color w:val="auto"/>
        </w:rPr>
        <w:t>. The common stock may be sold only to purchasers purchasing, or deemed to be purchasing, as principal that are accredited investors,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common stock must be made in accordance with an exemption from, or in a transaction not subject to, the prospectus requirements of applicable securities laws.</w:t>
      </w:r>
    </w:p>
    <w:p>
      <w:pPr>
        <w:spacing w:after="0" w:line="154"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United Kingdom. </w:t>
      </w:r>
      <w:r>
        <w:rPr>
          <w:rFonts w:ascii="Arial" w:cs="Arial" w:eastAsia="Arial" w:hAnsi="Arial"/>
          <w:sz w:val="18"/>
          <w:szCs w:val="18"/>
          <w:color w:val="auto"/>
        </w:rPr>
        <w:t>Each of the underwriters has represented and agreed that:</w:t>
      </w:r>
    </w:p>
    <w:p>
      <w:pPr>
        <w:spacing w:after="0" w:line="131" w:lineRule="exact"/>
        <w:rPr>
          <w:sz w:val="20"/>
          <w:szCs w:val="20"/>
          <w:color w:val="auto"/>
        </w:rPr>
      </w:pPr>
    </w:p>
    <w:p>
      <w:pPr>
        <w:ind w:left="900" w:right="360" w:hanging="325"/>
        <w:spacing w:after="0" w:line="30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it has not made or will not make an offer of the securities to the public in the United Kingdom within the meaning of section 102B of the Financial Services and Markets Act 2000 (as amended) (FSMA) except to legal entities which are authorized or regulated to operate in the financial markets or, if not so authorized or regulated, whose corporate purpose is solely to invest in securities or otherwise in circumstances which do not require the publication by us of a prospectus pursuant to the Prospectus Rules of the Financial Services Authority (FSA);</w:t>
      </w:r>
    </w:p>
    <w:p>
      <w:pPr>
        <w:spacing w:after="0" w:line="59"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FSMA) to persons who have professional experience in matters relating to investments falling within Article 19(5) of the Financial Services and Markets Act 2000 (Financial Promotion) Order 2005 or in circumstances in which section 21 of FSMA does not apply to us; and</w:t>
      </w:r>
    </w:p>
    <w:p>
      <w:pPr>
        <w:spacing w:after="0" w:line="92"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FSMA with respect to anything done by it in relation to the securities in, from or otherwise involving the United Kingdom.</w:t>
      </w:r>
    </w:p>
    <w:p>
      <w:pPr>
        <w:spacing w:after="0" w:line="170"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i w:val="1"/>
          <w:iCs w:val="1"/>
          <w:color w:val="auto"/>
        </w:rPr>
        <w:t xml:space="preserve">Switzerland. </w:t>
      </w:r>
      <w:r>
        <w:rPr>
          <w:rFonts w:ascii="Arial" w:cs="Arial" w:eastAsia="Arial" w:hAnsi="Arial"/>
          <w:sz w:val="17"/>
          <w:szCs w:val="17"/>
          <w:color w:val="auto"/>
        </w:rPr>
        <w:t>The securities will not be offered, directly or indirectly, to the public in Switzerland and this prospectus does not constitute a public</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prospectus as that term is understood pursuant to article 652a or 1156 of the Swiss Federal Code of Obligations.</w:t>
      </w:r>
    </w:p>
    <w:p>
      <w:pPr>
        <w:spacing w:after="0" w:line="147" w:lineRule="exact"/>
        <w:rPr>
          <w:sz w:val="20"/>
          <w:szCs w:val="20"/>
          <w:color w:val="auto"/>
        </w:rPr>
      </w:pPr>
    </w:p>
    <w:p>
      <w:pPr>
        <w:jc w:val="both"/>
        <w:ind w:right="540" w:firstLine="456"/>
        <w:spacing w:after="0" w:line="342" w:lineRule="auto"/>
        <w:rPr>
          <w:sz w:val="20"/>
          <w:szCs w:val="20"/>
          <w:color w:val="auto"/>
        </w:rPr>
      </w:pPr>
      <w:r>
        <w:rPr>
          <w:rFonts w:ascii="Arial" w:cs="Arial" w:eastAsia="Arial" w:hAnsi="Arial"/>
          <w:sz w:val="16"/>
          <w:szCs w:val="16"/>
          <w:i w:val="1"/>
          <w:iCs w:val="1"/>
          <w:color w:val="auto"/>
        </w:rPr>
        <w:t xml:space="preserve">European Economic Area. </w:t>
      </w:r>
      <w:r>
        <w:rPr>
          <w:rFonts w:ascii="Arial" w:cs="Arial" w:eastAsia="Arial" w:hAnsi="Arial"/>
          <w:sz w:val="16"/>
          <w:szCs w:val="16"/>
          <w:color w:val="auto"/>
        </w:rPr>
        <w:t>In relation to each Member State of the European Economic Area (the “EEA”) which has implemented the European</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Directive (each, a “Relevant Member State”), an offer of our shares may not be made to the public in a Relevant Member State other than:</w:t>
      </w:r>
    </w:p>
    <w:p>
      <w:pPr>
        <w:spacing w:after="0" w:line="29"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European Prospectus Directive;</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fewer 150 natural or legal persons (other than qualified investors as defined in the European Prospectus Directive), subject to obtaining the prior consent of the relevant dealer or dealers nominated by us for any such offer;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European Prospectus Directive;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provided that no such offer of our shares shall require us or any underwriter to publish a prospectus pursuant to Article 3 of the European Prospectus Directive or supplement prospectus pursuant to Article 16 of the European Prospectus Directive and each person who initially acquires any shares or to whom any offer is made will be deemed to have represented, acknowledged and agreed to and with each of the underwriters and with us that it is a “qualified investor” within the meaning of the law in that Relevant Member State implementing Article 2(1)(e) of the European Prospectus Directive.</w:t>
      </w:r>
    </w:p>
    <w:p>
      <w:pPr>
        <w:spacing w:after="0" w:line="171" w:lineRule="exact"/>
        <w:rPr>
          <w:sz w:val="20"/>
          <w:szCs w:val="20"/>
          <w:color w:val="auto"/>
        </w:rPr>
      </w:pPr>
    </w:p>
    <w:p>
      <w:pPr>
        <w:jc w:val="both"/>
        <w:ind w:right="200" w:firstLine="456"/>
        <w:spacing w:after="0" w:line="276"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3(2) of the European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or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17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For the purposes of this description, the expression an “offer to the public” in relation to the securities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Relevant Member State by any measure implementing the European Prospectus Directive in that member state, and the expression “European Prospectus Directive’’ means Directive 2003/71/EC (and amendments hereto, including the 2010 PD Amending Directive, to the extent implemented in the Relevant Member State) and includes any relevant implementing measure in each Relevant Member State. The expression 2010 PD Amending Directive means Directive 2010/73/EU.</w:t>
      </w:r>
    </w:p>
    <w:p>
      <w:pPr>
        <w:spacing w:after="0" w:line="16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i w:val="1"/>
          <w:iCs w:val="1"/>
          <w:color w:val="auto"/>
        </w:rPr>
        <w:t xml:space="preserve">Israel. </w:t>
      </w:r>
      <w:r>
        <w:rPr>
          <w:rFonts w:ascii="Arial" w:cs="Arial" w:eastAsia="Arial" w:hAnsi="Arial"/>
          <w:sz w:val="17"/>
          <w:szCs w:val="17"/>
          <w:color w:val="auto"/>
        </w:rPr>
        <w:t>In the State of Israel this prospectus shall not be regarded as an offer to the public to purchase shares of common stock under the Israeli</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Law, 5728 – 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common stock to any person within the State of Israel, other than to Qualified Investors and up to 35 Addressed Investors.</w:t>
      </w:r>
    </w:p>
    <w:p>
      <w:pPr>
        <w:spacing w:after="0" w:line="18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Qualified Investors may have to submit written evidence that they meet the definitions set out in of the First Addendum to the Israeli Securities Law, 5728 –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common stock; (iv) that the shares of common stock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have not authorized and do not authorize the making of any offer of securities through any financial intermediary on our behalf, other than offers made by the underwriters and their respective affiliates, with a view to the final placement of the securities as contemplated in this document. Accordingly, no purchaser of the shares, other than the underwriters, is authorized to make any further offer of shares on our behalf or on behalf of the underwriters.</w:t>
      </w:r>
    </w:p>
    <w:p>
      <w:pPr>
        <w:spacing w:after="0" w:line="14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i w:val="1"/>
          <w:iCs w:val="1"/>
          <w:color w:val="auto"/>
        </w:rPr>
        <w:t xml:space="preserve">Electronic Offer, Sale and Distribution of Shares. </w:t>
      </w:r>
      <w:r>
        <w:rPr>
          <w:rFonts w:ascii="Arial" w:cs="Arial" w:eastAsia="Arial" w:hAnsi="Arial"/>
          <w:sz w:val="17"/>
          <w:szCs w:val="17"/>
          <w:color w:val="auto"/>
        </w:rPr>
        <w:t>A prospectus in electronic format may be made available on the websites maintained by one or more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178" w:lineRule="exact"/>
        <w:rPr>
          <w:sz w:val="20"/>
          <w:szCs w:val="20"/>
          <w:color w:val="auto"/>
        </w:rPr>
      </w:pPr>
    </w:p>
    <w:p>
      <w:pPr>
        <w:jc w:val="both"/>
        <w:ind w:right="620" w:firstLine="456"/>
        <w:spacing w:after="0" w:line="342" w:lineRule="auto"/>
        <w:rPr>
          <w:sz w:val="20"/>
          <w:szCs w:val="20"/>
          <w:color w:val="auto"/>
        </w:rPr>
      </w:pPr>
      <w:r>
        <w:rPr>
          <w:rFonts w:ascii="Arial" w:cs="Arial" w:eastAsia="Arial" w:hAnsi="Arial"/>
          <w:sz w:val="16"/>
          <w:szCs w:val="16"/>
          <w:i w:val="1"/>
          <w:iCs w:val="1"/>
          <w:color w:val="auto"/>
        </w:rPr>
        <w:t xml:space="preserve">Other Relationships. </w:t>
      </w:r>
      <w:r>
        <w:rPr>
          <w:rFonts w:ascii="Arial" w:cs="Arial" w:eastAsia="Arial" w:hAnsi="Arial"/>
          <w:sz w:val="16"/>
          <w:szCs w:val="16"/>
          <w:color w:val="auto"/>
        </w:rPr>
        <w:t>Certain of the underwriters and their affiliates have provided, and may in the future provide, various investment banking,</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banking and other financial services for us and our affiliates for which they have received, and may in the future receive, customary fees.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The validity of the shares of common stock offered hereby will be passed upon for us by Goodwin Procter LLP, Boston, Massachusetts. Certain legal matters relating to this offering will be passed upon for the underwriters by Ropes &amp; Gray LLC, Boston, Massachusetts.</w:t>
      </w: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 ended December 31, 2017 have been so incorporated in reliance on the report (which contains an explanatory paragraph relating to the Company’s liquidity position as described in Note 1 to the financial statements), of PricewaterhouseCoopers LLP, an independent registered public accounting firm, given on the authority of said firm as experts in auditing and accounting.</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 xml:space="preserve">This prospectus is part of a registration statement that we have filed with the SEC. Certain information in the registration statement has been omitted from this prospectus in accordance with the rules of the SEC. We are subject to the information requirements of the Exchange Act and, in accordance therewith, file annual, quarterly and special reports, proxy statements and other information with the SEC. You may read and copy any document we file at the SEC’s Public Reference Room at 100 F Street, N.E., Washington, D.C. 20549. You may call the SEC at 1-800-SEC-0330 for further information on the operation of the Public Reference Room. These documents also may be accessed through the SEC’s electronic data gathering, analysis and retrieval system, or EDGAR, via electronic means, including the SEC’s home page on the Internet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in the accompanying prospectus. We will furnish a full statement of the relative rights and preferences of each class or series of our stock which has been so designated and any restrictions on the ownership or transfer of our stock to any stockholder upon request and without charge. Written requests for such copies should be directed to Zafgen, Inc., 175 Portland Street, 4th Floor, Boston, MA 02114, Attention: Secretary, and telephone requests should be made to (617) 622-4003. Our website is located at </w:t>
      </w:r>
      <w:r>
        <w:rPr>
          <w:rFonts w:ascii="Arial" w:cs="Arial" w:eastAsia="Arial" w:hAnsi="Arial"/>
          <w:sz w:val="17"/>
          <w:szCs w:val="17"/>
          <w:i w:val="1"/>
          <w:iCs w:val="1"/>
          <w:color w:val="auto"/>
        </w:rPr>
        <w:t>www.zafgen.com</w:t>
      </w:r>
      <w:r>
        <w:rPr>
          <w:rFonts w:ascii="Arial" w:cs="Arial" w:eastAsia="Arial" w:hAnsi="Arial"/>
          <w:sz w:val="17"/>
          <w:szCs w:val="17"/>
          <w:color w:val="auto"/>
        </w:rPr>
        <w:t>. Information contained on our website is not incorporated by reference into this prospectus and, therefore, is not part of this prospectus or any accompanying prospectus supplement.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SEC allows us to incorporate by reference into this prospectus supplement the information contained in other documents we file with the SEC, which means that we can disclose important information to you by referring you to those documents. Any statement contained in any document incorporated or deemed to be incorporated by reference herein shall be deemed to be modified or superseded, for purposes of this prospectus supplement, to the extent that a statement contained in or omitted from this prospectus supplement, or in any other subsequently filed document that also is or is deemed to be incorporated by reference herein, modifies or supersedes such statement. Any such statement so modified or superseded shall not be deemed, except as so modified or superseded, to constitute a part of this prospectus supplement. We incorporate by reference the documents listed below which have been filed by us:</w:t>
      </w:r>
    </w:p>
    <w:p>
      <w:pPr>
        <w:spacing w:after="0" w:line="7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2017, filed with the SEC on March 9, 2018;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Definitive proxy statement on Schedule 14A, filed with the SEC on April 28, 2017;</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2018, filed with the SEC on May 10, 2018;</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Report on Form 8-K filed with the SEC on January 5, 2018, May 30, 2018, and June 7, 2018 (other than any reports or portions thereof that are furnished under Item 2.02 or Item 7.01 and any exhibits included with such Items); and</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description of the common stock contained in our Registration Statement on Form 8-A filed with the SEC on June 18, 2014, including any amendment or report filed for the purpose of updating such description.</w:t>
      </w:r>
    </w:p>
    <w:p>
      <w:pPr>
        <w:spacing w:after="0" w:line="17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Additionally, all documents filed by us with the SEC under Sections 13(a), 13(c), 14 or 15(d) of the Exchange Act (other than any portions of filings that are furnished rather than filed pursuant to Items 2.02 and 7.01 of a Current Report on Form 8-K), after the date of this prospectus and before the termination or completion of this offering (including all such documents filed with the SEC after the date of the initial registration statement and prior to the effectiveness of the registration statement) shall be deemed to be incorporated by reference into this prospectus from the respective dates of filing of such documents. Any information that we subsequently file with the SEC that is incorporated by reference as described above will automatically update and supersede any previous information that is part of this prospectus.</w:t>
      </w:r>
    </w:p>
    <w:p>
      <w:pPr>
        <w:spacing w:after="0" w:line="17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Upon request,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 exhibits we have specifically incorporated by reference as an exhibit in this prospectus, at no cost by writing to us at Zafgen, Inc., 175 Portland Street, 4th Floor, Boston, MA 02114, Attention: Secretary, or by telephoning us at (617) 622-4003.</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179705</wp:posOffset>
            </wp:positionV>
            <wp:extent cx="1792605" cy="4718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9260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Common Stock</w:t>
      </w: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may from time to time issue, in one or more series or classes, up to $150,000,000 in aggregate principal amount of our common stock, preferred stock, debt securities, warrants and/or units. We may offer these securities separately or together in units. We will specify in the accompanying prospectus supplement the terms of the securities being offered. We may sell these securities to or through underwriters and also to other purchasers or through agents. We will set forth the names of any underwriters or agents, and any fees, conversions, or discount arrangements, in the accompanying prospectus supplement. We may not sell any securities under this prospectus without delivery of the applicable prospectus supplement.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this document and any prospectus supplement or amendment carefully before you invest in our securities.</w:t>
      </w:r>
    </w:p>
    <w:p>
      <w:pPr>
        <w:spacing w:after="0" w:line="21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Our common stock is listed on The NASDAQ Global Market under the symbol “ZFGN.” On August 7, 2017, the closing price for our common stock, as reported on The NASDAQ Global Market, was $3.49 per share. Our principal executive offices are located at 175 Portland Street, 4th Floor, Boston, Massachusetts 02114.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215265</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line="253"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You should review carefully the risks and uncertainties described under the heading “</w:t>
      </w:r>
      <w:hyperlink w:anchor="page35">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contained in this prospectus beginning on page 4 and any applicable prospectus supplement, and under similar headings in the other documents that are incorporated by reference into this prospectus.</w:t>
      </w:r>
    </w:p>
    <w:p>
      <w:pPr>
        <w:spacing w:after="0" w:line="169"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August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8800" w:type="dxa"/>
            <w:vAlign w:val="bottom"/>
            <w:gridSpan w:val="1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560" w:type="dxa"/>
            <w:vAlign w:val="bottom"/>
          </w:tcPr>
          <w:p>
            <w:pPr>
              <w:spacing w:after="0"/>
              <w:rPr>
                <w:sz w:val="17"/>
                <w:szCs w:val="17"/>
                <w:color w:val="auto"/>
              </w:rPr>
            </w:pPr>
          </w:p>
        </w:tc>
      </w:tr>
      <w:tr>
        <w:trPr>
          <w:trHeight w:val="534"/>
        </w:trPr>
        <w:tc>
          <w:tcPr>
            <w:tcW w:w="6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20" w:type="dxa"/>
            <w:vAlign w:val="bottom"/>
            <w:gridSpan w:val="2"/>
          </w:tcPr>
          <w:p>
            <w:pPr>
              <w:ind w:left="1680"/>
              <w:spacing w:after="0"/>
              <w:rPr>
                <w:sz w:val="20"/>
                <w:szCs w:val="20"/>
                <w:color w:val="auto"/>
              </w:rPr>
            </w:pPr>
            <w:r>
              <w:rPr>
                <w:rFonts w:ascii="Arial" w:cs="Arial" w:eastAsia="Arial" w:hAnsi="Arial"/>
                <w:sz w:val="18"/>
                <w:szCs w:val="18"/>
                <w:b w:val="1"/>
                <w:bCs w:val="1"/>
                <w:color w:val="auto"/>
              </w:rPr>
              <w:t>TABLE OF CONTENTS</w:t>
            </w:r>
          </w:p>
        </w:tc>
        <w:tc>
          <w:tcPr>
            <w:tcW w:w="2560" w:type="dxa"/>
            <w:vAlign w:val="bottom"/>
          </w:tcPr>
          <w:p>
            <w:pPr>
              <w:spacing w:after="0"/>
              <w:rPr>
                <w:sz w:val="24"/>
                <w:szCs w:val="24"/>
                <w:color w:val="auto"/>
              </w:rPr>
            </w:pPr>
          </w:p>
        </w:tc>
      </w:tr>
      <w:tr>
        <w:trPr>
          <w:trHeight w:val="446"/>
        </w:trPr>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70"/>
        </w:trPr>
        <w:tc>
          <w:tcPr>
            <w:tcW w:w="176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34">
              <w:r>
                <w:rPr>
                  <w:rFonts w:ascii="Arial" w:cs="Arial" w:eastAsia="Arial" w:hAnsi="Arial"/>
                  <w:sz w:val="18"/>
                  <w:szCs w:val="18"/>
                  <w:color w:val="0000EE"/>
                  <w:w w:val="99"/>
                </w:rPr>
                <w:t>About this Prospectus</w:t>
              </w:r>
            </w:hyperlink>
          </w:p>
        </w:tc>
        <w:tc>
          <w:tcPr>
            <w:tcW w:w="7040" w:type="dxa"/>
            <w:vAlign w:val="bottom"/>
            <w:gridSpan w:val="9"/>
          </w:tcPr>
          <w:p>
            <w:pPr>
              <w:spacing w:after="0"/>
              <w:rPr>
                <w:sz w:val="23"/>
                <w:szCs w:val="23"/>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1"/>
        </w:trPr>
        <w:tc>
          <w:tcPr>
            <w:tcW w:w="8800" w:type="dxa"/>
            <w:vAlign w:val="bottom"/>
            <w:gridSpan w:val="1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91"/>
        </w:trPr>
        <w:tc>
          <w:tcPr>
            <w:tcW w:w="500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36">
              <w:r>
                <w:rPr>
                  <w:rFonts w:ascii="Arial" w:cs="Arial" w:eastAsia="Arial" w:hAnsi="Arial"/>
                  <w:sz w:val="18"/>
                  <w:szCs w:val="18"/>
                  <w:color w:val="0000EE"/>
                  <w:w w:val="99"/>
                </w:rPr>
                <w:t>Cautionary Statement Regarding Forward-Looking Statements</w:t>
              </w:r>
            </w:hyperlink>
          </w:p>
        </w:tc>
        <w:tc>
          <w:tcPr>
            <w:tcW w:w="380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91"/>
        </w:trPr>
        <w:tc>
          <w:tcPr>
            <w:tcW w:w="114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37">
              <w:r>
                <w:rPr>
                  <w:rFonts w:ascii="Arial" w:cs="Arial" w:eastAsia="Arial" w:hAnsi="Arial"/>
                  <w:sz w:val="18"/>
                  <w:szCs w:val="18"/>
                  <w:color w:val="0000EE"/>
                  <w:w w:val="99"/>
                </w:rPr>
                <w:t>The Company</w:t>
              </w:r>
            </w:hyperlink>
          </w:p>
        </w:tc>
        <w:tc>
          <w:tcPr>
            <w:tcW w:w="7660" w:type="dxa"/>
            <w:vAlign w:val="bottom"/>
            <w:gridSpan w:val="14"/>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91"/>
        </w:trPr>
        <w:tc>
          <w:tcPr>
            <w:tcW w:w="880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Ratio of Earnings to Fixed Charges</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91"/>
        </w:trPr>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9"/>
              </w:rPr>
            </w:pPr>
            <w:hyperlink w:anchor="page39">
              <w:r>
                <w:rPr>
                  <w:rFonts w:ascii="Arial" w:cs="Arial" w:eastAsia="Arial" w:hAnsi="Arial"/>
                  <w:sz w:val="18"/>
                  <w:szCs w:val="18"/>
                  <w:color w:val="0000EE"/>
                  <w:w w:val="99"/>
                </w:rPr>
                <w:t>Use of Proceeds</w:t>
              </w:r>
            </w:hyperlink>
          </w:p>
        </w:tc>
        <w:tc>
          <w:tcPr>
            <w:tcW w:w="1460" w:type="dxa"/>
            <w:vAlign w:val="bottom"/>
            <w:tcBorders>
              <w:top w:val="single" w:sz="8" w:color="0000EE"/>
            </w:tcBorders>
            <w:gridSpan w:val="10"/>
          </w:tcPr>
          <w:p>
            <w:pPr>
              <w:spacing w:after="0"/>
              <w:rPr>
                <w:sz w:val="24"/>
                <w:szCs w:val="24"/>
                <w:color w:val="auto"/>
              </w:rPr>
            </w:pPr>
          </w:p>
        </w:tc>
        <w:tc>
          <w:tcPr>
            <w:tcW w:w="6000" w:type="dxa"/>
            <w:vAlign w:val="bottom"/>
            <w:gridSpan w:val="3"/>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91"/>
        </w:trPr>
        <w:tc>
          <w:tcPr>
            <w:tcW w:w="196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Securities We May Offer</w:t>
              </w:r>
            </w:hyperlink>
          </w:p>
        </w:tc>
        <w:tc>
          <w:tcPr>
            <w:tcW w:w="6840" w:type="dxa"/>
            <w:vAlign w:val="bottom"/>
            <w:gridSpan w:val="7"/>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91"/>
        </w:trPr>
        <w:tc>
          <w:tcPr>
            <w:tcW w:w="222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Description of Capital Stock</w:t>
              </w:r>
            </w:hyperlink>
          </w:p>
        </w:tc>
        <w:tc>
          <w:tcPr>
            <w:tcW w:w="6580" w:type="dxa"/>
            <w:vAlign w:val="bottom"/>
            <w:gridSpan w:val="5"/>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91"/>
        </w:trPr>
        <w:tc>
          <w:tcPr>
            <w:tcW w:w="238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Description of Debt Securities</w:t>
              </w:r>
            </w:hyperlink>
          </w:p>
        </w:tc>
        <w:tc>
          <w:tcPr>
            <w:tcW w:w="6420" w:type="dxa"/>
            <w:vAlign w:val="bottom"/>
            <w:gridSpan w:val="4"/>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91"/>
        </w:trPr>
        <w:tc>
          <w:tcPr>
            <w:tcW w:w="8800" w:type="dxa"/>
            <w:vAlign w:val="bottom"/>
            <w:gridSpan w:val="1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Description of Warrants</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91"/>
        </w:trPr>
        <w:tc>
          <w:tcPr>
            <w:tcW w:w="1880" w:type="dxa"/>
            <w:vAlign w:val="bottom"/>
            <w:tcBorders>
              <w:top w:val="single" w:sz="8" w:color="0000EE"/>
            </w:tcBorders>
            <w:gridSpan w:val="10"/>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Description of Units</w:t>
              </w:r>
            </w:hyperlink>
          </w:p>
        </w:tc>
        <w:tc>
          <w:tcPr>
            <w:tcW w:w="6920" w:type="dxa"/>
            <w:vAlign w:val="bottom"/>
            <w:gridSpan w:val="8"/>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91"/>
        </w:trPr>
        <w:tc>
          <w:tcPr>
            <w:tcW w:w="15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9"/>
              </w:rPr>
            </w:pPr>
            <w:hyperlink w:anchor="page65">
              <w:r>
                <w:rPr>
                  <w:rFonts w:ascii="Arial" w:cs="Arial" w:eastAsia="Arial" w:hAnsi="Arial"/>
                  <w:sz w:val="18"/>
                  <w:szCs w:val="18"/>
                  <w:color w:val="0000EE"/>
                  <w:w w:val="99"/>
                </w:rPr>
                <w:t>Plan of Distribution</w:t>
              </w:r>
            </w:hyperlink>
          </w:p>
        </w:tc>
        <w:tc>
          <w:tcPr>
            <w:tcW w:w="40" w:type="dxa"/>
            <w:vAlign w:val="bottom"/>
            <w:tcBorders>
              <w:top w:val="single" w:sz="8" w:color="0000EE"/>
            </w:tcBorders>
          </w:tcPr>
          <w:p>
            <w:pPr>
              <w:spacing w:after="0"/>
              <w:rPr>
                <w:sz w:val="24"/>
                <w:szCs w:val="24"/>
                <w:color w:val="auto"/>
              </w:rPr>
            </w:pPr>
          </w:p>
        </w:tc>
        <w:tc>
          <w:tcPr>
            <w:tcW w:w="7240" w:type="dxa"/>
            <w:vAlign w:val="bottom"/>
            <w:gridSpan w:val="10"/>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91"/>
        </w:trPr>
        <w:tc>
          <w:tcPr>
            <w:tcW w:w="110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68">
              <w:r>
                <w:rPr>
                  <w:rFonts w:ascii="Arial" w:cs="Arial" w:eastAsia="Arial" w:hAnsi="Arial"/>
                  <w:sz w:val="18"/>
                  <w:szCs w:val="18"/>
                  <w:color w:val="0000EE"/>
                  <w:w w:val="98"/>
                </w:rPr>
                <w:t>Legal Matters</w:t>
              </w:r>
            </w:hyperlink>
          </w:p>
        </w:tc>
        <w:tc>
          <w:tcPr>
            <w:tcW w:w="7700" w:type="dxa"/>
            <w:vAlign w:val="bottom"/>
            <w:gridSpan w:val="15"/>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91"/>
        </w:trPr>
        <w:tc>
          <w:tcPr>
            <w:tcW w:w="620" w:type="dxa"/>
            <w:vAlign w:val="bottom"/>
            <w:tcBorders>
              <w:bottom w:val="single" w:sz="8" w:color="0000EE"/>
            </w:tcBorders>
          </w:tcPr>
          <w:p>
            <w:pPr>
              <w:spacing w:after="0"/>
              <w:rPr>
                <w:rFonts w:ascii="Arial" w:cs="Arial" w:eastAsia="Arial" w:hAnsi="Arial"/>
                <w:sz w:val="18"/>
                <w:szCs w:val="18"/>
                <w:color w:val="0000EE"/>
                <w:w w:val="98"/>
              </w:rPr>
            </w:pPr>
            <w:hyperlink w:anchor="page68">
              <w:r>
                <w:rPr>
                  <w:rFonts w:ascii="Arial" w:cs="Arial" w:eastAsia="Arial" w:hAnsi="Arial"/>
                  <w:sz w:val="18"/>
                  <w:szCs w:val="18"/>
                  <w:color w:val="0000EE"/>
                  <w:w w:val="98"/>
                </w:rPr>
                <w:t>Experts</w:t>
              </w:r>
            </w:hyperlink>
          </w:p>
        </w:tc>
        <w:tc>
          <w:tcPr>
            <w:tcW w:w="8180" w:type="dxa"/>
            <w:vAlign w:val="bottom"/>
            <w:gridSpan w:val="17"/>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91"/>
        </w:trPr>
        <w:tc>
          <w:tcPr>
            <w:tcW w:w="8800" w:type="dxa"/>
            <w:vAlign w:val="bottom"/>
            <w:gridSpan w:val="1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Where You Can Find More Information</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91"/>
        </w:trPr>
        <w:tc>
          <w:tcPr>
            <w:tcW w:w="21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9"/>
              </w:rPr>
            </w:pPr>
            <w:hyperlink w:anchor="page69">
              <w:r>
                <w:rPr>
                  <w:rFonts w:ascii="Arial" w:cs="Arial" w:eastAsia="Arial" w:hAnsi="Arial"/>
                  <w:sz w:val="18"/>
                  <w:szCs w:val="18"/>
                  <w:color w:val="0000EE"/>
                  <w:w w:val="99"/>
                </w:rPr>
                <w:t>Incorporation by Reference</w:t>
              </w:r>
            </w:hyperlink>
          </w:p>
        </w:tc>
        <w:tc>
          <w:tcPr>
            <w:tcW w:w="900" w:type="dxa"/>
            <w:vAlign w:val="bottom"/>
            <w:tcBorders>
              <w:top w:val="single" w:sz="8" w:color="0000EE"/>
            </w:tcBorders>
            <w:gridSpan w:val="4"/>
          </w:tcPr>
          <w:p>
            <w:pPr>
              <w:spacing w:after="0"/>
              <w:rPr>
                <w:sz w:val="24"/>
                <w:szCs w:val="24"/>
                <w:color w:val="auto"/>
              </w:rPr>
            </w:pPr>
          </w:p>
        </w:tc>
        <w:tc>
          <w:tcPr>
            <w:tcW w:w="5720" w:type="dxa"/>
            <w:vAlign w:val="bottom"/>
            <w:gridSpan w:val="2"/>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72"/>
        </w:trPr>
        <w:tc>
          <w:tcPr>
            <w:tcW w:w="8800" w:type="dxa"/>
            <w:vAlign w:val="bottom"/>
            <w:gridSpan w:val="18"/>
          </w:tcPr>
          <w:p>
            <w:pPr>
              <w:ind w:left="5660"/>
              <w:spacing w:after="0"/>
              <w:rPr>
                <w:sz w:val="20"/>
                <w:szCs w:val="20"/>
                <w:color w:val="auto"/>
              </w:rPr>
            </w:pPr>
            <w:r>
              <w:rPr>
                <w:rFonts w:ascii="Arial" w:cs="Arial" w:eastAsia="Arial" w:hAnsi="Arial"/>
                <w:sz w:val="18"/>
                <w:szCs w:val="18"/>
                <w:color w:val="auto"/>
              </w:rPr>
              <w:t>2</w:t>
            </w:r>
          </w:p>
        </w:tc>
        <w:tc>
          <w:tcPr>
            <w:tcW w:w="25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342" w:lineRule="exact"/>
        <w:rPr>
          <w:sz w:val="20"/>
          <w:szCs w:val="20"/>
          <w:color w:val="auto"/>
        </w:rPr>
      </w:pPr>
    </w:p>
    <w:p>
      <w:pPr>
        <w:ind w:right="40" w:firstLine="456"/>
        <w:spacing w:after="0"/>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registration process, we may from time to time sell any combination of the securities described in this prospectus in one or more offerings for an aggregate offering price of up to $150,000,000.</w:t>
      </w:r>
    </w:p>
    <w:p>
      <w:pPr>
        <w:spacing w:after="0" w:line="203"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38 of this prospectus.</w:t>
      </w:r>
    </w:p>
    <w:p>
      <w:pPr>
        <w:spacing w:after="0" w:line="203"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208" w:lineRule="exact"/>
        <w:rPr>
          <w:sz w:val="20"/>
          <w:szCs w:val="20"/>
          <w:color w:val="auto"/>
        </w:rPr>
      </w:pPr>
    </w:p>
    <w:p>
      <w:pPr>
        <w:ind w:right="20" w:firstLine="456"/>
        <w:spacing w:after="0" w:line="246" w:lineRule="auto"/>
        <w:rPr>
          <w:sz w:val="20"/>
          <w:szCs w:val="20"/>
          <w:color w:val="auto"/>
        </w:rPr>
      </w:pPr>
      <w:r>
        <w:rPr>
          <w:rFonts w:ascii="Arial" w:cs="Arial" w:eastAsia="Arial" w:hAnsi="Arial"/>
          <w:sz w:val="18"/>
          <w:szCs w:val="18"/>
          <w:color w:val="auto"/>
        </w:rPr>
        <w:t>Unless the context otherwise indicates, references in this prospectus to “Zafgen”, “we”, “our”, “us” and “the Company” refer, collectively, to Zafgen, Inc., a Delaware corporation.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RISK FACTORS</w:t>
      </w:r>
    </w:p>
    <w:p>
      <w:pPr>
        <w:spacing w:after="0" w:line="342"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Investing in our securities involves a high degree of risk. You should carefully consider the risks described below and in the documents incorporated by reference in this prospectus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below and in the documents incorporated herein by reference, including (i) our annual report on Form 10-K for the fiscal year ended December 31, 2016, which is on file with the SEC and is incorporated herein by reference, (ii) our quarterly reports on Form 10-Q for the quarters ended March 31, 2017 and June 30, 2017, which are on file with the SEC and are incorporated herein by reference, and (iii) other documents we file with the SEC that are deemed incorporated by reference into this prospectus.</w:t>
      </w:r>
    </w:p>
    <w:p>
      <w:pPr>
        <w:spacing w:after="0" w:line="13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60"/>
          </w:cols>
          <w:pgMar w:left="24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42"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This prospectus, including the documents that we incorporate by reference, contains forward-looking statements within the meaning of Section 27A of the Securities Act and Section 21E of the Securities Exchange Act of 1934, as amended, or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 “believe,” “contemplate,” “continue,” “could,” “estimate,” “expect,” “intend,” “may,” “plan,” “potential,” “predict,” “project,” “seek,” “should,” “target,” “will,” “would,” and similar expressions, or the negative of these terms, or similar expressions. Accordingly, these statements involve estimates, assumptions and uncertainties which could cause actual results to differ materially from those expressed in them. Any forward-looking statements are qualified in their entirety by reference to the factors discussed throughout this prospectus, and in particular those factors referenced in the section “Risk Factors.”</w:t>
      </w:r>
    </w:p>
    <w:p>
      <w:pPr>
        <w:spacing w:after="0" w:line="207" w:lineRule="exact"/>
        <w:rPr>
          <w:sz w:val="20"/>
          <w:szCs w:val="20"/>
          <w:color w:val="auto"/>
        </w:rPr>
      </w:pPr>
    </w:p>
    <w:p>
      <w:pPr>
        <w:ind w:right="180" w:firstLine="456"/>
        <w:spacing w:after="0" w:line="238" w:lineRule="auto"/>
        <w:rPr>
          <w:sz w:val="20"/>
          <w:szCs w:val="20"/>
          <w:color w:val="auto"/>
        </w:rPr>
      </w:pPr>
      <w:r>
        <w:rPr>
          <w:rFonts w:ascii="Arial" w:cs="Arial" w:eastAsia="Arial" w:hAnsi="Arial"/>
          <w:sz w:val="18"/>
          <w:szCs w:val="18"/>
          <w:color w:val="auto"/>
        </w:rPr>
        <w:t>This prospectus contains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23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cash forecasts and capital requirements;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plans to commercialize ZGN-1061 as a treatment for metabolic diseases including type 2 diabetes and obesity;</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advance ZGN-1061 into later-stage clinical trials;</w:t>
      </w:r>
    </w:p>
    <w:p>
      <w:pPr>
        <w:spacing w:after="0" w:line="36" w:lineRule="exact"/>
        <w:rPr>
          <w:rFonts w:ascii="Arial" w:cs="Arial" w:eastAsia="Arial" w:hAnsi="Arial"/>
          <w:sz w:val="18"/>
          <w:szCs w:val="18"/>
          <w:color w:val="auto"/>
        </w:rPr>
      </w:pPr>
    </w:p>
    <w:p>
      <w:pPr>
        <w:ind w:left="900" w:right="140" w:hanging="325"/>
        <w:spacing w:after="0" w:line="24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dissociate effects of methionine aminopeptidase 2, or MetAP2, inhibitors from prothrombotic effects or other adverse events observed in clinical development of beloranib;</w:t>
      </w:r>
    </w:p>
    <w:p>
      <w:pPr>
        <w:spacing w:after="0" w:line="21" w:lineRule="exact"/>
        <w:rPr>
          <w:rFonts w:ascii="Arial" w:cs="Arial" w:eastAsia="Arial" w:hAnsi="Arial"/>
          <w:sz w:val="18"/>
          <w:szCs w:val="18"/>
          <w:color w:val="auto"/>
        </w:rPr>
      </w:pPr>
    </w:p>
    <w:p>
      <w:pPr>
        <w:ind w:left="900" w:right="320" w:hanging="325"/>
        <w:spacing w:after="0" w:line="24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provide a compelling argument for improved safety of ZGN-1061 and other novel MetAP2 inhibitors relative to first generation compounds, including beloranib;</w:t>
      </w:r>
    </w:p>
    <w:p>
      <w:pPr>
        <w:spacing w:after="0" w:line="21"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and political developments in the United States and foreign countries;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performance of our third-party contract manufacturers and clinical research organizations;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proprietary assets;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additional financing when needed;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competing products that are or become available for the indications that we are pursuing;</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loss of key scientific or management personnel; and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in the section “Risk Factors.”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45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COMPANY</w:t>
      </w:r>
    </w:p>
    <w:p>
      <w:pPr>
        <w:spacing w:after="0" w:line="342"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We are a biopharmaceutical company dedicated to significantly improving the health and well-being of patients affected by metabolic diseases including type 2 diabetes and obesity. We are focused on developing novel therapeutics that treat the underlying biological mechanisms through the methionine aminopeptidase 2, or MetAP2, pathway. We have pioneered the study of MetAP2 inhibitors in both common and rare forms of obesity. Our lead product candidate is ZGN-1061, a novel fumagillin-class MetAP2 inhibitor administered by subcutaneous injection, which is currently being profiled for its utility in the treatment of metabolic diseases including type 2 diabetes and obesity. We have completed a Phase 1 clinical trial of ZGN-1061 in the Netherlands, which was comprised of a single ascending dose, or SAD, portion and a multiple ascending dose, or MAD, portion. This clinical trial evaluated ZGN-1061 for safety, tolerability and pharmacokinetics while also gaining an early indication of efficacy over four weeks of treatment. We reported positive top line results from this clinical trial in May 2017 and presented the full data package at the American Diabetes Association’s 77th Annual Scientific Sessions in June 2017. ZGN-1061 demonstrated rapid drug absorption and clearance in line with criteria established in advance for the molecule, and has a favorable safety profile, with no evidence of prothrombotic effects. The data show that ZGN-1061 treatment causes improvements across multiple metabolic measures consistent with MetAP2 inhibition, and patients in the clinical trial experienced mean weight loss of up to approximately one pound per week. We plan to advance ZGN-1061 into a Phase 2 clinical trial in patients with type 2 diabetes who are overweight or obese, in Australia and New Zealand in the third quarter of 2017.</w:t>
      </w:r>
    </w:p>
    <w:p>
      <w:pPr>
        <w:spacing w:after="0" w:line="203"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ZGN-1061 acts through potent inhibition of MetAP2, an enzyme that modulates the activity of key cellular processes that control metabolism. MetAP2 inhibitors work, at least in part, by directing MetAP2 binding to cellular stress and growth factor mediators, thereby reducing the tone of signals that drive lipid synthesis by the liver and fat storage throughout the body. In this manner, MetAP2 inhibition serves the purpose of re-establishing balance to the ways the body stores and metabolizes fat and glucose. MetAP2 inhibitors reduce the production of new fatty acid molecules by the liver and help convert stored fats into useful energy, while reducing hunger. In animal models that mimic aspects of type 2 diabetes, these processes lead to improvement of glycemic control independent of weight loss.</w:t>
      </w:r>
    </w:p>
    <w:p>
      <w:pPr>
        <w:spacing w:after="0" w:line="205"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 xml:space="preserve">ZGN-1061 was discovered by our researchers as part of a multi-year campaign to identify novel compounds for development in the treatment of type 2 diabetes, and that avoided limiting pre-clinical safety concerns observed with beloranib, including teratogenicity and effects on testicular function. To date, the compound has similar efficacy, potency, and range of activity in animal models as beloranib, but displays highly differentiated properties and improved safety margins in pre-clinical studies, supporting the value of the compound as a more highly optimized MetAP2 inhibitor. Further, the compound displays improved safety margins in non-clinical safety studies relative to beloranib for effects on coagulation in dogs, an effect that correlates with reduced impact on endothelial cell proliferation </w:t>
      </w:r>
      <w:r>
        <w:rPr>
          <w:rFonts w:ascii="Arial" w:cs="Arial" w:eastAsia="Arial" w:hAnsi="Arial"/>
          <w:sz w:val="18"/>
          <w:szCs w:val="18"/>
          <w:i w:val="1"/>
          <w:iCs w:val="1"/>
          <w:color w:val="auto"/>
        </w:rPr>
        <w:t>in vitro</w:t>
      </w:r>
      <w:r>
        <w:rPr>
          <w:rFonts w:ascii="Arial" w:cs="Arial" w:eastAsia="Arial" w:hAnsi="Arial"/>
          <w:sz w:val="18"/>
          <w:szCs w:val="18"/>
          <w:color w:val="auto"/>
        </w:rPr>
        <w:t>.</w:t>
      </w:r>
    </w:p>
    <w:p>
      <w:pPr>
        <w:spacing w:after="0" w:line="205" w:lineRule="exact"/>
        <w:rPr>
          <w:sz w:val="20"/>
          <w:szCs w:val="20"/>
          <w:color w:val="auto"/>
        </w:rPr>
      </w:pPr>
    </w:p>
    <w:p>
      <w:pPr>
        <w:ind w:right="200" w:firstLine="456"/>
        <w:spacing w:after="0" w:line="246" w:lineRule="auto"/>
        <w:rPr>
          <w:sz w:val="20"/>
          <w:szCs w:val="20"/>
          <w:color w:val="auto"/>
        </w:rPr>
      </w:pPr>
      <w:r>
        <w:rPr>
          <w:rFonts w:ascii="Arial" w:cs="Arial" w:eastAsia="Arial" w:hAnsi="Arial"/>
          <w:sz w:val="18"/>
          <w:szCs w:val="18"/>
          <w:color w:val="auto"/>
        </w:rPr>
        <w:t>We own various U.S. federal trademark registrations and applications, and unregistered trademarks, including our corporate name and our corporate logo.</w:t>
      </w:r>
    </w:p>
    <w:p>
      <w:pPr>
        <w:spacing w:after="0" w:line="197" w:lineRule="exact"/>
        <w:rPr>
          <w:sz w:val="20"/>
          <w:szCs w:val="20"/>
          <w:color w:val="auto"/>
        </w:rPr>
      </w:pPr>
    </w:p>
    <w:p>
      <w:pPr>
        <w:ind w:right="100" w:firstLine="456"/>
        <w:spacing w:after="0" w:line="246" w:lineRule="auto"/>
        <w:rPr>
          <w:sz w:val="20"/>
          <w:szCs w:val="20"/>
          <w:color w:val="auto"/>
        </w:rPr>
      </w:pPr>
      <w:r>
        <w:rPr>
          <w:rFonts w:ascii="Arial" w:cs="Arial" w:eastAsia="Arial" w:hAnsi="Arial"/>
          <w:sz w:val="18"/>
          <w:szCs w:val="18"/>
          <w:color w:val="auto"/>
        </w:rPr>
        <w:t>Our principal executive offices are located at 175 Portland Street, 4th Floor, Boston, Massachusetts 02114 and our telephone number is (617) 622-4003.</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 OF EARNINGS TO FIXED CHARGES</w:t>
      </w:r>
    </w:p>
    <w:p>
      <w:pPr>
        <w:spacing w:after="0" w:line="342"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The following table sets forth our ratio of earnings to fixed charges for the periods shown. You should read this table in conjunction with the consolidated financial statements and notes incorporated by reference in this prospectus. We have no shares of preferred stock outstanding and paid no dividends on shares of preferred stock during the periods indicated. Therefore, the ratios of earnings to combined fixed charges and preferred dividends are the same as the ratios of earnings to fixed charges presented below.</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6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Six</w:t>
            </w:r>
          </w:p>
        </w:tc>
      </w:tr>
      <w:tr>
        <w:trPr>
          <w:trHeight w:val="162"/>
        </w:trPr>
        <w:tc>
          <w:tcPr>
            <w:tcW w:w="6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Months</w:t>
            </w:r>
          </w:p>
        </w:tc>
      </w:tr>
      <w:tr>
        <w:trPr>
          <w:trHeight w:val="162"/>
        </w:trPr>
        <w:tc>
          <w:tcPr>
            <w:tcW w:w="6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Years Ended</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Ended</w:t>
            </w:r>
          </w:p>
        </w:tc>
      </w:tr>
      <w:tr>
        <w:trPr>
          <w:trHeight w:val="175"/>
        </w:trPr>
        <w:tc>
          <w:tcPr>
            <w:tcW w:w="6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June 30,</w:t>
            </w:r>
          </w:p>
        </w:tc>
      </w:tr>
      <w:tr>
        <w:trPr>
          <w:trHeight w:val="156"/>
        </w:trPr>
        <w:tc>
          <w:tcPr>
            <w:tcW w:w="6700" w:type="dxa"/>
            <w:vAlign w:val="bottom"/>
          </w:tcPr>
          <w:p>
            <w:pPr>
              <w:spacing w:after="0"/>
              <w:rPr>
                <w:sz w:val="13"/>
                <w:szCs w:val="13"/>
                <w:color w:val="auto"/>
              </w:rPr>
            </w:pPr>
          </w:p>
        </w:tc>
        <w:tc>
          <w:tcPr>
            <w:tcW w:w="3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1040" w:type="dxa"/>
            <w:vAlign w:val="bottom"/>
            <w:tcBorders>
              <w:top w:val="single" w:sz="8" w:color="auto"/>
            </w:tcBorders>
            <w:gridSpan w:val="2"/>
          </w:tcPr>
          <w:p>
            <w:pPr>
              <w:jc w:val="center"/>
              <w:ind w:left="608"/>
              <w:spacing w:after="0" w:line="155" w:lineRule="exact"/>
              <w:rPr>
                <w:sz w:val="20"/>
                <w:szCs w:val="20"/>
                <w:color w:val="auto"/>
              </w:rPr>
            </w:pPr>
            <w:r>
              <w:rPr>
                <w:rFonts w:ascii="Arial" w:cs="Arial" w:eastAsia="Arial" w:hAnsi="Arial"/>
                <w:sz w:val="14"/>
                <w:szCs w:val="14"/>
                <w:b w:val="1"/>
                <w:bCs w:val="1"/>
                <w:color w:val="auto"/>
              </w:rPr>
              <w:t>2015</w:t>
            </w:r>
          </w:p>
        </w:tc>
        <w:tc>
          <w:tcPr>
            <w:tcW w:w="7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680" w:type="dxa"/>
            <w:vAlign w:val="bottom"/>
          </w:tcPr>
          <w:p>
            <w:pPr>
              <w:spacing w:after="0"/>
              <w:rPr>
                <w:sz w:val="13"/>
                <w:szCs w:val="13"/>
                <w:color w:val="auto"/>
              </w:rPr>
            </w:pPr>
          </w:p>
        </w:tc>
        <w:tc>
          <w:tcPr>
            <w:tcW w:w="5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r>
      <w:tr>
        <w:trPr>
          <w:trHeight w:val="196"/>
        </w:trPr>
        <w:tc>
          <w:tcPr>
            <w:tcW w:w="6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Ratio of Earnings to Fixed Charges</w:t>
            </w: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N/A</w:t>
            </w:r>
          </w:p>
        </w:tc>
        <w:tc>
          <w:tcPr>
            <w:tcW w:w="6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60"/>
              <w:spacing w:after="0" w:line="196" w:lineRule="exact"/>
              <w:rPr>
                <w:sz w:val="20"/>
                <w:szCs w:val="20"/>
                <w:color w:val="auto"/>
              </w:rPr>
            </w:pPr>
            <w:r>
              <w:rPr>
                <w:rFonts w:ascii="Arial" w:cs="Arial" w:eastAsia="Arial" w:hAnsi="Arial"/>
                <w:sz w:val="18"/>
                <w:szCs w:val="18"/>
                <w:color w:val="auto"/>
                <w:w w:val="93"/>
              </w:rPr>
              <w:t>N/A</w:t>
            </w:r>
          </w:p>
        </w:tc>
        <w:tc>
          <w:tcPr>
            <w:tcW w:w="7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N/A</w:t>
            </w:r>
          </w:p>
        </w:tc>
        <w:tc>
          <w:tcPr>
            <w:tcW w:w="6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280"/>
              <w:spacing w:after="0" w:line="196" w:lineRule="exact"/>
              <w:rPr>
                <w:sz w:val="20"/>
                <w:szCs w:val="20"/>
                <w:color w:val="auto"/>
              </w:rPr>
            </w:pPr>
            <w:r>
              <w:rPr>
                <w:rFonts w:ascii="Arial" w:cs="Arial" w:eastAsia="Arial" w:hAnsi="Arial"/>
                <w:sz w:val="18"/>
                <w:szCs w:val="18"/>
                <w:color w:val="auto"/>
                <w:w w:val="93"/>
              </w:rPr>
              <w:t>N/A</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215" w:lineRule="exact"/>
        <w:rPr>
          <w:sz w:val="20"/>
          <w:szCs w:val="20"/>
          <w:color w:val="auto"/>
        </w:rPr>
      </w:pPr>
    </w:p>
    <w:p>
      <w:pPr>
        <w:ind w:right="100" w:firstLine="456"/>
        <w:spacing w:after="0" w:line="246" w:lineRule="auto"/>
        <w:rPr>
          <w:sz w:val="20"/>
          <w:szCs w:val="20"/>
          <w:color w:val="auto"/>
        </w:rPr>
      </w:pPr>
      <w:r>
        <w:rPr>
          <w:rFonts w:ascii="Arial" w:cs="Arial" w:eastAsia="Arial" w:hAnsi="Arial"/>
          <w:sz w:val="18"/>
          <w:szCs w:val="18"/>
          <w:color w:val="auto"/>
        </w:rPr>
        <w:t>For purposes of calculating the ratios in the table above, earnings consist of net loss before income taxes. Fixed charges include interest expense on indebtedness and an estimate of the interest expense within rental expense.</w:t>
      </w:r>
    </w:p>
    <w:p>
      <w:pPr>
        <w:spacing w:after="0" w:line="197" w:lineRule="exact"/>
        <w:rPr>
          <w:sz w:val="20"/>
          <w:szCs w:val="20"/>
          <w:color w:val="auto"/>
        </w:rPr>
      </w:pPr>
    </w:p>
    <w:p>
      <w:pPr>
        <w:jc w:val="both"/>
        <w:ind w:right="360" w:firstLine="456"/>
        <w:spacing w:after="0" w:line="239" w:lineRule="auto"/>
        <w:rPr>
          <w:sz w:val="20"/>
          <w:szCs w:val="20"/>
          <w:color w:val="auto"/>
        </w:rPr>
      </w:pPr>
      <w:r>
        <w:rPr>
          <w:rFonts w:ascii="Arial" w:cs="Arial" w:eastAsia="Arial" w:hAnsi="Arial"/>
          <w:sz w:val="18"/>
          <w:szCs w:val="18"/>
          <w:color w:val="auto"/>
        </w:rPr>
        <w:t>Due to our net losses for the years ended December 31, 2016, 2015 and 2014 and for the six months ended June 30, 2017, earnings were insufficient to cover fixed charges for such periods and we are unable to disclose a ratio of earnings to fixed charges for such periods. The dollar amount of the deficiency in earnings available for fixed charges for the years December 31, 2016, 2015 and 2014 and for the six months ended June 30, 2017 was approximately $58.2 million, $73.8 million, $35.5 million and $26.8 million, respectively.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342"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We intend to use the net proceeds from the sale of any securities offered under this prospectus for general corporate purposes unless otherwise indicated in the applicable prospectus supplement. General corporate purposes may include research and development costs, potential strategic acquisitions of complementary businesses, services or technologies, repayment and refinancing of debt, general and administrative costs, working capital and capital expenditures. We may temporarily invest the net proceeds in a variety of capital preservation instruments, including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WE MAY OFFER</w:t>
      </w:r>
    </w:p>
    <w:p>
      <w:pPr>
        <w:spacing w:after="0" w:line="342" w:lineRule="exact"/>
        <w:rPr>
          <w:sz w:val="20"/>
          <w:szCs w:val="20"/>
          <w:color w:val="auto"/>
        </w:rPr>
      </w:pPr>
    </w:p>
    <w:p>
      <w:pPr>
        <w:ind w:right="380" w:firstLine="456"/>
        <w:spacing w:after="0"/>
        <w:rPr>
          <w:sz w:val="20"/>
          <w:szCs w:val="20"/>
          <w:color w:val="auto"/>
        </w:rPr>
      </w:pPr>
      <w:r>
        <w:rPr>
          <w:rFonts w:ascii="Arial" w:cs="Arial" w:eastAsia="Arial" w:hAnsi="Arial"/>
          <w:sz w:val="18"/>
          <w:szCs w:val="18"/>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342" w:lineRule="exact"/>
        <w:rPr>
          <w:sz w:val="20"/>
          <w:szCs w:val="20"/>
          <w:color w:val="auto"/>
        </w:rPr>
      </w:pPr>
    </w:p>
    <w:p>
      <w:pPr>
        <w:ind w:right="120" w:firstLine="456"/>
        <w:spacing w:after="0" w:line="237" w:lineRule="auto"/>
        <w:rPr>
          <w:sz w:val="20"/>
          <w:szCs w:val="20"/>
          <w:color w:val="auto"/>
        </w:rPr>
      </w:pPr>
      <w:r>
        <w:rPr>
          <w:rFonts w:ascii="Arial" w:cs="Arial" w:eastAsia="Arial" w:hAnsi="Arial"/>
          <w:sz w:val="18"/>
          <w:szCs w:val="18"/>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amended and restated certificate of incorporation, or Charter, and our amended and restated bylaws, or Bylaws, which are exhibits to the registration statement of which this prospectus forms a part, and by applicable law. The terms of our common stock and preferred stock may also be affected by Delaware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99" w:lineRule="exact"/>
        <w:rPr>
          <w:sz w:val="20"/>
          <w:szCs w:val="20"/>
          <w:color w:val="auto"/>
        </w:rPr>
      </w:pPr>
    </w:p>
    <w:p>
      <w:pPr>
        <w:ind w:right="200" w:firstLine="456"/>
        <w:spacing w:after="0"/>
        <w:rPr>
          <w:sz w:val="20"/>
          <w:szCs w:val="20"/>
          <w:color w:val="auto"/>
        </w:rPr>
      </w:pPr>
      <w:r>
        <w:rPr>
          <w:rFonts w:ascii="Arial" w:cs="Arial" w:eastAsia="Arial" w:hAnsi="Arial"/>
          <w:sz w:val="18"/>
          <w:szCs w:val="18"/>
          <w:color w:val="auto"/>
        </w:rPr>
        <w:t>Our authorized capital stock consists of 115,000,000 shares of common stock, par value $0.001 per share, and 5,000,000 shares of preferred stock, par value $0.001 per share. As of August 7, 2017, we had 27,483,925 shares of common stock outstanding and no shares of preferred stock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5" w:lineRule="exact"/>
        <w:rPr>
          <w:sz w:val="20"/>
          <w:szCs w:val="20"/>
          <w:color w:val="auto"/>
        </w:rPr>
      </w:pPr>
    </w:p>
    <w:p>
      <w:pPr>
        <w:ind w:right="100" w:firstLine="456"/>
        <w:spacing w:after="0" w:line="237" w:lineRule="auto"/>
        <w:rPr>
          <w:sz w:val="20"/>
          <w:szCs w:val="20"/>
          <w:color w:val="auto"/>
        </w:rPr>
      </w:pPr>
      <w:r>
        <w:rPr>
          <w:rFonts w:ascii="Arial" w:cs="Arial" w:eastAsia="Arial" w:hAnsi="Arial"/>
          <w:sz w:val="18"/>
          <w:szCs w:val="18"/>
          <w:color w:val="auto"/>
        </w:rPr>
        <w:t>Holders of our common stock are entitled to one vote for each share held of record on all matters submitted to a vote of stockholders and do not have any cumulative voting rights. Holders of our common stock are entitled to receive ratably any dividends declared by the board of directors out of funds legally available for that purpose, subject to any preferential dividend rights of any outstanding preferred stock. Our common stock has no preemptive rights, conversion rights or other subscription rights or redemption or sinking fund provisions. In the event of our liquidation, dissolution or winding up, holders of our common stock will be entitled to share ratably in all assets remaining after payment of all debts and other liabilities and any liquidation preference of any outstanding preferred stock. All outstanding shares are fully-paid and non-assessable.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85" w:lineRule="exact"/>
        <w:rPr>
          <w:sz w:val="20"/>
          <w:szCs w:val="20"/>
          <w:color w:val="auto"/>
        </w:rPr>
      </w:pPr>
    </w:p>
    <w:p>
      <w:pPr>
        <w:ind w:right="540" w:firstLine="456"/>
        <w:spacing w:after="0" w:line="246" w:lineRule="auto"/>
        <w:rPr>
          <w:sz w:val="20"/>
          <w:szCs w:val="20"/>
          <w:color w:val="auto"/>
        </w:rPr>
      </w:pPr>
      <w:r>
        <w:rPr>
          <w:rFonts w:ascii="Arial" w:cs="Arial" w:eastAsia="Arial" w:hAnsi="Arial"/>
          <w:sz w:val="18"/>
          <w:szCs w:val="18"/>
          <w:color w:val="auto"/>
        </w:rPr>
        <w:t>Our common stock is listed on The NASDAQ Global Market under the symbol “ZFGN.” On August 7, 2017, the closing price for our common stock, as reported on The NASDAQ Global Market, was $3.49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5"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Our board of directors is authorized to issue up to 5,000,000 shares of preferred stock in one or more series without stockholder approval. Our board of directors may determine the rights, preferences, privileges and restrictions, including voting rights, dividend rights, conversion rights, redemption privileges and liquidation preferences, of each series of preferred stock.</w:t>
      </w:r>
    </w:p>
    <w:p>
      <w:pPr>
        <w:spacing w:after="0" w:line="203" w:lineRule="exact"/>
        <w:rPr>
          <w:sz w:val="20"/>
          <w:szCs w:val="20"/>
          <w:color w:val="auto"/>
        </w:rPr>
      </w:pPr>
    </w:p>
    <w:p>
      <w:pPr>
        <w:ind w:right="240" w:firstLine="456"/>
        <w:spacing w:after="0" w:line="246" w:lineRule="auto"/>
        <w:rPr>
          <w:sz w:val="20"/>
          <w:szCs w:val="20"/>
          <w:color w:val="auto"/>
        </w:rPr>
      </w:pPr>
      <w:r>
        <w:rPr>
          <w:rFonts w:ascii="Arial" w:cs="Arial" w:eastAsia="Arial" w:hAnsi="Arial"/>
          <w:sz w:val="18"/>
          <w:szCs w:val="18"/>
          <w:color w:val="auto"/>
        </w:rPr>
        <w:t>The purpose of authorizing our board of directors to issue preferred stock in one or more series and determine the number of shares in the series and its rights and preferences is to eliminate delays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associated with a stockholder vote on specific issuances. Examples of rights and preferences that the board of directors may fix are:</w:t>
      </w:r>
    </w:p>
    <w:p>
      <w:pPr>
        <w:spacing w:after="0" w:line="239"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dividend rights;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dividend rates;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conversion rights;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voting rights;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terms of redemption; and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liquidation preferences.</w:t>
      </w:r>
    </w:p>
    <w:p>
      <w:pPr>
        <w:spacing w:after="0" w:line="212"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07" w:lineRule="exact"/>
        <w:rPr>
          <w:sz w:val="20"/>
          <w:szCs w:val="20"/>
          <w:color w:val="auto"/>
        </w:rPr>
      </w:pPr>
    </w:p>
    <w:p>
      <w:pPr>
        <w:ind w:right="20" w:firstLine="456"/>
        <w:spacing w:after="0"/>
        <w:rPr>
          <w:sz w:val="20"/>
          <w:szCs w:val="20"/>
          <w:color w:val="auto"/>
        </w:rPr>
      </w:pPr>
      <w:r>
        <w:rPr>
          <w:rFonts w:ascii="Arial" w:cs="Arial" w:eastAsia="Arial" w:hAnsi="Arial"/>
          <w:sz w:val="18"/>
          <w:szCs w:val="18"/>
          <w:color w:val="auto"/>
        </w:rPr>
        <w:t>We will incorporate by reference as an exhibit to the registration statement, which includes this prospectus, the form of any certificate of designation that describes the terms of the series of preferred stock we are offering. This description and the applicable prospectus supplement will include:</w:t>
      </w:r>
    </w:p>
    <w:p>
      <w:pPr>
        <w:spacing w:after="0" w:line="23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shares authorized;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dividend rate, period and payment date, and method of calculation for dividends;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36" w:lineRule="exact"/>
        <w:rPr>
          <w:rFonts w:ascii="Arial" w:cs="Arial" w:eastAsia="Arial" w:hAnsi="Arial"/>
          <w:sz w:val="18"/>
          <w:szCs w:val="18"/>
          <w:color w:val="auto"/>
        </w:rPr>
      </w:pPr>
    </w:p>
    <w:p>
      <w:pPr>
        <w:ind w:left="900" w:right="540" w:hanging="325"/>
        <w:spacing w:after="0" w:line="24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provisions for redemption or repurchase, if applicable, and any restrictions on our ability to exercise those redemption and repurchase rights;</w:t>
      </w:r>
    </w:p>
    <w:p>
      <w:pPr>
        <w:spacing w:after="0" w:line="21"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36" w:lineRule="exact"/>
        <w:rPr>
          <w:rFonts w:ascii="Arial" w:cs="Arial" w:eastAsia="Arial" w:hAnsi="Arial"/>
          <w:sz w:val="18"/>
          <w:szCs w:val="18"/>
          <w:color w:val="auto"/>
        </w:rPr>
      </w:pPr>
    </w:p>
    <w:p>
      <w:pPr>
        <w:ind w:left="900" w:right="500" w:hanging="325"/>
        <w:spacing w:after="0" w:line="24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the conversion period;</w:t>
      </w:r>
    </w:p>
    <w:p>
      <w:pPr>
        <w:spacing w:after="0" w:line="21" w:lineRule="exact"/>
        <w:rPr>
          <w:rFonts w:ascii="Arial" w:cs="Arial" w:eastAsia="Arial" w:hAnsi="Arial"/>
          <w:sz w:val="18"/>
          <w:szCs w:val="18"/>
          <w:color w:val="auto"/>
        </w:rPr>
      </w:pPr>
    </w:p>
    <w:p>
      <w:pPr>
        <w:ind w:left="900" w:right="660" w:hanging="325"/>
        <w:spacing w:after="0" w:line="24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the exchange period;</w:t>
      </w:r>
    </w:p>
    <w:p>
      <w:pPr>
        <w:spacing w:after="0" w:line="21"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preemptive rights, if any;</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discussion of any material United States federal income tax considerations applicable to the preferred stock;</w:t>
      </w:r>
    </w:p>
    <w:p>
      <w:pPr>
        <w:spacing w:after="0" w:line="36" w:lineRule="exact"/>
        <w:rPr>
          <w:rFonts w:ascii="Arial" w:cs="Arial" w:eastAsia="Arial" w:hAnsi="Arial"/>
          <w:sz w:val="18"/>
          <w:szCs w:val="18"/>
          <w:color w:val="auto"/>
        </w:rPr>
      </w:pPr>
    </w:p>
    <w:p>
      <w:pPr>
        <w:ind w:left="900" w:right="320" w:hanging="325"/>
        <w:spacing w:after="0" w:line="24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if we liquidate, dissolve or wind up our affairs;</w:t>
      </w:r>
    </w:p>
    <w:p>
      <w:pPr>
        <w:spacing w:after="0" w:line="21" w:lineRule="exact"/>
        <w:rPr>
          <w:rFonts w:ascii="Arial" w:cs="Arial" w:eastAsia="Arial" w:hAnsi="Arial"/>
          <w:sz w:val="18"/>
          <w:szCs w:val="18"/>
          <w:color w:val="auto"/>
        </w:rPr>
      </w:pPr>
    </w:p>
    <w:p>
      <w:pPr>
        <w:ind w:left="900" w:right="40" w:hanging="325"/>
        <w:spacing w:after="0" w:line="24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21"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preferred stock.</w:t>
      </w:r>
    </w:p>
    <w:p>
      <w:pPr>
        <w:spacing w:after="0" w:line="212" w:lineRule="exact"/>
        <w:rPr>
          <w:sz w:val="20"/>
          <w:szCs w:val="20"/>
          <w:color w:val="auto"/>
        </w:rPr>
      </w:pPr>
    </w:p>
    <w:p>
      <w:pPr>
        <w:ind w:right="160" w:firstLine="456"/>
        <w:spacing w:after="0" w:line="246" w:lineRule="auto"/>
        <w:rPr>
          <w:sz w:val="20"/>
          <w:szCs w:val="20"/>
          <w:color w:val="auto"/>
        </w:rPr>
      </w:pPr>
      <w:r>
        <w:rPr>
          <w:rFonts w:ascii="Arial" w:cs="Arial" w:eastAsia="Arial" w:hAnsi="Arial"/>
          <w:sz w:val="18"/>
          <w:szCs w:val="18"/>
          <w:color w:val="auto"/>
        </w:rPr>
        <w:t>When we issue shares of preferred stock under this prospectus, the shares will fully be paid and nonassessable and will not have, or be subject to, any preemptive or similar rights.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our Charter and Bylaws and Delaware Anti-Takeover Law</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Certain provisions of the Delaware General Corporation Law and of our Charter and Bylaws could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or considering unsolicited tender offers or other unilateral takeover proposals to first negotiate with our board of directors rather than pursue non-negotiated takeover attempts.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84" w:lineRule="exact"/>
        <w:rPr>
          <w:sz w:val="20"/>
          <w:szCs w:val="20"/>
          <w:color w:val="auto"/>
        </w:rPr>
      </w:pPr>
    </w:p>
    <w:p>
      <w:pPr>
        <w:ind w:right="80" w:firstLine="456"/>
        <w:spacing w:after="0" w:line="244" w:lineRule="auto"/>
        <w:rPr>
          <w:sz w:val="20"/>
          <w:szCs w:val="20"/>
          <w:color w:val="auto"/>
        </w:rPr>
      </w:pPr>
      <w:r>
        <w:rPr>
          <w:rFonts w:ascii="Arial" w:cs="Arial" w:eastAsia="Arial" w:hAnsi="Arial"/>
          <w:sz w:val="18"/>
          <w:szCs w:val="18"/>
          <w:b w:val="1"/>
          <w:bCs w:val="1"/>
          <w:i w:val="1"/>
          <w:iCs w:val="1"/>
          <w:color w:val="auto"/>
        </w:rPr>
        <w:t>Board Composition and Filling Vacancies</w:t>
      </w:r>
      <w:r>
        <w:rPr>
          <w:rFonts w:ascii="Arial" w:cs="Arial" w:eastAsia="Arial" w:hAnsi="Arial"/>
          <w:sz w:val="18"/>
          <w:szCs w:val="18"/>
          <w:color w:val="auto"/>
        </w:rPr>
        <w:t>. Our Charter provides for the division of our board of directors into three classes serving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staggered three-year terms, with one class being elected each year. Our Charter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77" w:lineRule="exact"/>
        <w:rPr>
          <w:sz w:val="20"/>
          <w:szCs w:val="20"/>
          <w:color w:val="auto"/>
        </w:rPr>
      </w:pPr>
    </w:p>
    <w:p>
      <w:pPr>
        <w:ind w:right="680" w:firstLine="456"/>
        <w:spacing w:after="0" w:line="271" w:lineRule="auto"/>
        <w:rPr>
          <w:sz w:val="20"/>
          <w:szCs w:val="20"/>
          <w:color w:val="auto"/>
        </w:rPr>
      </w:pPr>
      <w:r>
        <w:rPr>
          <w:rFonts w:ascii="Arial" w:cs="Arial" w:eastAsia="Arial" w:hAnsi="Arial"/>
          <w:sz w:val="18"/>
          <w:szCs w:val="18"/>
          <w:b w:val="1"/>
          <w:bCs w:val="1"/>
          <w:i w:val="1"/>
          <w:iCs w:val="1"/>
          <w:color w:val="auto"/>
        </w:rPr>
        <w:t>No Written Consent of Stockholders</w:t>
      </w:r>
      <w:r>
        <w:rPr>
          <w:rFonts w:ascii="Arial" w:cs="Arial" w:eastAsia="Arial" w:hAnsi="Arial"/>
          <w:sz w:val="18"/>
          <w:szCs w:val="18"/>
          <w:color w:val="auto"/>
        </w:rPr>
        <w:t>. Our Charter provides that all stockholder actions are required to be taken by a vote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at an annual or special meeting, and that stockholders may not take any action by written consent in lieu of a meeting.</w:t>
      </w:r>
    </w:p>
    <w:p>
      <w:pPr>
        <w:spacing w:after="0" w:line="154" w:lineRule="exact"/>
        <w:rPr>
          <w:sz w:val="20"/>
          <w:szCs w:val="20"/>
          <w:color w:val="auto"/>
        </w:rPr>
      </w:pPr>
    </w:p>
    <w:p>
      <w:pPr>
        <w:ind w:right="100" w:firstLine="456"/>
        <w:spacing w:after="0" w:line="247" w:lineRule="auto"/>
        <w:rPr>
          <w:sz w:val="20"/>
          <w:szCs w:val="20"/>
          <w:color w:val="auto"/>
        </w:rPr>
      </w:pPr>
      <w:r>
        <w:rPr>
          <w:rFonts w:ascii="Arial" w:cs="Arial" w:eastAsia="Arial" w:hAnsi="Arial"/>
          <w:sz w:val="18"/>
          <w:szCs w:val="18"/>
          <w:b w:val="1"/>
          <w:bCs w:val="1"/>
          <w:i w:val="1"/>
          <w:iCs w:val="1"/>
          <w:color w:val="auto"/>
        </w:rPr>
        <w:t>Meetings of Stockholders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Charter and Bylaws provide that only a majority of the members of our board of directors then in office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74" w:lineRule="exact"/>
        <w:rPr>
          <w:sz w:val="20"/>
          <w:szCs w:val="20"/>
          <w:color w:val="auto"/>
        </w:rPr>
      </w:pPr>
    </w:p>
    <w:p>
      <w:pPr>
        <w:ind w:right="280" w:firstLine="456"/>
        <w:spacing w:after="0" w:line="253" w:lineRule="auto"/>
        <w:rPr>
          <w:sz w:val="20"/>
          <w:szCs w:val="20"/>
          <w:color w:val="auto"/>
        </w:rPr>
      </w:pPr>
      <w:r>
        <w:rPr>
          <w:rFonts w:ascii="Arial" w:cs="Arial" w:eastAsia="Arial" w:hAnsi="Arial"/>
          <w:sz w:val="18"/>
          <w:szCs w:val="18"/>
          <w:b w:val="1"/>
          <w:bCs w:val="1"/>
          <w:i w:val="1"/>
          <w:iCs w:val="1"/>
          <w:color w:val="auto"/>
        </w:rPr>
        <w:t xml:space="preserve">Advance Notice Requirements. </w:t>
      </w:r>
      <w:r>
        <w:rPr>
          <w:rFonts w:ascii="Arial" w:cs="Arial" w:eastAsia="Arial" w:hAnsi="Arial"/>
          <w:sz w:val="18"/>
          <w:szCs w:val="18"/>
          <w:color w:val="auto"/>
        </w:rPr>
        <w:t>Our Bylaws establish advance notice procedures with regard to stockholder proposals relating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nomination of candidates for election as directors or new business to be brought before meetings of our stockholders. These procedures provide that notice of stockholder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w:t>
      </w:r>
    </w:p>
    <w:p>
      <w:pPr>
        <w:spacing w:after="0" w:line="181"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b w:val="1"/>
          <w:bCs w:val="1"/>
          <w:i w:val="1"/>
          <w:iCs w:val="1"/>
          <w:color w:val="auto"/>
        </w:rPr>
        <w:t>Amendment to Charter and Bylaws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required by the Delaware General Corporation Law, any amendment of our Charter must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approved by a majority of our board of directors, and if required by law or our Charter,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Charter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99"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We are subject to the provisions of Section 203 of the Delaware General Corporation Law.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230" w:lineRule="exact"/>
        <w:rPr>
          <w:sz w:val="20"/>
          <w:szCs w:val="20"/>
          <w:color w:val="auto"/>
        </w:rPr>
      </w:pPr>
    </w:p>
    <w:p>
      <w:pPr>
        <w:ind w:left="900" w:right="60" w:hanging="325"/>
        <w:spacing w:after="0" w:line="24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21" w:lineRule="exact"/>
        <w:rPr>
          <w:rFonts w:ascii="Arial" w:cs="Arial" w:eastAsia="Arial" w:hAnsi="Arial"/>
          <w:sz w:val="18"/>
          <w:szCs w:val="18"/>
          <w:color w:val="auto"/>
        </w:rPr>
      </w:pPr>
    </w:p>
    <w:p>
      <w:pPr>
        <w:ind w:left="900" w:right="20" w:hanging="325"/>
        <w:spacing w:after="0" w:line="23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26" w:lineRule="exact"/>
        <w:rPr>
          <w:rFonts w:ascii="Arial" w:cs="Arial" w:eastAsia="Arial" w:hAnsi="Arial"/>
          <w:sz w:val="18"/>
          <w:szCs w:val="18"/>
          <w:color w:val="auto"/>
        </w:rPr>
      </w:pPr>
    </w:p>
    <w:p>
      <w:pPr>
        <w:ind w:left="900" w:right="28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81" w:lineRule="exact"/>
        <w:rPr>
          <w:sz w:val="20"/>
          <w:szCs w:val="20"/>
          <w:color w:val="auto"/>
        </w:rPr>
      </w:pPr>
    </w:p>
    <w:p>
      <w:pPr>
        <w:ind w:right="120" w:firstLine="456"/>
        <w:spacing w:after="0" w:line="244" w:lineRule="auto"/>
        <w:rPr>
          <w:sz w:val="20"/>
          <w:szCs w:val="20"/>
          <w:color w:val="auto"/>
        </w:rPr>
      </w:pPr>
      <w:r>
        <w:rPr>
          <w:rFonts w:ascii="Arial" w:cs="Arial" w:eastAsia="Arial" w:hAnsi="Arial"/>
          <w:sz w:val="18"/>
          <w:szCs w:val="18"/>
          <w:b w:val="1"/>
          <w:bCs w:val="1"/>
          <w:i w:val="1"/>
          <w:iCs w:val="1"/>
          <w:color w:val="auto"/>
        </w:rPr>
        <w:t>Exclusive Jurisdiction of Certain Actions</w:t>
      </w:r>
      <w:r>
        <w:rPr>
          <w:rFonts w:ascii="Arial" w:cs="Arial" w:eastAsia="Arial" w:hAnsi="Arial"/>
          <w:sz w:val="18"/>
          <w:szCs w:val="18"/>
          <w:color w:val="auto"/>
        </w:rPr>
        <w:t>. Our Charter provides that, unless we consent in writing to the selection of an alternative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forum, the Court of Chancery of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our Charter or our Bylaws, or (iv) any action asserting a</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claim against us governed by the internal affairs doctrine. Although we believe this provision benefits us by providing increased consistency in the application of Delaware law in the types of lawsuits to which it applies, the provision may have the effect of discouraging lawsuits against our directors and officers. The enforceability of similar exclusive forum provisions in other companies’ certificates of incorporation has been challenged in legal proceedings, and it is possible that a court could rule that this provision in our Charter is inapplicable or unenforceable.</w:t>
      </w:r>
    </w:p>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80"/>
          </w:cols>
          <w:pgMar w:left="240" w:top="459" w:right="3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342" w:lineRule="exact"/>
        <w:rPr>
          <w:sz w:val="20"/>
          <w:szCs w:val="20"/>
          <w:color w:val="auto"/>
        </w:rPr>
      </w:pPr>
    </w:p>
    <w:p>
      <w:pPr>
        <w:ind w:right="180" w:firstLine="456"/>
        <w:spacing w:after="0" w:line="238" w:lineRule="auto"/>
        <w:rPr>
          <w:sz w:val="20"/>
          <w:szCs w:val="20"/>
          <w:color w:val="auto"/>
        </w:rPr>
      </w:pPr>
      <w:r>
        <w:rPr>
          <w:rFonts w:ascii="Arial" w:cs="Arial" w:eastAsia="Arial" w:hAnsi="Arial"/>
          <w:sz w:val="18"/>
          <w:szCs w:val="18"/>
          <w:color w:val="auto"/>
        </w:rPr>
        <w:t>The paragraphs below describe the general terms and provisions of the debt securities we may issue. When we offer to sell a particular series of debt securities, we will describe the specific terms of the securities in a supplement to this prospectus, including any additional covenants or changes to existing covenants relating to such series. The prospectus supplement also will indicate whether the general terms and provisions described in this prospectus apply to a particular series of debt securities. You should read the actual indenture if you do not fully understand a term or the way we use it in this prospectus.</w:t>
      </w:r>
    </w:p>
    <w:p>
      <w:pPr>
        <w:spacing w:after="0" w:line="203"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We may offer senior or subordinated debt securities. Each series of debt securities may have different terms. The senior debt securities will be issued under one or more senior indentures, dated as of a date prior to such issuance, between us and the trustee identified in the applicable prospectus supplement, as amended or supplemented from time to time. We will refer to any such indenture throughout this prospectus as the “senior indenture.” Any subordinated debt securities will be issued under one or more separate indentures, dated as of a date prior to such issuance, between us and the trustee identified in the applicable prospectus supplement, as amended or supplemented from time to time. We will refer to any such indenture throughout this prospectus as the “subordinated indenture” and to the trustee under the senior or subordinated indenture as the “trustee.” The senior indenture and the subordinated indenture are sometimes collectively referred to in this prospectus as the “indentures.” The indentures will be subject to and governed by the Trust Indenture Act of 1939, as amended. We included copies of the forms of the indentures as exhibits to our registration statement of which this prospectus forms a part.</w:t>
      </w:r>
    </w:p>
    <w:p>
      <w:pPr>
        <w:spacing w:after="0" w:line="207" w:lineRule="exact"/>
        <w:rPr>
          <w:sz w:val="20"/>
          <w:szCs w:val="20"/>
          <w:color w:val="auto"/>
        </w:rPr>
      </w:pPr>
    </w:p>
    <w:p>
      <w:pPr>
        <w:jc w:val="both"/>
        <w:ind w:right="140" w:firstLine="456"/>
        <w:spacing w:after="0"/>
        <w:rPr>
          <w:sz w:val="20"/>
          <w:szCs w:val="20"/>
          <w:color w:val="auto"/>
        </w:rPr>
      </w:pPr>
      <w:r>
        <w:rPr>
          <w:rFonts w:ascii="Arial" w:cs="Arial" w:eastAsia="Arial" w:hAnsi="Arial"/>
          <w:sz w:val="18"/>
          <w:szCs w:val="18"/>
          <w:color w:val="auto"/>
        </w:rPr>
        <w:t>If we issue debt securities at a discount from their principal amount, then, for purposes of calculating the aggregate offering price of the offered securities issued under this prospectus, we will include only the offering price of the debt securities and not the principal amount of the debt securities.</w:t>
      </w:r>
    </w:p>
    <w:p>
      <w:pPr>
        <w:spacing w:after="0" w:line="203"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We have summarized below the material provisions of the indentures and the debt securities, or indicated which material provisions will be described in the related prospectus supplement. The prospectus supplement relating to any particular securities offered will describe the specific terms of the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securities that are described in this prospectus or in any applicable prospectus supplement. Please read “Where You Can Find More Information” to find out how you can obtain a copy of those documents. Except as otherwise indicated, the terms of the indentures are identical. As used under this caption, the term “debt securities” includes the debt securities being offered by this prospectus and all other debt securities issued by us under the indentures.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indentures:</w:t>
      </w:r>
    </w:p>
    <w:p>
      <w:pPr>
        <w:spacing w:after="0" w:line="239"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 not limit the amount of debt securities that we may issue;</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allow us to issue debt securities in one or more series;</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 not require us to issue all of the debt securities of a series at the same time;</w:t>
      </w:r>
    </w:p>
    <w:p>
      <w:pPr>
        <w:spacing w:after="0" w:line="36" w:lineRule="exact"/>
        <w:rPr>
          <w:rFonts w:ascii="Arial" w:cs="Arial" w:eastAsia="Arial" w:hAnsi="Arial"/>
          <w:sz w:val="18"/>
          <w:szCs w:val="18"/>
          <w:color w:val="auto"/>
        </w:rPr>
      </w:pPr>
    </w:p>
    <w:p>
      <w:pPr>
        <w:ind w:left="900" w:hanging="446"/>
        <w:spacing w:after="0" w:line="246"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allow us to reopen a series to issue additional debt securities without the consent of the holders of the debt securities of such series; and</w:t>
      </w:r>
    </w:p>
    <w:p>
      <w:pPr>
        <w:spacing w:after="0" w:line="21"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that the debt securities will be unsecured, except as may be set forth in the applicable prospectus supplement.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Unless we give you different information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“Description of Debt Securities —Subordination” and in the applicable prospectus supplement.</w:t>
      </w:r>
    </w:p>
    <w:p>
      <w:pPr>
        <w:spacing w:after="0" w:line="202" w:lineRule="exact"/>
        <w:rPr>
          <w:sz w:val="20"/>
          <w:szCs w:val="20"/>
          <w:color w:val="auto"/>
        </w:rPr>
      </w:pPr>
    </w:p>
    <w:p>
      <w:pPr>
        <w:ind w:firstLine="456"/>
        <w:spacing w:after="0" w:line="253" w:lineRule="auto"/>
        <w:rPr>
          <w:sz w:val="20"/>
          <w:szCs w:val="20"/>
          <w:color w:val="auto"/>
        </w:rPr>
      </w:pPr>
      <w:r>
        <w:rPr>
          <w:rFonts w:ascii="Arial" w:cs="Arial" w:eastAsia="Arial" w:hAnsi="Arial"/>
          <w:sz w:val="17"/>
          <w:szCs w:val="17"/>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239"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of the debt securities and whether they are senior or subordinated;</w:t>
      </w:r>
    </w:p>
    <w:p>
      <w:pPr>
        <w:spacing w:after="0" w:line="36" w:lineRule="exact"/>
        <w:rPr>
          <w:rFonts w:ascii="Arial" w:cs="Arial" w:eastAsia="Arial" w:hAnsi="Arial"/>
          <w:sz w:val="18"/>
          <w:szCs w:val="18"/>
          <w:color w:val="auto"/>
        </w:rPr>
      </w:pPr>
    </w:p>
    <w:p>
      <w:pPr>
        <w:ind w:left="900" w:right="54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27" w:lineRule="exact"/>
        <w:rPr>
          <w:rFonts w:ascii="Arial" w:cs="Arial" w:eastAsia="Arial" w:hAnsi="Arial"/>
          <w:sz w:val="18"/>
          <w:szCs w:val="18"/>
          <w:color w:val="auto"/>
        </w:rPr>
      </w:pPr>
    </w:p>
    <w:p>
      <w:pPr>
        <w:ind w:left="900" w:right="280" w:hanging="446"/>
        <w:spacing w:after="0" w:line="23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w:t>
      </w:r>
    </w:p>
    <w:p>
      <w:pPr>
        <w:spacing w:after="0" w:line="26" w:lineRule="exact"/>
        <w:rPr>
          <w:rFonts w:ascii="Arial" w:cs="Arial" w:eastAsia="Arial" w:hAnsi="Arial"/>
          <w:sz w:val="18"/>
          <w:szCs w:val="18"/>
          <w:color w:val="auto"/>
        </w:rPr>
      </w:pPr>
    </w:p>
    <w:p>
      <w:pPr>
        <w:ind w:left="900" w:right="38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convertible, the terms on which such debt securities are convertible, including the initial conversion price or rate and the conversion period and any applicable limitations on the ownership or transferability of common stock or other securities of ours received on conversion;</w:t>
      </w:r>
    </w:p>
    <w:p>
      <w:pPr>
        <w:spacing w:after="0" w:line="27"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on which the principal of the debt securities will be payable;</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fixed or variable interest rate or rates of the debt securities, or the method by which the interest rate or rates is determined;</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from which interest will accrue;</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dates on which interest will be payable;</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record dates for interest payment dates, or the method by which such dates will be determine;</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persons to whom interest will be payable;</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basis upon which interest will be calculated if other than that of a 360-day year of twelve 30-day months;</w:t>
      </w:r>
    </w:p>
    <w:p>
      <w:pPr>
        <w:spacing w:after="0" w:line="36" w:lineRule="exact"/>
        <w:rPr>
          <w:rFonts w:ascii="Arial" w:cs="Arial" w:eastAsia="Arial" w:hAnsi="Arial"/>
          <w:sz w:val="18"/>
          <w:szCs w:val="18"/>
          <w:color w:val="auto"/>
        </w:rPr>
      </w:pPr>
    </w:p>
    <w:p>
      <w:pPr>
        <w:ind w:left="900" w:right="12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27" w:lineRule="exact"/>
        <w:rPr>
          <w:rFonts w:ascii="Arial" w:cs="Arial" w:eastAsia="Arial" w:hAnsi="Arial"/>
          <w:sz w:val="18"/>
          <w:szCs w:val="18"/>
          <w:color w:val="auto"/>
        </w:rPr>
      </w:pPr>
    </w:p>
    <w:p>
      <w:pPr>
        <w:ind w:left="900" w:right="400" w:hanging="446"/>
        <w:spacing w:after="0" w:line="246"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premium or make-whole amount, and interest on, the debt securities will be payable;</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459" w:right="3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the debt securities may be surrendered for registration of transfer or conversion or exchange;</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notices or demands to or upon us in respect of the debt securities and the applicable indenture may be served;</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times, prices and other terms and conditions upon which we may redeem the debt securities;</w:t>
      </w:r>
    </w:p>
    <w:p>
      <w:pPr>
        <w:spacing w:after="0" w:line="36" w:lineRule="exact"/>
        <w:rPr>
          <w:rFonts w:ascii="Arial" w:cs="Arial" w:eastAsia="Arial" w:hAnsi="Arial"/>
          <w:sz w:val="18"/>
          <w:szCs w:val="18"/>
          <w:color w:val="auto"/>
        </w:rPr>
      </w:pPr>
    </w:p>
    <w:p>
      <w:pPr>
        <w:ind w:left="900" w:right="14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obligation;</w:t>
      </w:r>
    </w:p>
    <w:p>
      <w:pPr>
        <w:spacing w:after="0" w:line="27" w:lineRule="exact"/>
        <w:rPr>
          <w:rFonts w:ascii="Arial" w:cs="Arial" w:eastAsia="Arial" w:hAnsi="Arial"/>
          <w:sz w:val="18"/>
          <w:szCs w:val="18"/>
          <w:color w:val="auto"/>
        </w:rPr>
      </w:pPr>
    </w:p>
    <w:p>
      <w:pPr>
        <w:jc w:val="both"/>
        <w:ind w:left="900" w:right="2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27" w:lineRule="exact"/>
        <w:rPr>
          <w:rFonts w:ascii="Arial" w:cs="Arial" w:eastAsia="Arial" w:hAnsi="Arial"/>
          <w:sz w:val="18"/>
          <w:szCs w:val="18"/>
          <w:color w:val="auto"/>
        </w:rPr>
      </w:pPr>
    </w:p>
    <w:p>
      <w:pPr>
        <w:jc w:val="both"/>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27" w:lineRule="exact"/>
        <w:rPr>
          <w:rFonts w:ascii="Arial" w:cs="Arial" w:eastAsia="Arial" w:hAnsi="Arial"/>
          <w:sz w:val="18"/>
          <w:szCs w:val="18"/>
          <w:color w:val="auto"/>
        </w:rPr>
      </w:pPr>
    </w:p>
    <w:p>
      <w:pPr>
        <w:ind w:left="900" w:hanging="446"/>
        <w:spacing w:after="0" w:line="24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21" w:lineRule="exact"/>
        <w:rPr>
          <w:rFonts w:ascii="Arial" w:cs="Arial" w:eastAsia="Arial" w:hAnsi="Arial"/>
          <w:sz w:val="18"/>
          <w:szCs w:val="18"/>
          <w:color w:val="auto"/>
        </w:rPr>
      </w:pPr>
    </w:p>
    <w:p>
      <w:pPr>
        <w:ind w:left="900" w:right="120" w:hanging="446"/>
        <w:spacing w:after="0" w:line="23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 (ii) if in bearer form, the manner in which, or the person to whom, any interest on the security shall be payable if otherwise than upon presentation and surrender upon maturity;</w:t>
      </w:r>
    </w:p>
    <w:p>
      <w:pPr>
        <w:spacing w:after="0" w:line="26" w:lineRule="exact"/>
        <w:rPr>
          <w:rFonts w:ascii="Arial" w:cs="Arial" w:eastAsia="Arial" w:hAnsi="Arial"/>
          <w:sz w:val="18"/>
          <w:szCs w:val="18"/>
          <w:color w:val="auto"/>
        </w:rPr>
      </w:pPr>
    </w:p>
    <w:p>
      <w:pPr>
        <w:ind w:left="900" w:right="24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27" w:lineRule="exact"/>
        <w:rPr>
          <w:rFonts w:ascii="Arial" w:cs="Arial" w:eastAsia="Arial" w:hAnsi="Arial"/>
          <w:sz w:val="18"/>
          <w:szCs w:val="18"/>
          <w:color w:val="auto"/>
        </w:rPr>
      </w:pPr>
    </w:p>
    <w:p>
      <w:pPr>
        <w:jc w:val="both"/>
        <w:ind w:left="900" w:right="80" w:hanging="446"/>
        <w:spacing w:after="0" w:line="23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26"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identity of the depositary for securities in registered form, if such series are to be issuable as a global security;</w:t>
      </w:r>
    </w:p>
    <w:p>
      <w:pPr>
        <w:spacing w:after="0" w:line="36" w:lineRule="exact"/>
        <w:rPr>
          <w:rFonts w:ascii="Arial" w:cs="Arial" w:eastAsia="Arial" w:hAnsi="Arial"/>
          <w:sz w:val="18"/>
          <w:szCs w:val="18"/>
          <w:color w:val="auto"/>
        </w:rPr>
      </w:pPr>
    </w:p>
    <w:p>
      <w:pPr>
        <w:ind w:left="900" w:right="80" w:hanging="446"/>
        <w:spacing w:after="0" w:line="24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as of which any debt securities in bearer form or in temporary global form shall be dated if other than the original issuance date of the first security of the series to be issued;</w:t>
      </w:r>
    </w:p>
    <w:p>
      <w:pPr>
        <w:spacing w:after="0" w:line="21" w:lineRule="exact"/>
        <w:rPr>
          <w:rFonts w:ascii="Arial" w:cs="Arial" w:eastAsia="Arial" w:hAnsi="Arial"/>
          <w:sz w:val="18"/>
          <w:szCs w:val="18"/>
          <w:color w:val="auto"/>
        </w:rPr>
      </w:pPr>
    </w:p>
    <w:p>
      <w:pPr>
        <w:ind w:left="900" w:right="380" w:hanging="446"/>
        <w:spacing w:after="0" w:line="24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applicability, if any, of the defeasance and covenant defeasance provisions described in this prospectus or in the applicable indenture;</w:t>
      </w:r>
    </w:p>
    <w:p>
      <w:pPr>
        <w:spacing w:after="0" w:line="21" w:lineRule="exact"/>
        <w:rPr>
          <w:rFonts w:ascii="Arial" w:cs="Arial" w:eastAsia="Arial" w:hAnsi="Arial"/>
          <w:sz w:val="18"/>
          <w:szCs w:val="18"/>
          <w:color w:val="auto"/>
        </w:rPr>
      </w:pPr>
    </w:p>
    <w:p>
      <w:pPr>
        <w:jc w:val="both"/>
        <w:ind w:left="900" w:right="20" w:hanging="446"/>
        <w:spacing w:after="0" w:line="24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21" w:lineRule="exact"/>
        <w:rPr>
          <w:rFonts w:ascii="Arial" w:cs="Arial" w:eastAsia="Arial" w:hAnsi="Arial"/>
          <w:sz w:val="18"/>
          <w:szCs w:val="18"/>
          <w:color w:val="auto"/>
        </w:rPr>
      </w:pPr>
    </w:p>
    <w:p>
      <w:pPr>
        <w:ind w:left="900" w:right="260" w:hanging="446"/>
        <w:spacing w:after="0" w:line="24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and under what circumstances the debt securities being offered are convertible into common stock or other securities of ours, as the case may be, including the conversion price or rate and the manner or calculation thereof;</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27" w:lineRule="exact"/>
        <w:rPr>
          <w:rFonts w:ascii="Arial" w:cs="Arial" w:eastAsia="Arial" w:hAnsi="Arial"/>
          <w:sz w:val="18"/>
          <w:szCs w:val="18"/>
          <w:color w:val="auto"/>
        </w:rPr>
      </w:pPr>
    </w:p>
    <w:p>
      <w:pPr>
        <w:ind w:left="900" w:right="440" w:hanging="446"/>
        <w:spacing w:after="0" w:line="24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of securities upon the occurrence of such events as specified in the applicable prospectus supplement;</w:t>
      </w:r>
    </w:p>
    <w:p>
      <w:pPr>
        <w:spacing w:after="0" w:line="21" w:lineRule="exact"/>
        <w:rPr>
          <w:rFonts w:ascii="Arial" w:cs="Arial" w:eastAsia="Arial" w:hAnsi="Arial"/>
          <w:sz w:val="18"/>
          <w:szCs w:val="18"/>
          <w:color w:val="auto"/>
        </w:rPr>
      </w:pPr>
    </w:p>
    <w:p>
      <w:pPr>
        <w:ind w:left="900" w:right="180" w:hanging="446"/>
        <w:spacing w:after="0" w:line="24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21" w:lineRule="exact"/>
        <w:rPr>
          <w:rFonts w:ascii="Arial" w:cs="Arial" w:eastAsia="Arial" w:hAnsi="Arial"/>
          <w:sz w:val="18"/>
          <w:szCs w:val="18"/>
          <w:color w:val="auto"/>
        </w:rPr>
      </w:pPr>
    </w:p>
    <w:p>
      <w:pPr>
        <w:ind w:left="900" w:right="140" w:hanging="446"/>
        <w:spacing w:after="0" w:line="24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name of the applicable trustee and the nature of any material relationship with us or any of our affiliates, and the percentage of debt securities of the class necessary to require the trustee to take action;</w:t>
      </w:r>
    </w:p>
    <w:p>
      <w:pPr>
        <w:spacing w:after="0" w:line="21" w:lineRule="exact"/>
        <w:rPr>
          <w:rFonts w:ascii="Arial" w:cs="Arial" w:eastAsia="Arial" w:hAnsi="Arial"/>
          <w:sz w:val="18"/>
          <w:szCs w:val="18"/>
          <w:color w:val="auto"/>
        </w:rPr>
      </w:pPr>
    </w:p>
    <w:p>
      <w:pPr>
        <w:ind w:left="900" w:right="26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deletions from, modifications of or additions to our events of default or covenants with regard to such debt securities and any change in the right of any trustee or any of the holders to declare the principal amount of any of such debt securities due and payable;</w:t>
      </w:r>
    </w:p>
    <w:p>
      <w:pPr>
        <w:spacing w:after="0" w:line="27"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applicable CUSIP numbers; and</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terms of such debt securities not inconsistent with the provisions of the applicable indenture.</w:t>
      </w:r>
    </w:p>
    <w:p>
      <w:pPr>
        <w:spacing w:after="0" w:line="212"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202" w:lineRule="exact"/>
        <w:rPr>
          <w:sz w:val="20"/>
          <w:szCs w:val="20"/>
          <w:color w:val="auto"/>
        </w:rPr>
      </w:pPr>
    </w:p>
    <w:p>
      <w:pPr>
        <w:ind w:right="320" w:firstLine="456"/>
        <w:spacing w:after="0" w:line="239" w:lineRule="auto"/>
        <w:rPr>
          <w:sz w:val="20"/>
          <w:szCs w:val="20"/>
          <w:color w:val="auto"/>
        </w:rPr>
      </w:pPr>
      <w:r>
        <w:rPr>
          <w:rFonts w:ascii="Arial" w:cs="Arial" w:eastAsia="Arial" w:hAnsi="Arial"/>
          <w:sz w:val="18"/>
          <w:szCs w:val="18"/>
          <w:color w:val="auto"/>
        </w:rPr>
        <w:t>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w:t>
      </w:r>
    </w:p>
    <w:p>
      <w:pPr>
        <w:spacing w:after="0" w:line="202"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Except as described under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205" w:lineRule="exact"/>
        <w:rPr>
          <w:sz w:val="20"/>
          <w:szCs w:val="20"/>
          <w:color w:val="auto"/>
        </w:rPr>
      </w:pPr>
    </w:p>
    <w:p>
      <w:pPr>
        <w:ind w:right="300" w:firstLine="456"/>
        <w:spacing w:after="0" w:line="239" w:lineRule="auto"/>
        <w:rPr>
          <w:sz w:val="20"/>
          <w:szCs w:val="20"/>
          <w:color w:val="auto"/>
        </w:rPr>
      </w:pPr>
      <w:r>
        <w:rPr>
          <w:rFonts w:ascii="Arial" w:cs="Arial" w:eastAsia="Arial" w:hAnsi="Arial"/>
          <w:sz w:val="18"/>
          <w:szCs w:val="18"/>
          <w:color w:val="auto"/>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202" w:lineRule="exact"/>
        <w:rPr>
          <w:sz w:val="20"/>
          <w:szCs w:val="20"/>
          <w:color w:val="auto"/>
        </w:rPr>
      </w:pPr>
    </w:p>
    <w:p>
      <w:pPr>
        <w:ind w:right="60" w:firstLine="456"/>
        <w:spacing w:after="0"/>
        <w:rPr>
          <w:sz w:val="20"/>
          <w:szCs w:val="20"/>
          <w:color w:val="auto"/>
        </w:rPr>
      </w:pPr>
      <w:r>
        <w:rPr>
          <w:rFonts w:ascii="Arial" w:cs="Arial" w:eastAsia="Arial" w:hAnsi="Arial"/>
          <w:sz w:val="18"/>
          <w:szCs w:val="18"/>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w:t>
      </w:r>
    </w:p>
    <w:p>
      <w:pPr>
        <w:spacing w:after="0" w:line="99" w:lineRule="exact"/>
        <w:rPr>
          <w:sz w:val="20"/>
          <w:szCs w:val="20"/>
          <w:color w:val="auto"/>
        </w:rPr>
      </w:pPr>
    </w:p>
    <w:p>
      <w:pPr>
        <w:ind w:right="60" w:firstLine="456"/>
        <w:spacing w:after="0" w:line="238" w:lineRule="auto"/>
        <w:rPr>
          <w:sz w:val="20"/>
          <w:szCs w:val="20"/>
          <w:color w:val="auto"/>
        </w:rPr>
      </w:pPr>
      <w:r>
        <w:rPr>
          <w:rFonts w:ascii="Arial" w:cs="Arial" w:eastAsia="Arial" w:hAnsi="Arial"/>
          <w:sz w:val="18"/>
          <w:szCs w:val="18"/>
          <w:color w:val="auto"/>
        </w:rPr>
        <w:t>Unless we give you different information in the applicable prospectus supplement, the principal of, and any premium or make-whole amount, and interest on, any series of the debt securities will be payable at 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203"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Denomination, Interest, Registration and Transfer</w:t>
      </w:r>
    </w:p>
    <w:p>
      <w:pPr>
        <w:spacing w:after="0" w:line="85" w:lineRule="exact"/>
        <w:rPr>
          <w:sz w:val="20"/>
          <w:szCs w:val="20"/>
          <w:color w:val="auto"/>
        </w:rPr>
      </w:pPr>
    </w:p>
    <w:p>
      <w:pPr>
        <w:ind w:right="180" w:firstLine="456"/>
        <w:spacing w:after="0" w:line="246" w:lineRule="auto"/>
        <w:rPr>
          <w:sz w:val="20"/>
          <w:szCs w:val="20"/>
          <w:color w:val="auto"/>
        </w:rPr>
      </w:pPr>
      <w:r>
        <w:rPr>
          <w:rFonts w:ascii="Arial" w:cs="Arial" w:eastAsia="Arial" w:hAnsi="Arial"/>
          <w:sz w:val="18"/>
          <w:szCs w:val="18"/>
          <w:color w:val="auto"/>
        </w:rPr>
        <w:t>Unless otherwise described in the applicable prospectus supplement, the debt securities of any series will be issuable in denominations of $1,000 and integral multiples of $1,000.</w:t>
      </w:r>
    </w:p>
    <w:p>
      <w:pPr>
        <w:spacing w:after="0" w:line="197" w:lineRule="exact"/>
        <w:rPr>
          <w:sz w:val="20"/>
          <w:szCs w:val="20"/>
          <w:color w:val="auto"/>
        </w:rPr>
      </w:pPr>
    </w:p>
    <w:p>
      <w:pPr>
        <w:ind w:right="740" w:firstLine="456"/>
        <w:spacing w:after="0" w:line="246" w:lineRule="auto"/>
        <w:rPr>
          <w:sz w:val="20"/>
          <w:szCs w:val="20"/>
          <w:color w:val="auto"/>
        </w:rPr>
      </w:pPr>
      <w:r>
        <w:rPr>
          <w:rFonts w:ascii="Arial" w:cs="Arial" w:eastAsia="Arial" w:hAnsi="Arial"/>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224" w:lineRule="exact"/>
        <w:rPr>
          <w:sz w:val="20"/>
          <w:szCs w:val="20"/>
          <w:color w:val="auto"/>
        </w:rPr>
      </w:pPr>
    </w:p>
    <w:p>
      <w:pPr>
        <w:ind w:left="900" w:right="2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27" w:lineRule="exact"/>
        <w:rPr>
          <w:rFonts w:ascii="Arial" w:cs="Arial" w:eastAsia="Arial" w:hAnsi="Arial"/>
          <w:sz w:val="18"/>
          <w:szCs w:val="18"/>
          <w:color w:val="auto"/>
        </w:rPr>
      </w:pPr>
    </w:p>
    <w:p>
      <w:pPr>
        <w:ind w:left="900" w:right="320" w:hanging="446"/>
        <w:spacing w:after="0" w:line="24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197"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Neither we, nor any trustee, will be required to:</w:t>
      </w:r>
    </w:p>
    <w:p>
      <w:pPr>
        <w:spacing w:after="0" w:line="239"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27" w:lineRule="exact"/>
        <w:rPr>
          <w:rFonts w:ascii="Arial" w:cs="Arial" w:eastAsia="Arial" w:hAnsi="Arial"/>
          <w:sz w:val="18"/>
          <w:szCs w:val="18"/>
          <w:color w:val="auto"/>
        </w:rPr>
      </w:pPr>
    </w:p>
    <w:p>
      <w:pPr>
        <w:ind w:left="900" w:right="180" w:hanging="446"/>
        <w:spacing w:after="0" w:line="246"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right="320" w:hanging="446"/>
        <w:spacing w:after="0" w:line="246"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99" w:lineRule="exact"/>
        <w:rPr>
          <w:sz w:val="20"/>
          <w:szCs w:val="20"/>
          <w:color w:val="auto"/>
        </w:rPr>
      </w:pPr>
    </w:p>
    <w:p>
      <w:pPr>
        <w:ind w:right="300" w:firstLine="456"/>
        <w:spacing w:after="0" w:line="246" w:lineRule="auto"/>
        <w:rPr>
          <w:sz w:val="20"/>
          <w:szCs w:val="20"/>
          <w:color w:val="auto"/>
        </w:rPr>
      </w:pPr>
      <w:r>
        <w:rPr>
          <w:rFonts w:ascii="Arial" w:cs="Arial" w:eastAsia="Arial" w:hAnsi="Arial"/>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224" w:lineRule="exact"/>
        <w:rPr>
          <w:sz w:val="20"/>
          <w:szCs w:val="20"/>
          <w:color w:val="auto"/>
        </w:rPr>
      </w:pPr>
    </w:p>
    <w:p>
      <w:pPr>
        <w:ind w:left="900" w:right="18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each indenture;</w:t>
      </w:r>
    </w:p>
    <w:p>
      <w:pPr>
        <w:spacing w:after="0" w:line="27" w:lineRule="exact"/>
        <w:rPr>
          <w:rFonts w:ascii="Arial" w:cs="Arial" w:eastAsia="Arial" w:hAnsi="Arial"/>
          <w:sz w:val="18"/>
          <w:szCs w:val="18"/>
          <w:color w:val="auto"/>
        </w:rPr>
      </w:pPr>
    </w:p>
    <w:p>
      <w:pPr>
        <w:ind w:left="900" w:hanging="446"/>
        <w:spacing w:after="0" w:line="24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after giving effect to the transaction, there is no event of default under the indentures and no event which, after notice or the lapse of time, or both, would become such an event of default, occurs and continues; and</w:t>
      </w:r>
    </w:p>
    <w:p>
      <w:pPr>
        <w:spacing w:after="0" w:line="21"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officers’ certificate and legal opinion covering such conditions are delivered to each applicable trustee.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67" w:lineRule="exact"/>
        <w:rPr>
          <w:sz w:val="20"/>
          <w:szCs w:val="20"/>
          <w:color w:val="auto"/>
        </w:rPr>
      </w:pPr>
    </w:p>
    <w:p>
      <w:pPr>
        <w:jc w:val="both"/>
        <w:ind w:firstLine="456"/>
        <w:spacing w:after="0" w:line="251" w:lineRule="auto"/>
        <w:rPr>
          <w:sz w:val="20"/>
          <w:szCs w:val="20"/>
          <w:color w:val="auto"/>
        </w:rPr>
      </w:pPr>
      <w:r>
        <w:rPr>
          <w:rFonts w:ascii="Arial" w:cs="Arial" w:eastAsia="Arial" w:hAnsi="Arial"/>
          <w:sz w:val="18"/>
          <w:szCs w:val="18"/>
          <w:i w:val="1"/>
          <w:iCs w:val="1"/>
          <w:color w:val="auto"/>
        </w:rPr>
        <w:t>Existence</w:t>
      </w:r>
      <w:r>
        <w:rPr>
          <w:rFonts w:ascii="Arial" w:cs="Arial" w:eastAsia="Arial" w:hAnsi="Arial"/>
          <w:sz w:val="18"/>
          <w:szCs w:val="18"/>
          <w:color w:val="auto"/>
        </w:rPr>
        <w:t>. Except as described under “—Merger, Consolidation or Sale of Assets,” the indentures require us to do or cause to be done all</w:t>
      </w:r>
      <w:r>
        <w:rPr>
          <w:rFonts w:ascii="Arial" w:cs="Arial" w:eastAsia="Arial" w:hAnsi="Arial"/>
          <w:sz w:val="18"/>
          <w:szCs w:val="18"/>
          <w:i w:val="1"/>
          <w:iCs w:val="1"/>
          <w:color w:val="auto"/>
        </w:rPr>
        <w:t xml:space="preserve"> </w:t>
      </w:r>
      <w:r>
        <w:rPr>
          <w:rFonts w:ascii="Arial" w:cs="Arial" w:eastAsia="Arial" w:hAnsi="Arial"/>
          <w:sz w:val="18"/>
          <w:szCs w:val="18"/>
          <w:color w:val="auto"/>
        </w:rPr>
        <w:t>things necessary to 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74" w:lineRule="exact"/>
        <w:rPr>
          <w:sz w:val="20"/>
          <w:szCs w:val="20"/>
          <w:color w:val="auto"/>
        </w:rPr>
      </w:pPr>
    </w:p>
    <w:p>
      <w:pPr>
        <w:ind w:right="40" w:firstLine="456"/>
        <w:spacing w:after="0" w:line="242" w:lineRule="auto"/>
        <w:rPr>
          <w:sz w:val="20"/>
          <w:szCs w:val="20"/>
          <w:color w:val="auto"/>
        </w:rPr>
      </w:pPr>
      <w:r>
        <w:rPr>
          <w:rFonts w:ascii="Arial" w:cs="Arial" w:eastAsia="Arial" w:hAnsi="Arial"/>
          <w:sz w:val="18"/>
          <w:szCs w:val="18"/>
          <w:i w:val="1"/>
          <w:iCs w:val="1"/>
          <w:color w:val="auto"/>
        </w:rPr>
        <w:t>Payment of taxes and other claims</w:t>
      </w:r>
      <w:r>
        <w:rPr>
          <w:rFonts w:ascii="Arial" w:cs="Arial" w:eastAsia="Arial" w:hAnsi="Arial"/>
          <w:sz w:val="18"/>
          <w:szCs w:val="18"/>
          <w:color w:val="auto"/>
        </w:rPr>
        <w:t>. The indentures require us to pay, discharge or cause to be paid or discharged, before they become</w:t>
      </w:r>
      <w:r>
        <w:rPr>
          <w:rFonts w:ascii="Arial" w:cs="Arial" w:eastAsia="Arial" w:hAnsi="Arial"/>
          <w:sz w:val="18"/>
          <w:szCs w:val="18"/>
          <w:i w:val="1"/>
          <w:iCs w:val="1"/>
          <w:color w:val="auto"/>
        </w:rPr>
        <w:t xml:space="preserve"> </w:t>
      </w:r>
      <w:r>
        <w:rPr>
          <w:rFonts w:ascii="Arial" w:cs="Arial" w:eastAsia="Arial" w:hAnsi="Arial"/>
          <w:sz w:val="18"/>
          <w:szCs w:val="18"/>
          <w:color w:val="auto"/>
        </w:rPr>
        <w:t>delinquent (i) all taxes, assessments and governmental charges levied or imposed on us, and (ii) all lawful claims for labor, materials and supplies which, if unpaid, might by law become a lien upon our property. However, we will not be required to pay, discharge or cause to be paid or discharged any such tax, assessment, charge or claim whose amount, applicability or validity is being contested in good faith by appropriate proceedings.</w:t>
      </w:r>
    </w:p>
    <w:p>
      <w:pPr>
        <w:spacing w:after="0" w:line="185" w:lineRule="exact"/>
        <w:rPr>
          <w:sz w:val="20"/>
          <w:szCs w:val="20"/>
          <w:color w:val="auto"/>
        </w:rPr>
      </w:pPr>
    </w:p>
    <w:p>
      <w:pPr>
        <w:ind w:right="40" w:firstLine="456"/>
        <w:spacing w:after="0"/>
        <w:rPr>
          <w:sz w:val="20"/>
          <w:szCs w:val="20"/>
          <w:color w:val="auto"/>
        </w:rPr>
      </w:pPr>
      <w:r>
        <w:rPr>
          <w:rFonts w:ascii="Arial" w:cs="Arial" w:eastAsia="Arial" w:hAnsi="Arial"/>
          <w:sz w:val="18"/>
          <w:szCs w:val="18"/>
          <w:i w:val="1"/>
          <w:iCs w:val="1"/>
          <w:color w:val="auto"/>
        </w:rPr>
        <w:t>Provision of financial information</w:t>
      </w:r>
      <w:r>
        <w:rPr>
          <w:rFonts w:ascii="Arial" w:cs="Arial" w:eastAsia="Arial" w:hAnsi="Arial"/>
          <w:sz w:val="18"/>
          <w:szCs w:val="18"/>
          <w:color w:val="auto"/>
        </w:rPr>
        <w:t>. The indentures require us to (i) within 15 days of each of the respective dates by which we are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to file our annual reports, quarterly reports and other documents with the SEC, file with the trustee copies of the annual report, quarterly report and other documents that we file with the SEC under Section 13 or 15(d) of the Exchange Act, (ii) file with the trustee and the SEC any additional information, documents and reports regarding compliance by us with the conditions and covenants of the indentures, as required,</w:t>
      </w:r>
    </w:p>
    <w:p>
      <w:pPr>
        <w:jc w:val="both"/>
        <w:ind w:right="180" w:firstLine="8"/>
        <w:spacing w:after="0" w:line="234" w:lineRule="auto"/>
        <w:tabs>
          <w:tab w:leader="none" w:pos="29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within 30 days after the filing with the trustee, mail to all holders of debt securities, as their names and addresses appear in the applicable register for such debt securities, without cost to such holders, summaries of any documents and reports required to be filed by us pursuant to</w:t>
      </w:r>
    </w:p>
    <w:p>
      <w:pPr>
        <w:spacing w:after="0" w:line="1" w:lineRule="exact"/>
        <w:rPr>
          <w:rFonts w:ascii="Arial" w:cs="Arial" w:eastAsia="Arial" w:hAnsi="Arial"/>
          <w:sz w:val="18"/>
          <w:szCs w:val="18"/>
          <w:color w:val="auto"/>
        </w:rPr>
      </w:pPr>
    </w:p>
    <w:p>
      <w:pPr>
        <w:ind w:right="80" w:firstLine="8"/>
        <w:spacing w:after="0" w:line="246" w:lineRule="auto"/>
        <w:tabs>
          <w:tab w:leader="none" w:pos="21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and (ii) above, and (iv) supply, promptly upon written request and payment of the reasonable cost of duplication and delivery, copies of such documents to any prospective holder.</w:t>
      </w:r>
    </w:p>
    <w:p>
      <w:pPr>
        <w:spacing w:after="0" w:line="179" w:lineRule="exact"/>
        <w:rPr>
          <w:sz w:val="20"/>
          <w:szCs w:val="20"/>
          <w:color w:val="auto"/>
        </w:rPr>
      </w:pPr>
    </w:p>
    <w:p>
      <w:pPr>
        <w:ind w:right="440" w:firstLine="456"/>
        <w:spacing w:after="0" w:line="267" w:lineRule="auto"/>
        <w:rPr>
          <w:sz w:val="20"/>
          <w:szCs w:val="20"/>
          <w:color w:val="auto"/>
        </w:rPr>
      </w:pPr>
      <w:r>
        <w:rPr>
          <w:rFonts w:ascii="Arial" w:cs="Arial" w:eastAsia="Arial" w:hAnsi="Arial"/>
          <w:sz w:val="18"/>
          <w:szCs w:val="18"/>
          <w:i w:val="1"/>
          <w:iCs w:val="1"/>
          <w:color w:val="auto"/>
        </w:rPr>
        <w:t>Additional covenants</w:t>
      </w:r>
      <w:r>
        <w:rPr>
          <w:rFonts w:ascii="Arial" w:cs="Arial" w:eastAsia="Arial" w:hAnsi="Arial"/>
          <w:sz w:val="18"/>
          <w:szCs w:val="18"/>
          <w:color w:val="auto"/>
        </w:rPr>
        <w:t>. The applicable prospectus supplement will set forth any our additional covenants relating to any series of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 Notice and Waiver</w:t>
      </w:r>
    </w:p>
    <w:p>
      <w:pPr>
        <w:spacing w:after="0" w:line="99" w:lineRule="exact"/>
        <w:rPr>
          <w:sz w:val="20"/>
          <w:szCs w:val="20"/>
          <w:color w:val="auto"/>
        </w:rPr>
      </w:pPr>
    </w:p>
    <w:p>
      <w:pPr>
        <w:ind w:right="320" w:firstLine="456"/>
        <w:spacing w:after="0" w:line="246"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224"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any debt security of such series continuing for 30 days;</w:t>
      </w:r>
    </w:p>
    <w:p>
      <w:pPr>
        <w:spacing w:after="0" w:line="36" w:lineRule="exact"/>
        <w:rPr>
          <w:rFonts w:ascii="Arial" w:cs="Arial" w:eastAsia="Arial" w:hAnsi="Arial"/>
          <w:sz w:val="18"/>
          <w:szCs w:val="18"/>
          <w:color w:val="auto"/>
        </w:rPr>
      </w:pPr>
    </w:p>
    <w:p>
      <w:pPr>
        <w:ind w:left="900" w:right="80" w:hanging="446"/>
        <w:spacing w:after="0" w:line="246"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default in the payment of principal of, or any premium or make-whole amount on, any debt security of such series for five business days at its stated maturity;</w:t>
      </w:r>
    </w:p>
    <w:p>
      <w:pPr>
        <w:spacing w:after="0" w:line="21"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default in making any sinking fund payment as required for any debt security of such series for five business days;</w:t>
      </w:r>
    </w:p>
    <w:p>
      <w:pPr>
        <w:spacing w:after="0" w:line="31"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debt securities or in the indenture by us continuing for</w:t>
      </w:r>
    </w:p>
    <w:p>
      <w:pPr>
        <w:ind w:left="900" w:right="440"/>
        <w:spacing w:after="0" w:line="246" w:lineRule="auto"/>
        <w:rPr>
          <w:rFonts w:ascii="Arial" w:cs="Arial" w:eastAsia="Arial" w:hAnsi="Arial"/>
          <w:sz w:val="18"/>
          <w:szCs w:val="18"/>
          <w:color w:val="auto"/>
        </w:rPr>
      </w:pPr>
      <w:r>
        <w:rPr>
          <w:rFonts w:ascii="Arial" w:cs="Arial" w:eastAsia="Arial" w:hAnsi="Arial"/>
          <w:sz w:val="18"/>
          <w:szCs w:val="18"/>
          <w:color w:val="auto"/>
        </w:rPr>
        <w:t>60 days after written notice as provided in the applicable indenture, but not of a covenant added to the indenture solely for the benefit of a series of debt securities issued thereunder other than such series;</w:t>
      </w:r>
    </w:p>
    <w:p>
      <w:pPr>
        <w:spacing w:after="0" w:line="21"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default under any bond, debenture, note, mortgage, indenture or instrument:</w:t>
      </w:r>
    </w:p>
    <w:p>
      <w:pPr>
        <w:spacing w:after="0" w:line="117" w:lineRule="exact"/>
        <w:rPr>
          <w:rFonts w:ascii="Arial" w:cs="Arial" w:eastAsia="Arial" w:hAnsi="Arial"/>
          <w:sz w:val="18"/>
          <w:szCs w:val="18"/>
          <w:color w:val="auto"/>
        </w:rPr>
      </w:pPr>
    </w:p>
    <w:p>
      <w:pPr>
        <w:ind w:left="1480" w:hanging="567"/>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having an aggregate principal amount of at least $30,000,000; or</w:t>
      </w:r>
    </w:p>
    <w:p>
      <w:pPr>
        <w:spacing w:after="0" w:line="117" w:lineRule="exact"/>
        <w:rPr>
          <w:rFonts w:ascii="Arial" w:cs="Arial" w:eastAsia="Arial" w:hAnsi="Arial"/>
          <w:sz w:val="18"/>
          <w:szCs w:val="18"/>
          <w:color w:val="auto"/>
        </w:rPr>
      </w:pPr>
    </w:p>
    <w:p>
      <w:pPr>
        <w:ind w:left="1480" w:right="100" w:hanging="567"/>
        <w:spacing w:after="0" w:line="246"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under which there may be issued, secured or evidenced any existing or later created indebtedness for money borrowed by us, if we are directly responsible or liable as obligor or guarantor,</w:t>
      </w:r>
    </w:p>
    <w:p>
      <w:pPr>
        <w:spacing w:after="0" w:line="197"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if the default results in the indebtedness becoming or being declared due and payable prior to the date it otherwise would have, without such indebtedness having been discharged, or such acceleration having been rescinded or annulled, within 30 days after notice to the issuing company specifying such default. Such notice shall be given to us by the trustee, or to us and the trustee by the holders of at least 10% in principal amount of the outstanding debt securities of that series. The written notice shall specify such default and require us to cause such indebtedness to be discharged or cause such acceleration to be rescinded or annulled and shall state that such notice is a “Notice of Default” under such indenture;</w:t>
      </w:r>
    </w:p>
    <w:p>
      <w:pPr>
        <w:spacing w:after="0" w:line="232"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bankruptcy, insolvency or reorganization, or court appointment of a receiver, liquidator or trustee of us; and</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particular series of debt securities.</w:t>
      </w:r>
    </w:p>
    <w:p>
      <w:pPr>
        <w:spacing w:after="0" w:line="212"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235" w:lineRule="exact"/>
        <w:rPr>
          <w:sz w:val="20"/>
          <w:szCs w:val="20"/>
          <w:color w:val="auto"/>
        </w:rPr>
      </w:pPr>
    </w:p>
    <w:p>
      <w:pPr>
        <w:jc w:val="both"/>
        <w:ind w:left="900" w:right="8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right="100" w:hanging="446"/>
        <w:spacing w:after="0" w:line="246"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197" w:lineRule="exact"/>
        <w:rPr>
          <w:sz w:val="20"/>
          <w:szCs w:val="20"/>
          <w:color w:val="auto"/>
        </w:rPr>
      </w:pPr>
    </w:p>
    <w:p>
      <w:pPr>
        <w:ind w:right="20" w:firstLine="456"/>
        <w:spacing w:after="0"/>
        <w:rPr>
          <w:sz w:val="20"/>
          <w:szCs w:val="20"/>
          <w:color w:val="auto"/>
        </w:rPr>
      </w:pPr>
      <w:r>
        <w:rPr>
          <w:rFonts w:ascii="Arial" w:cs="Arial" w:eastAsia="Arial" w:hAnsi="Arial"/>
          <w:sz w:val="18"/>
          <w:szCs w:val="18"/>
          <w:color w:val="auto"/>
        </w:rPr>
        <w:t>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230"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payment of the principal, any premium or make-whole amount, or interest;</w:t>
      </w:r>
    </w:p>
    <w:p>
      <w:pPr>
        <w:spacing w:after="0" w:line="36" w:lineRule="exact"/>
        <w:rPr>
          <w:rFonts w:ascii="Arial" w:cs="Arial" w:eastAsia="Arial" w:hAnsi="Arial"/>
          <w:sz w:val="18"/>
          <w:szCs w:val="18"/>
          <w:color w:val="auto"/>
        </w:rPr>
      </w:pPr>
    </w:p>
    <w:p>
      <w:pPr>
        <w:ind w:left="900" w:right="100" w:hanging="446"/>
        <w:spacing w:after="0" w:line="24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respect of a covenant or provision contained in the applicable indenture that cannot be modified or amended without the consent of the holders of the outstanding debt security that is affected by the default; or</w:t>
      </w:r>
    </w:p>
    <w:p>
      <w:pPr>
        <w:spacing w:after="0" w:line="21"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respect of a covenant or provision for the benefit or protection of the trustee, without its express written consent.</w:t>
      </w:r>
    </w:p>
    <w:p>
      <w:pPr>
        <w:spacing w:after="0" w:line="212" w:lineRule="exact"/>
        <w:rPr>
          <w:sz w:val="20"/>
          <w:szCs w:val="20"/>
          <w:color w:val="auto"/>
        </w:rPr>
      </w:pPr>
    </w:p>
    <w:p>
      <w:pPr>
        <w:ind w:right="220" w:firstLine="456"/>
        <w:spacing w:after="0" w:line="239" w:lineRule="auto"/>
        <w:rPr>
          <w:sz w:val="20"/>
          <w:szCs w:val="20"/>
          <w:color w:val="auto"/>
        </w:rPr>
      </w:pPr>
      <w:r>
        <w:rPr>
          <w:rFonts w:ascii="Arial" w:cs="Arial" w:eastAsia="Arial" w:hAnsi="Arial"/>
          <w:sz w:val="18"/>
          <w:szCs w:val="18"/>
          <w:color w:val="auto"/>
        </w:rPr>
        <w:t>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202"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205" w:lineRule="exact"/>
        <w:rPr>
          <w:sz w:val="20"/>
          <w:szCs w:val="20"/>
          <w:color w:val="auto"/>
        </w:rPr>
      </w:pPr>
    </w:p>
    <w:p>
      <w:pPr>
        <w:ind w:right="100" w:firstLine="456"/>
        <w:spacing w:after="0" w:line="237" w:lineRule="auto"/>
        <w:rPr>
          <w:sz w:val="20"/>
          <w:szCs w:val="20"/>
          <w:color w:val="auto"/>
        </w:rPr>
      </w:pPr>
      <w:r>
        <w:rPr>
          <w:rFonts w:ascii="Arial" w:cs="Arial" w:eastAsia="Arial" w:hAnsi="Arial"/>
          <w:sz w:val="18"/>
          <w:szCs w:val="18"/>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232"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 in conflict with any law or the applicable indenture;</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may involve the trustee in personal liability; or</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may be unduly prejudicial to the holders of debt securities of the series not joining the proceeding.</w:t>
      </w:r>
    </w:p>
    <w:p>
      <w:pPr>
        <w:spacing w:after="0" w:line="212" w:lineRule="exact"/>
        <w:rPr>
          <w:sz w:val="20"/>
          <w:szCs w:val="20"/>
          <w:color w:val="auto"/>
        </w:rPr>
      </w:pPr>
    </w:p>
    <w:p>
      <w:pPr>
        <w:jc w:val="both"/>
        <w:ind w:firstLine="456"/>
        <w:spacing w:after="0"/>
        <w:rPr>
          <w:sz w:val="20"/>
          <w:szCs w:val="20"/>
          <w:color w:val="auto"/>
        </w:rPr>
      </w:pPr>
      <w:r>
        <w:rPr>
          <w:rFonts w:ascii="Arial" w:cs="Arial" w:eastAsia="Arial" w:hAnsi="Arial"/>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the Indentures</w:t>
      </w:r>
    </w:p>
    <w:p>
      <w:pPr>
        <w:spacing w:after="0" w:line="99" w:lineRule="exact"/>
        <w:rPr>
          <w:sz w:val="20"/>
          <w:szCs w:val="20"/>
          <w:color w:val="auto"/>
        </w:rPr>
      </w:pPr>
    </w:p>
    <w:p>
      <w:pPr>
        <w:ind w:right="140" w:firstLine="456"/>
        <w:spacing w:after="0"/>
        <w:rPr>
          <w:sz w:val="20"/>
          <w:szCs w:val="20"/>
          <w:color w:val="auto"/>
        </w:rPr>
      </w:pPr>
      <w:r>
        <w:rPr>
          <w:rFonts w:ascii="Arial" w:cs="Arial" w:eastAsia="Arial" w:hAnsi="Arial"/>
          <w:sz w:val="18"/>
          <w:szCs w:val="18"/>
          <w:color w:val="auto"/>
        </w:rPr>
        <w:t>The indentures provide that modifications and amendments may be made only with the consent of the affected holders of a majority in principal amount of all outstanding debt securities issued under that indenture. However, no such modification or amendment may, without the consent of the holders of the debt securities affected by the modification or amendment:</w:t>
      </w:r>
    </w:p>
    <w:p>
      <w:pPr>
        <w:spacing w:after="0" w:line="230" w:lineRule="exact"/>
        <w:rPr>
          <w:sz w:val="20"/>
          <w:szCs w:val="20"/>
          <w:color w:val="auto"/>
        </w:rPr>
      </w:pPr>
    </w:p>
    <w:p>
      <w:pPr>
        <w:ind w:left="900" w:right="20" w:hanging="446"/>
        <w:spacing w:after="0" w:line="246"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premium or make-whole amount on, or any installment of principal of or interest on, any such debt security;</w:t>
      </w:r>
    </w:p>
    <w:p>
      <w:pPr>
        <w:spacing w:after="0" w:line="21" w:lineRule="exact"/>
        <w:rPr>
          <w:rFonts w:ascii="Arial" w:cs="Arial" w:eastAsia="Arial" w:hAnsi="Arial"/>
          <w:sz w:val="18"/>
          <w:szCs w:val="18"/>
          <w:color w:val="auto"/>
        </w:rPr>
      </w:pPr>
    </w:p>
    <w:p>
      <w:pPr>
        <w:ind w:left="900" w:right="80" w:hanging="446"/>
        <w:spacing w:after="0" w:line="246"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principal amount of, the rate or amount of interest on, or any premium or make-whole amount payable on redemption of, any such debt security;</w:t>
      </w:r>
    </w:p>
    <w:p>
      <w:pPr>
        <w:spacing w:after="0" w:line="21" w:lineRule="exact"/>
        <w:rPr>
          <w:rFonts w:ascii="Arial" w:cs="Arial" w:eastAsia="Arial" w:hAnsi="Arial"/>
          <w:sz w:val="18"/>
          <w:szCs w:val="18"/>
          <w:color w:val="auto"/>
        </w:rPr>
      </w:pPr>
    </w:p>
    <w:p>
      <w:pPr>
        <w:jc w:val="both"/>
        <w:ind w:left="900" w:right="6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27" w:lineRule="exact"/>
        <w:rPr>
          <w:rFonts w:ascii="Arial" w:cs="Arial" w:eastAsia="Arial" w:hAnsi="Arial"/>
          <w:sz w:val="18"/>
          <w:szCs w:val="18"/>
          <w:color w:val="auto"/>
        </w:rPr>
      </w:pPr>
    </w:p>
    <w:p>
      <w:pPr>
        <w:ind w:left="900" w:right="120" w:hanging="446"/>
        <w:spacing w:after="0" w:line="246"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 the place of payment or the coin or currency for payment of principal of, or any premium or make-whole amount, or interest on, any such debt security;</w:t>
      </w:r>
    </w:p>
    <w:p>
      <w:pPr>
        <w:spacing w:after="0" w:line="21"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any such debt security;</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w:t>
      </w:r>
    </w:p>
    <w:p>
      <w:pPr>
        <w:spacing w:after="0" w:line="27" w:lineRule="exact"/>
        <w:rPr>
          <w:rFonts w:ascii="Arial" w:cs="Arial" w:eastAsia="Arial" w:hAnsi="Arial"/>
          <w:sz w:val="18"/>
          <w:szCs w:val="18"/>
          <w:color w:val="auto"/>
        </w:rPr>
      </w:pPr>
    </w:p>
    <w:p>
      <w:pPr>
        <w:ind w:left="900" w:right="1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203" w:lineRule="exact"/>
        <w:rPr>
          <w:sz w:val="20"/>
          <w:szCs w:val="20"/>
          <w:color w:val="auto"/>
        </w:rPr>
      </w:pPr>
    </w:p>
    <w:p>
      <w:pPr>
        <w:ind w:right="200" w:firstLine="456"/>
        <w:spacing w:after="0"/>
        <w:rPr>
          <w:sz w:val="20"/>
          <w:szCs w:val="20"/>
          <w:color w:val="auto"/>
        </w:rPr>
      </w:pPr>
      <w:r>
        <w:rPr>
          <w:rFonts w:ascii="Arial" w:cs="Arial" w:eastAsia="Arial" w:hAnsi="Arial"/>
          <w:sz w:val="18"/>
          <w:szCs w:val="18"/>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203" w:lineRule="exact"/>
        <w:rPr>
          <w:sz w:val="20"/>
          <w:szCs w:val="20"/>
          <w:color w:val="auto"/>
        </w:rPr>
      </w:pPr>
    </w:p>
    <w:p>
      <w:pPr>
        <w:ind w:right="600" w:firstLine="456"/>
        <w:spacing w:after="0" w:line="246"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224"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as obligor under such indenture;</w:t>
      </w:r>
    </w:p>
    <w:p>
      <w:pPr>
        <w:spacing w:after="0" w:line="36" w:lineRule="exact"/>
        <w:rPr>
          <w:rFonts w:ascii="Arial" w:cs="Arial" w:eastAsia="Arial" w:hAnsi="Arial"/>
          <w:sz w:val="18"/>
          <w:szCs w:val="18"/>
          <w:color w:val="auto"/>
        </w:rPr>
      </w:pPr>
    </w:p>
    <w:p>
      <w:pPr>
        <w:ind w:left="900" w:right="700" w:hanging="446"/>
        <w:spacing w:after="0" w:line="246"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21"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add events of default for the benefit of the holders of all or any series of debt securities;</w:t>
      </w:r>
    </w:p>
    <w:p>
      <w:pPr>
        <w:spacing w:after="0" w:line="36" w:lineRule="exact"/>
        <w:rPr>
          <w:rFonts w:ascii="Arial" w:cs="Arial" w:eastAsia="Arial" w:hAnsi="Arial"/>
          <w:sz w:val="18"/>
          <w:szCs w:val="18"/>
          <w:color w:val="auto"/>
        </w:rPr>
      </w:pPr>
    </w:p>
    <w:p>
      <w:pPr>
        <w:ind w:left="900" w:right="140" w:hanging="446"/>
        <w:spacing w:after="0" w:line="23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add or change any provisions of an indenture (i) to change or eliminate restrictions on the payment of principal of, or premium or make-whole amount, or interest on, debt securities in bearer form, or (ii) to permit or facilitate the issuance of debt securities in uncertificated form, provided that such action shall not adversely affect the interests of the holders of the debt securities of any series in any material respect;</w:t>
      </w:r>
    </w:p>
    <w:p>
      <w:pPr>
        <w:spacing w:after="0" w:line="26" w:lineRule="exact"/>
        <w:rPr>
          <w:rFonts w:ascii="Arial" w:cs="Arial" w:eastAsia="Arial" w:hAnsi="Arial"/>
          <w:sz w:val="18"/>
          <w:szCs w:val="18"/>
          <w:color w:val="auto"/>
        </w:rPr>
      </w:pPr>
    </w:p>
    <w:p>
      <w:pPr>
        <w:ind w:left="900" w:right="140" w:hanging="446"/>
        <w:spacing w:after="0" w:line="246"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21"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w:t>
      </w:r>
    </w:p>
    <w:p>
      <w:pPr>
        <w:spacing w:after="0" w:line="36" w:lineRule="exact"/>
        <w:rPr>
          <w:rFonts w:ascii="Arial" w:cs="Arial" w:eastAsia="Arial" w:hAnsi="Arial"/>
          <w:sz w:val="18"/>
          <w:szCs w:val="18"/>
          <w:color w:val="auto"/>
        </w:rPr>
      </w:pPr>
    </w:p>
    <w:p>
      <w:pPr>
        <w:ind w:left="900" w:right="160" w:hanging="446"/>
        <w:spacing w:after="0" w:line="246"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right="280" w:hanging="446"/>
        <w:spacing w:after="0" w:line="246"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cure any ambiguity, defect or inconsistency in an indenture, provided that such action shall not adversely affect the interests of holders of debt securities of any series issued under such indenture; and</w:t>
      </w:r>
    </w:p>
    <w:p>
      <w:pPr>
        <w:spacing w:after="0" w:line="21"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99" w:lineRule="exact"/>
        <w:rPr>
          <w:sz w:val="20"/>
          <w:szCs w:val="20"/>
          <w:color w:val="auto"/>
        </w:rPr>
      </w:pPr>
    </w:p>
    <w:p>
      <w:pPr>
        <w:ind w:right="60" w:firstLine="456"/>
        <w:spacing w:after="0"/>
        <w:rPr>
          <w:sz w:val="20"/>
          <w:szCs w:val="20"/>
          <w:color w:val="auto"/>
        </w:rPr>
      </w:pPr>
      <w:r>
        <w:rPr>
          <w:rFonts w:ascii="Arial" w:cs="Arial" w:eastAsia="Arial" w:hAnsi="Arial"/>
          <w:sz w:val="18"/>
          <w:szCs w:val="18"/>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230" w:lineRule="exact"/>
        <w:rPr>
          <w:sz w:val="20"/>
          <w:szCs w:val="20"/>
          <w:color w:val="auto"/>
        </w:rPr>
      </w:pPr>
    </w:p>
    <w:p>
      <w:pPr>
        <w:ind w:left="900" w:right="2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27" w:lineRule="exact"/>
        <w:rPr>
          <w:rFonts w:ascii="Arial" w:cs="Arial" w:eastAsia="Arial" w:hAnsi="Arial"/>
          <w:sz w:val="18"/>
          <w:szCs w:val="18"/>
          <w:color w:val="auto"/>
        </w:rPr>
      </w:pPr>
    </w:p>
    <w:p>
      <w:pPr>
        <w:ind w:left="900" w:right="260" w:hanging="446"/>
        <w:spacing w:after="0" w:line="23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w:t>
      </w:r>
    </w:p>
    <w:p>
      <w:pPr>
        <w:spacing w:after="0" w:line="26" w:lineRule="exact"/>
        <w:rPr>
          <w:rFonts w:ascii="Arial" w:cs="Arial" w:eastAsia="Arial" w:hAnsi="Arial"/>
          <w:sz w:val="18"/>
          <w:szCs w:val="18"/>
          <w:color w:val="auto"/>
        </w:rPr>
      </w:pPr>
    </w:p>
    <w:p>
      <w:pPr>
        <w:ind w:left="900" w:right="340" w:hanging="446"/>
        <w:spacing w:after="0" w:line="246"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21" w:lineRule="exact"/>
        <w:rPr>
          <w:rFonts w:ascii="Arial" w:cs="Arial" w:eastAsia="Arial" w:hAnsi="Arial"/>
          <w:sz w:val="18"/>
          <w:szCs w:val="18"/>
          <w:color w:val="auto"/>
        </w:rPr>
      </w:pPr>
    </w:p>
    <w:p>
      <w:pPr>
        <w:ind w:left="900" w:right="140" w:hanging="446"/>
        <w:spacing w:after="0" w:line="246"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debt securities owned by us or any other obligor upon the debt securities or by any affiliate of ours or of such other obligor shall be disregarded.</w:t>
      </w:r>
    </w:p>
    <w:p>
      <w:pPr>
        <w:spacing w:after="0" w:line="197"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205"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202" w:lineRule="exact"/>
        <w:rPr>
          <w:sz w:val="20"/>
          <w:szCs w:val="20"/>
          <w:color w:val="auto"/>
        </w:rPr>
      </w:pPr>
    </w:p>
    <w:p>
      <w:pPr>
        <w:jc w:val="both"/>
        <w:ind w:right="380" w:firstLine="456"/>
        <w:spacing w:after="0" w:line="239" w:lineRule="auto"/>
        <w:rPr>
          <w:sz w:val="20"/>
          <w:szCs w:val="20"/>
          <w:color w:val="auto"/>
        </w:rPr>
      </w:pPr>
      <w:r>
        <w:rPr>
          <w:rFonts w:ascii="Arial" w:cs="Arial" w:eastAsia="Arial" w:hAnsi="Arial"/>
          <w:sz w:val="18"/>
          <w:szCs w:val="18"/>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of the outstanding debt securities of a series, the persons holding such percentage will constitute a quorum.</w:t>
      </w:r>
    </w:p>
    <w:p>
      <w:pPr>
        <w:spacing w:after="0" w:line="212"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229"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36" w:lineRule="exact"/>
        <w:rPr>
          <w:rFonts w:ascii="Arial" w:cs="Arial" w:eastAsia="Arial" w:hAnsi="Arial"/>
          <w:sz w:val="18"/>
          <w:szCs w:val="18"/>
          <w:color w:val="auto"/>
        </w:rPr>
      </w:pPr>
    </w:p>
    <w:p>
      <w:pPr>
        <w:ind w:left="900" w:right="4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principal amount of the outstanding debt securities of such series that vote in favor of such request, demand, authorization, direction, notice, consent, waiver or other action shall be taken account in determining whether such request, demand, authorization, direction, notice, consent, waiver or other action has been made, given or taken under such indenture.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Subordination</w:t>
      </w:r>
    </w:p>
    <w:p>
      <w:pPr>
        <w:spacing w:after="0" w:line="99" w:lineRule="exact"/>
        <w:rPr>
          <w:sz w:val="20"/>
          <w:szCs w:val="20"/>
          <w:color w:val="auto"/>
        </w:rPr>
      </w:pPr>
    </w:p>
    <w:p>
      <w:pPr>
        <w:ind w:right="740" w:firstLine="456"/>
        <w:spacing w:after="0" w:line="246" w:lineRule="auto"/>
        <w:rPr>
          <w:sz w:val="20"/>
          <w:szCs w:val="20"/>
          <w:color w:val="auto"/>
        </w:rPr>
      </w:pPr>
      <w:r>
        <w:rPr>
          <w:rFonts w:ascii="Arial" w:cs="Arial" w:eastAsia="Arial" w:hAnsi="Arial"/>
          <w:sz w:val="18"/>
          <w:szCs w:val="18"/>
          <w:color w:val="auto"/>
        </w:rPr>
        <w:t>Unless otherwise provided in the applicable prospectus supplement, subordinated debt securities will be subject to the following subordination provisions.</w:t>
      </w:r>
    </w:p>
    <w:p>
      <w:pPr>
        <w:spacing w:after="0" w:line="197"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As a result of these subordination provisions, in the event of a distribution of assets upon insolvency, holders of subordinated debt securities may recover less, ratably, than our general creditors.</w:t>
      </w:r>
    </w:p>
    <w:p>
      <w:pPr>
        <w:spacing w:after="0" w:line="207"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restrictions will be included in any indenture relating to subordinated debt securities upon the creation of additional senior debt.</w:t>
      </w:r>
    </w:p>
    <w:p>
      <w:pPr>
        <w:spacing w:after="0" w:line="212" w:lineRule="exact"/>
        <w:rPr>
          <w:sz w:val="20"/>
          <w:szCs w:val="20"/>
          <w:color w:val="auto"/>
        </w:rPr>
      </w:pPr>
    </w:p>
    <w:p>
      <w:pPr>
        <w:ind w:right="360" w:firstLine="456"/>
        <w:spacing w:after="0"/>
        <w:rPr>
          <w:sz w:val="20"/>
          <w:szCs w:val="20"/>
          <w:color w:val="auto"/>
        </w:rPr>
      </w:pPr>
      <w:r>
        <w:rPr>
          <w:rFonts w:ascii="Arial" w:cs="Arial" w:eastAsia="Arial" w:hAnsi="Arial"/>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Discharge, Defeasance and Covenant Defeasance</w:t>
      </w:r>
    </w:p>
    <w:p>
      <w:pPr>
        <w:spacing w:after="0" w:line="99" w:lineRule="exact"/>
        <w:rPr>
          <w:sz w:val="20"/>
          <w:szCs w:val="20"/>
          <w:color w:val="auto"/>
        </w:rPr>
      </w:pPr>
    </w:p>
    <w:p>
      <w:pPr>
        <w:ind w:right="40" w:firstLine="913"/>
        <w:spacing w:after="0" w:line="246" w:lineRule="auto"/>
        <w:rPr>
          <w:sz w:val="20"/>
          <w:szCs w:val="20"/>
          <w:color w:val="auto"/>
        </w:rPr>
      </w:pPr>
      <w:r>
        <w:rPr>
          <w:rFonts w:ascii="Arial" w:cs="Arial" w:eastAsia="Arial" w:hAnsi="Arial"/>
          <w:sz w:val="18"/>
          <w:szCs w:val="18"/>
          <w:color w:val="auto"/>
        </w:rPr>
        <w:t>Unless otherwise indicated in the applicable prospectus supplement, the indentures allow us to discharge our obligations to holders of any series of debt securities issued under any indenture when:</w:t>
      </w:r>
    </w:p>
    <w:p>
      <w:pPr>
        <w:spacing w:after="0" w:line="224" w:lineRule="exact"/>
        <w:rPr>
          <w:sz w:val="20"/>
          <w:szCs w:val="20"/>
          <w:color w:val="auto"/>
        </w:rPr>
      </w:pPr>
    </w:p>
    <w:p>
      <w:pPr>
        <w:ind w:left="900" w:right="60" w:hanging="446"/>
        <w:spacing w:after="0" w:line="23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27"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and</w:t>
      </w:r>
    </w:p>
    <w:p>
      <w:pPr>
        <w:spacing w:after="0" w:line="36" w:lineRule="exact"/>
        <w:rPr>
          <w:rFonts w:ascii="Arial" w:cs="Arial" w:eastAsia="Arial" w:hAnsi="Arial"/>
          <w:sz w:val="18"/>
          <w:szCs w:val="18"/>
          <w:color w:val="auto"/>
        </w:rPr>
      </w:pPr>
    </w:p>
    <w:p>
      <w:pPr>
        <w:ind w:left="900" w:right="340" w:hanging="446"/>
        <w:spacing w:after="0" w:line="246"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197" w:lineRule="exact"/>
        <w:rPr>
          <w:sz w:val="20"/>
          <w:szCs w:val="20"/>
          <w:color w:val="auto"/>
        </w:rPr>
      </w:pPr>
    </w:p>
    <w:p>
      <w:pPr>
        <w:ind w:right="260" w:firstLine="456"/>
        <w:spacing w:after="0" w:line="237" w:lineRule="auto"/>
        <w:rPr>
          <w:sz w:val="20"/>
          <w:szCs w:val="20"/>
          <w:color w:val="auto"/>
        </w:rPr>
      </w:pPr>
      <w:r>
        <w:rPr>
          <w:rFonts w:ascii="Arial" w:cs="Arial" w:eastAsia="Arial" w:hAnsi="Arial"/>
          <w:sz w:val="18"/>
          <w:szCs w:val="18"/>
          <w:color w:val="auto"/>
        </w:rPr>
        <w:t>Unless otherwise indicated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w:t>
      </w:r>
    </w:p>
    <w:p>
      <w:pPr>
        <w:spacing w:after="0" w:line="232"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defease and be discharged from any and all obligations with respect to such debt securities; or</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203" w:lineRule="exact"/>
        <w:rPr>
          <w:sz w:val="20"/>
          <w:szCs w:val="20"/>
          <w:color w:val="auto"/>
        </w:rPr>
      </w:pPr>
    </w:p>
    <w:p>
      <w:pPr>
        <w:ind w:right="220" w:firstLine="456"/>
        <w:spacing w:after="0" w:line="239" w:lineRule="auto"/>
        <w:rPr>
          <w:sz w:val="20"/>
          <w:szCs w:val="20"/>
          <w:color w:val="auto"/>
        </w:rPr>
      </w:pPr>
      <w:r>
        <w:rPr>
          <w:rFonts w:ascii="Arial" w:cs="Arial" w:eastAsia="Arial" w:hAnsi="Arial"/>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202"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The indentures only permit us to establish the trust described in the paragraph above if, among other things, we have delivered to the applicable trustee an opinion of counsel to the effect that the holders of such debt securities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United States federal income tax law occurring after the date of the indenture. In the event of such defeasance, the holders</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of such debt securities would be able to look only to such trust fund for payment of principal, any premium or make-whole amount, and interest.</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we use the term “government obligations,” we mean securities that are:</w:t>
      </w:r>
    </w:p>
    <w:p>
      <w:pPr>
        <w:spacing w:after="0" w:line="239" w:lineRule="exact"/>
        <w:rPr>
          <w:sz w:val="20"/>
          <w:szCs w:val="20"/>
          <w:color w:val="auto"/>
        </w:rPr>
      </w:pPr>
    </w:p>
    <w:p>
      <w:pPr>
        <w:ind w:left="900" w:right="100" w:hanging="446"/>
        <w:spacing w:after="0" w:line="246"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21" w:lineRule="exact"/>
        <w:rPr>
          <w:rFonts w:ascii="Arial" w:cs="Arial" w:eastAsia="Arial" w:hAnsi="Arial"/>
          <w:sz w:val="18"/>
          <w:szCs w:val="18"/>
          <w:color w:val="auto"/>
        </w:rPr>
      </w:pPr>
    </w:p>
    <w:p>
      <w:pPr>
        <w:ind w:left="900" w:right="20" w:hanging="446"/>
        <w:spacing w:after="0" w:line="236"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207"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Unless otherwise provided in the applicable prospectus supplement, if after we have deposited funds and/or government obligations to effect defeasance or covenant defeasance with respect to debt securities of any series, (i)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(ii)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we use the term “conversion event,” we mean the cessation of use of:</w:t>
      </w:r>
    </w:p>
    <w:p>
      <w:pPr>
        <w:spacing w:after="0" w:line="239" w:lineRule="exact"/>
        <w:rPr>
          <w:sz w:val="20"/>
          <w:szCs w:val="20"/>
          <w:color w:val="auto"/>
        </w:rPr>
      </w:pPr>
    </w:p>
    <w:p>
      <w:pPr>
        <w:ind w:left="900" w:right="640" w:hanging="325"/>
        <w:spacing w:after="0" w:line="246"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21" w:lineRule="exact"/>
        <w:rPr>
          <w:rFonts w:ascii="Arial" w:cs="Arial" w:eastAsia="Arial" w:hAnsi="Arial"/>
          <w:sz w:val="18"/>
          <w:szCs w:val="18"/>
          <w:color w:val="auto"/>
        </w:rPr>
      </w:pPr>
    </w:p>
    <w:p>
      <w:pPr>
        <w:ind w:left="900" w:right="100" w:hanging="325"/>
        <w:spacing w:after="0" w:line="246"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European Currency Unit both within the European Monetary System and for the settlement of transactions by public institutions of or within the European Communities; or</w:t>
      </w:r>
    </w:p>
    <w:p>
      <w:pPr>
        <w:spacing w:after="0" w:line="21"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currency unit or composite currency other than the European Currency Unit for the purposes for which it was established.</w:t>
      </w:r>
    </w:p>
    <w:p>
      <w:pPr>
        <w:spacing w:after="0" w:line="212" w:lineRule="exact"/>
        <w:rPr>
          <w:sz w:val="20"/>
          <w:szCs w:val="20"/>
          <w:color w:val="auto"/>
        </w:rPr>
      </w:pPr>
    </w:p>
    <w:p>
      <w:pPr>
        <w:ind w:right="180" w:firstLine="456"/>
        <w:spacing w:after="0"/>
        <w:rPr>
          <w:sz w:val="20"/>
          <w:szCs w:val="20"/>
          <w:color w:val="auto"/>
        </w:rPr>
      </w:pPr>
      <w:r>
        <w:rPr>
          <w:rFonts w:ascii="Arial" w:cs="Arial" w:eastAsia="Arial" w:hAnsi="Arial"/>
          <w:sz w:val="18"/>
          <w:szCs w:val="18"/>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203" w:lineRule="exact"/>
        <w:rPr>
          <w:sz w:val="20"/>
          <w:szCs w:val="20"/>
          <w:color w:val="auto"/>
        </w:rPr>
      </w:pPr>
    </w:p>
    <w:p>
      <w:pPr>
        <w:ind w:right="100" w:firstLine="456"/>
        <w:spacing w:after="0" w:line="246" w:lineRule="auto"/>
        <w:rPr>
          <w:sz w:val="20"/>
          <w:szCs w:val="20"/>
          <w:color w:val="auto"/>
        </w:rPr>
      </w:pPr>
      <w:r>
        <w:rPr>
          <w:rFonts w:ascii="Arial" w:cs="Arial" w:eastAsia="Arial" w:hAnsi="Arial"/>
          <w:sz w:val="18"/>
          <w:szCs w:val="18"/>
          <w:color w:val="auto"/>
        </w:rPr>
        <w:t>In the event that (i) we effect covenant defeasance with respect to any debt securities and (ii) those debt securities are declared due and payable because of the occurrence of any event of</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default, the amount in the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issuing company would remain liable to make payments of any amounts due at the time of acceleration.</w:t>
      </w:r>
    </w:p>
    <w:p>
      <w:pPr>
        <w:spacing w:after="0" w:line="202" w:lineRule="exact"/>
        <w:rPr>
          <w:sz w:val="20"/>
          <w:szCs w:val="20"/>
          <w:color w:val="auto"/>
        </w:rPr>
      </w:pPr>
    </w:p>
    <w:p>
      <w:pPr>
        <w:jc w:val="both"/>
        <w:ind w:right="180" w:firstLine="456"/>
        <w:spacing w:after="0" w:line="246" w:lineRule="auto"/>
        <w:rPr>
          <w:sz w:val="20"/>
          <w:szCs w:val="20"/>
          <w:color w:val="auto"/>
        </w:rPr>
      </w:pPr>
      <w:r>
        <w:rPr>
          <w:rFonts w:ascii="Arial" w:cs="Arial" w:eastAsia="Arial" w:hAnsi="Arial"/>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99" w:lineRule="exact"/>
        <w:rPr>
          <w:sz w:val="20"/>
          <w:szCs w:val="20"/>
          <w:color w:val="auto"/>
        </w:rPr>
      </w:pPr>
    </w:p>
    <w:p>
      <w:pPr>
        <w:jc w:val="both"/>
        <w:ind w:right="180" w:firstLine="456"/>
        <w:spacing w:after="0" w:line="238" w:lineRule="auto"/>
        <w:rPr>
          <w:sz w:val="20"/>
          <w:szCs w:val="20"/>
          <w:color w:val="auto"/>
        </w:rPr>
      </w:pPr>
      <w:r>
        <w:rPr>
          <w:rFonts w:ascii="Arial" w:cs="Arial" w:eastAsia="Arial" w:hAnsi="Arial"/>
          <w:sz w:val="18"/>
          <w:szCs w:val="18"/>
          <w:color w:val="auto"/>
        </w:rPr>
        <w:t>The terms and conditions, if any, upon which the debt securities are convertible into common stock or other securities of ours will be set forth in the applicable prospectus supplement.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Securities</w:t>
      </w:r>
    </w:p>
    <w:p>
      <w:pPr>
        <w:spacing w:after="0" w:line="85"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The debt securities of a series may be issued in whole or in part in the form of one or more global securities that will be deposited with, or on behalf of, a depository identified in the applicable prospectus supplement relating to such series. Global securities, if any, issued in the United States are expected to be deposited with The Depository Trust Company, or DTC, as depository. We may issue global securities in either registered or bearer form and in either temporary or permanent form. We will describe the specific terms of the depository arrangement with respect to a series of debt securities in the applicable prospectus supplement relating to such series. We expect that unless the applicable prospectus supplement provides otherwise, the following provisions will apply to depository arrangements.</w:t>
      </w:r>
    </w:p>
    <w:p>
      <w:pPr>
        <w:spacing w:after="0" w:line="205"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Once a global security is issued, the depository for such global security or its nominee will credit on its book-entry registration and transfer system the respective principal amounts of the individual debt securities represented by such global security to the accounts of participants that have accounts with such depository. Such accounts shall be designated by the underwriters, dealers or agents with respect to such debt securities or by us if we offer such debt securities directly. Ownership of beneficial interests in such global security will be limited to participants with the depository or persons that may hold interests through those participants.</w:t>
      </w:r>
    </w:p>
    <w:p>
      <w:pPr>
        <w:spacing w:after="0" w:line="203"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We expect that, under procedures established by DTC, ownership of beneficial interests in any global security for which DTC is the depository will be shown on, and the transfer of that ownership will be effected only through, records maintained by DTC or its nominee, with respect to beneficial interests of participants with the depository, and records of participants, with respect to beneficial interests of persons who hold through participants with the depository. Neither we nor the trustee will have any responsibility or liability for any aspect of the records of DTC or for maintaining, supervising or reviewing any records of DTC or any of its participants relating to beneficial ownership interests in the debt securities. The laws of some states require that certain purchasers of securities take physical delivery of such securities in definitive form. Such limits and laws may impair the ability to own, pledge or transfer beneficial interest in a global security.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So long as the depository for a global security or its nominee is the registered owner of such global security, such depository or such nominee, as the case may be, will be considered the sole owner or holder of the debt securities represented by the global security for all purposes under the applicable indenture. Except as described below or in the applicable prospectus supplement, owners of beneficial interest in a global security will not be entitled to have any of the individual debt securities represented by such global security registered in their names, will not receive or be entitled to receive physical delivery of any such debt securities in definitive form and will not be considered the owners or holders thereof under the applicable indenture. Beneficial owners of debt securities evidenced by a global security will not be considered the owners or holders thereof under the applicable indenture for any purpose, including with respect to the giving of any direction, instructions or approvals to the trustee under the indenture. Accordingly, each person owning a beneficial interest in a global security with respect to which DTC is the depository must rely on the procedures of DTC and, if such person is not a participant with the depository, on the procedures of the participant through which such person owns its interests, to exercise any rights of a holder under the applicable indenture. We understand that, under existing industry practice, if DTC requests any action of holders or if an owner of a beneficial interest in a global security desires to give or take any action which a holder is entitled to give or take under the applicable indenture, DTC would authorize the participants holding the relevant beneficial interest to give or take such action, and such participants would authorize beneficial owners through such participants to give or take such actions or would otherwise act upon the instructions of beneficial owners holding through them.</w:t>
      </w:r>
    </w:p>
    <w:p>
      <w:pPr>
        <w:spacing w:after="0" w:line="203"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Payments of principal of, and any premium or make-whole amount, and interest on, individual debt securities represented by a global security registered in the name of a depository or its nominee will be made to or at the direction of the depository or its nominee, as the case may be, as the registered owner of the global security under the applicable indenture. Under the terms of the applicable indenture, we and the trustee may treat the persons in whose name debt securities, including a global security, are registered as the owners thereof for the purpose of receiving such payments. Consequently, neither we nor the trustee have or will have any responsibility or liability for the payment of such amounts to beneficial owners of debt securities including principal, any premium or make-whole amount, or interest. We believe, however, that it is currently the policy of DTC to immediately credit the accounts of relevant participants with such payments, in amounts proportionate to their respective holdings of beneficial interests in the relevant global security as shown on the records of DTC or its nominee. We also expect that payments by participants to owners of beneficial interests in such global security held through such participants will be governed by standing instructions and customary practices, as is the case with securities held for the account of customers in bearer form or registered in street name, and will be the responsibility of such participants. Redemption notices with respect to any debt securities represented by a global security will be sent to the depository or its nominee. If less than all of the debt securities of any series are to be redeemed, we expect the depository to determine the amount of the interest of each participant in such debt securities to be redeemed to be determined by lot. Neither we, the trustee, any paying agent nor the security registrar for such debt securities will have any responsibility or liability for any aspect of the records relating to or payments made on account of beneficial ownership interests in the global security for such debt securities or for maintaining any records with respect thereto.</w:t>
      </w:r>
    </w:p>
    <w:p>
      <w:pPr>
        <w:spacing w:after="0" w:line="215" w:lineRule="exact"/>
        <w:rPr>
          <w:sz w:val="20"/>
          <w:szCs w:val="20"/>
          <w:color w:val="auto"/>
        </w:rPr>
      </w:pPr>
    </w:p>
    <w:p>
      <w:pPr>
        <w:ind w:right="80" w:firstLine="456"/>
        <w:spacing w:after="0"/>
        <w:rPr>
          <w:sz w:val="20"/>
          <w:szCs w:val="20"/>
          <w:color w:val="auto"/>
        </w:rPr>
      </w:pPr>
      <w:r>
        <w:rPr>
          <w:rFonts w:ascii="Arial" w:cs="Arial" w:eastAsia="Arial" w:hAnsi="Arial"/>
          <w:sz w:val="18"/>
          <w:szCs w:val="18"/>
          <w:color w:val="auto"/>
        </w:rPr>
        <w:t>Neither we nor the trustee will be liable for any delay by the holders of a global security or the depository in identifying the beneficial owners of debt securities, and we and the trustee may conclusively rely on, and will be protected in relying on, instructions from the holder of a global security or the depository for all purposes. The rules applicable to DTC and its participants are on file with the SEC.</w:t>
      </w:r>
    </w:p>
    <w:p>
      <w:pPr>
        <w:spacing w:after="0" w:line="203" w:lineRule="exact"/>
        <w:rPr>
          <w:sz w:val="20"/>
          <w:szCs w:val="20"/>
          <w:color w:val="auto"/>
        </w:rPr>
      </w:pPr>
    </w:p>
    <w:p>
      <w:pPr>
        <w:ind w:right="520" w:firstLine="456"/>
        <w:spacing w:after="0" w:line="246" w:lineRule="auto"/>
        <w:rPr>
          <w:sz w:val="20"/>
          <w:szCs w:val="20"/>
          <w:color w:val="auto"/>
        </w:rPr>
      </w:pPr>
      <w:r>
        <w:rPr>
          <w:rFonts w:ascii="Arial" w:cs="Arial" w:eastAsia="Arial" w:hAnsi="Arial"/>
          <w:sz w:val="18"/>
          <w:szCs w:val="18"/>
          <w:color w:val="auto"/>
        </w:rPr>
        <w:t>If a depository for any debt securities is at any time unwilling, unable or ineligible to continue as depository and we do not appoint a successor depository within 90 days, we will issue individual debt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securities in exchange for the global security representing such debt securities. In addition, we may at any time and at our sole discretion, subject to any limitations described in the applicable prospectus supplement relating to such debt securities, determine not to have any of such debt securities represented by one or more global securities and in such event will issue individual debt securities in exchange for the global security or securities representing such debt securities. Individual debt securities so issued will be issued in denominations of $1,000 and integral multiples of $1,000.</w:t>
      </w:r>
    </w:p>
    <w:p>
      <w:pPr>
        <w:spacing w:after="0" w:line="203"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color w:val="auto"/>
        </w:rPr>
        <w:t>The debt securities of a series may also be issued in whole or in part in the form of one or more bearer global securities that will be deposited with a depository, or with a nominee for such depository, identified in the applicable prospectus supplement. Any such bearer global securities may be issued in temporary or permanent form. The specific terms and procedures, including the specific terms of the depositary arrangement, with respect to any portion of a series of debt securities to be represented by one or more bearer global securities will be described in the applicable prospectus supplement.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Recourse</w:t>
      </w:r>
    </w:p>
    <w:p>
      <w:pPr>
        <w:spacing w:after="0" w:line="99" w:lineRule="exact"/>
        <w:rPr>
          <w:sz w:val="20"/>
          <w:szCs w:val="20"/>
          <w:color w:val="auto"/>
        </w:rPr>
      </w:pPr>
    </w:p>
    <w:p>
      <w:pPr>
        <w:ind w:right="60" w:firstLine="456"/>
        <w:spacing w:after="0" w:line="246" w:lineRule="auto"/>
        <w:rPr>
          <w:sz w:val="20"/>
          <w:szCs w:val="20"/>
          <w:color w:val="auto"/>
        </w:rPr>
      </w:pPr>
      <w:r>
        <w:rPr>
          <w:rFonts w:ascii="Arial" w:cs="Arial" w:eastAsia="Arial" w:hAnsi="Arial"/>
          <w:sz w:val="18"/>
          <w:szCs w:val="18"/>
          <w:color w:val="auto"/>
        </w:rPr>
        <w:t>There is no recourse under any obligation, covenant or agreement in the applicable indenture or with respect to any security against any of our or our successor’s past, present or future stockholders, employees, officers or directors.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WARRANTS</w:t>
      </w:r>
    </w:p>
    <w:p>
      <w:pPr>
        <w:spacing w:after="0" w:line="342"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right="260" w:firstLine="456"/>
        <w:spacing w:after="0"/>
        <w:rPr>
          <w:sz w:val="20"/>
          <w:szCs w:val="20"/>
          <w:color w:val="auto"/>
        </w:rPr>
      </w:pPr>
      <w:r>
        <w:rPr>
          <w:rFonts w:ascii="Arial" w:cs="Arial" w:eastAsia="Arial" w:hAnsi="Arial"/>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203" w:lineRule="exact"/>
        <w:rPr>
          <w:sz w:val="20"/>
          <w:szCs w:val="20"/>
          <w:color w:val="auto"/>
        </w:rPr>
      </w:pPr>
    </w:p>
    <w:p>
      <w:pPr>
        <w:ind w:right="40" w:firstLine="456"/>
        <w:spacing w:after="0"/>
        <w:rPr>
          <w:sz w:val="20"/>
          <w:szCs w:val="20"/>
          <w:color w:val="auto"/>
        </w:rPr>
      </w:pPr>
      <w:r>
        <w:rPr>
          <w:rFonts w:ascii="Arial" w:cs="Arial" w:eastAsia="Arial" w:hAnsi="Arial"/>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describe in the applicable prospectus supplement the terms of the series of warrants, including:</w:t>
      </w:r>
    </w:p>
    <w:p>
      <w:pPr>
        <w:spacing w:after="0" w:line="239"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currency for which the warrants may be purchased;</w:t>
      </w:r>
    </w:p>
    <w:p>
      <w:pPr>
        <w:spacing w:after="0" w:line="36" w:lineRule="exact"/>
        <w:rPr>
          <w:rFonts w:ascii="Arial" w:cs="Arial" w:eastAsia="Arial" w:hAnsi="Arial"/>
          <w:sz w:val="18"/>
          <w:szCs w:val="18"/>
          <w:color w:val="auto"/>
        </w:rPr>
      </w:pPr>
    </w:p>
    <w:p>
      <w:pPr>
        <w:ind w:left="900" w:right="80" w:hanging="446"/>
        <w:spacing w:after="0" w:line="246"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21"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related securities will be separately transferable;</w:t>
      </w:r>
    </w:p>
    <w:p>
      <w:pPr>
        <w:spacing w:after="0" w:line="36" w:lineRule="exact"/>
        <w:rPr>
          <w:rFonts w:ascii="Arial" w:cs="Arial" w:eastAsia="Arial" w:hAnsi="Arial"/>
          <w:sz w:val="18"/>
          <w:szCs w:val="18"/>
          <w:color w:val="auto"/>
        </w:rPr>
      </w:pPr>
    </w:p>
    <w:p>
      <w:pPr>
        <w:ind w:left="900" w:right="420" w:hanging="446"/>
        <w:spacing w:after="0" w:line="246"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21" w:lineRule="exact"/>
        <w:rPr>
          <w:rFonts w:ascii="Arial" w:cs="Arial" w:eastAsia="Arial" w:hAnsi="Arial"/>
          <w:sz w:val="18"/>
          <w:szCs w:val="18"/>
          <w:color w:val="auto"/>
        </w:rPr>
      </w:pPr>
    </w:p>
    <w:p>
      <w:pPr>
        <w:ind w:left="900" w:right="6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27"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 and the warrants;</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provisions for changes to or adjustments in the exercise price or number of securities issuable upon exercise of the warrants;</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periods during which, and places at which, the warrants are exercisable;</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manner of exercise;</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manner in which the warrant agreement and warrants may be modified;</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federal income tax consequences of holding or exercising the warrants;</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3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207"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229" w:lineRule="exact"/>
        <w:rPr>
          <w:sz w:val="20"/>
          <w:szCs w:val="20"/>
          <w:color w:val="auto"/>
        </w:rPr>
      </w:pPr>
    </w:p>
    <w:p>
      <w:pPr>
        <w:ind w:left="900" w:right="200" w:hanging="446"/>
        <w:spacing w:after="0" w:line="246"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21"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provisions of the governing unit agreement;</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price or prices at which such units will be issued;</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applicable United States federal income tax considerations relating to the units;</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 and</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terms of the units and of the securities comprising the units.</w:t>
      </w:r>
    </w:p>
    <w:p>
      <w:pPr>
        <w:spacing w:after="0" w:line="212" w:lineRule="exact"/>
        <w:rPr>
          <w:sz w:val="20"/>
          <w:szCs w:val="20"/>
          <w:color w:val="auto"/>
        </w:rPr>
      </w:pPr>
    </w:p>
    <w:p>
      <w:pPr>
        <w:jc w:val="both"/>
        <w:ind w:right="100" w:firstLine="456"/>
        <w:spacing w:after="0"/>
        <w:rPr>
          <w:sz w:val="20"/>
          <w:szCs w:val="20"/>
          <w:color w:val="auto"/>
        </w:rPr>
      </w:pPr>
      <w:r>
        <w:rPr>
          <w:rFonts w:ascii="Arial" w:cs="Arial" w:eastAsia="Arial" w:hAnsi="Arial"/>
          <w:sz w:val="18"/>
          <w:szCs w:val="18"/>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99" w:lineRule="exact"/>
        <w:rPr>
          <w:sz w:val="20"/>
          <w:szCs w:val="20"/>
          <w:color w:val="auto"/>
        </w:rPr>
      </w:pPr>
    </w:p>
    <w:p>
      <w:pPr>
        <w:ind w:right="220" w:firstLine="456"/>
        <w:spacing w:after="0" w:line="246" w:lineRule="auto"/>
        <w:rPr>
          <w:sz w:val="20"/>
          <w:szCs w:val="20"/>
          <w:color w:val="auto"/>
        </w:rPr>
      </w:pPr>
      <w:r>
        <w:rPr>
          <w:rFonts w:ascii="Arial" w:cs="Arial" w:eastAsia="Arial" w:hAnsi="Arial"/>
          <w:sz w:val="18"/>
          <w:szCs w:val="18"/>
          <w:color w:val="auto"/>
        </w:rPr>
        <w:t>We may issue units in such amounts and in as many distinct series as we wish. This section summarizes terms of the units that apply generally to all series. Most of the financial and other specific terms of your series will be described in the applicable prospectus supplement.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Agreements</w:t>
      </w:r>
    </w:p>
    <w:p>
      <w:pPr>
        <w:spacing w:after="0" w:line="85" w:lineRule="exact"/>
        <w:rPr>
          <w:sz w:val="20"/>
          <w:szCs w:val="20"/>
          <w:color w:val="auto"/>
        </w:rPr>
      </w:pPr>
    </w:p>
    <w:p>
      <w:pPr>
        <w:jc w:val="both"/>
        <w:ind w:right="60" w:firstLine="456"/>
        <w:spacing w:after="0"/>
        <w:rPr>
          <w:sz w:val="20"/>
          <w:szCs w:val="20"/>
          <w:color w:val="auto"/>
        </w:rPr>
      </w:pPr>
      <w:r>
        <w:rPr>
          <w:rFonts w:ascii="Arial" w:cs="Arial" w:eastAsia="Arial" w:hAnsi="Arial"/>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provisions will generally apply to all unit agreements unless otherwise stated in the applicable prospectus supplement: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Modification without Consent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applicable unit agent may amend any unit or unit agreement without the consent of any holder:</w:t>
      </w:r>
    </w:p>
    <w:p>
      <w:pPr>
        <w:spacing w:after="0" w:line="239"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cure any ambiguity, including modifying any provisions of the governing unit agreement that differ from those described below;</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correct or supplement any defective or inconsistent provision; or</w:t>
      </w:r>
    </w:p>
    <w:p>
      <w:pPr>
        <w:spacing w:after="0" w:line="36" w:lineRule="exact"/>
        <w:rPr>
          <w:rFonts w:ascii="Arial" w:cs="Arial" w:eastAsia="Arial" w:hAnsi="Arial"/>
          <w:sz w:val="18"/>
          <w:szCs w:val="18"/>
          <w:color w:val="auto"/>
        </w:rPr>
      </w:pPr>
    </w:p>
    <w:p>
      <w:pPr>
        <w:ind w:left="900" w:right="20" w:hanging="446"/>
        <w:spacing w:after="0" w:line="246"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make any other change that we believe is necessary or desirable and will not adversely affect the interests of the affected holders in any material respect.</w:t>
      </w:r>
    </w:p>
    <w:p>
      <w:pPr>
        <w:spacing w:after="0" w:line="197" w:lineRule="exact"/>
        <w:rPr>
          <w:sz w:val="20"/>
          <w:szCs w:val="20"/>
          <w:color w:val="auto"/>
        </w:rPr>
      </w:pPr>
    </w:p>
    <w:p>
      <w:pPr>
        <w:ind w:right="220" w:firstLine="456"/>
        <w:spacing w:after="0" w:line="239" w:lineRule="auto"/>
        <w:rPr>
          <w:sz w:val="20"/>
          <w:szCs w:val="20"/>
          <w:color w:val="auto"/>
        </w:rPr>
      </w:pPr>
      <w:r>
        <w:rPr>
          <w:rFonts w:ascii="Arial" w:cs="Arial" w:eastAsia="Arial" w:hAnsi="Arial"/>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Modification with Consent</w:t>
      </w:r>
    </w:p>
    <w:p>
      <w:pPr>
        <w:spacing w:after="0" w:line="85"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We may not amend any particular unit or a unit agreement with respect to any particular unit unless we obtain the consent of the holder of that unit, if the amendment would:</w:t>
      </w:r>
    </w:p>
    <w:p>
      <w:pPr>
        <w:spacing w:after="0" w:line="224" w:lineRule="exact"/>
        <w:rPr>
          <w:sz w:val="20"/>
          <w:szCs w:val="20"/>
          <w:color w:val="auto"/>
        </w:rPr>
      </w:pPr>
    </w:p>
    <w:p>
      <w:pPr>
        <w:ind w:left="900" w:right="40" w:hanging="446"/>
        <w:spacing w:after="0" w:line="246"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21" w:lineRule="exact"/>
        <w:rPr>
          <w:rFonts w:ascii="Arial" w:cs="Arial" w:eastAsia="Arial" w:hAnsi="Arial"/>
          <w:sz w:val="18"/>
          <w:szCs w:val="18"/>
          <w:color w:val="auto"/>
        </w:rPr>
      </w:pPr>
    </w:p>
    <w:p>
      <w:pPr>
        <w:ind w:left="900" w:right="160" w:hanging="446"/>
        <w:spacing w:after="0" w:line="246"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a particular unit agreement and the units issued under that agreement would require the following approval:</w:t>
      </w:r>
    </w:p>
    <w:p>
      <w:pPr>
        <w:spacing w:after="0" w:line="239" w:lineRule="exact"/>
        <w:rPr>
          <w:sz w:val="20"/>
          <w:szCs w:val="20"/>
          <w:color w:val="auto"/>
        </w:rPr>
      </w:pPr>
    </w:p>
    <w:p>
      <w:pPr>
        <w:ind w:left="900" w:right="100" w:hanging="446"/>
        <w:spacing w:after="0" w:line="246"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change affects only the units of a particular series issued under that agreement, the change must be approved by the holders of a majority of the outstanding units of that series; or</w:t>
      </w:r>
    </w:p>
    <w:p>
      <w:pPr>
        <w:spacing w:after="0" w:line="21" w:lineRule="exact"/>
        <w:rPr>
          <w:rFonts w:ascii="Arial" w:cs="Arial" w:eastAsia="Arial" w:hAnsi="Arial"/>
          <w:sz w:val="18"/>
          <w:szCs w:val="18"/>
          <w:color w:val="auto"/>
        </w:rPr>
      </w:pPr>
    </w:p>
    <w:p>
      <w:pPr>
        <w:ind w:left="900" w:right="28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203" w:lineRule="exact"/>
        <w:rPr>
          <w:sz w:val="20"/>
          <w:szCs w:val="20"/>
          <w:color w:val="auto"/>
        </w:rPr>
      </w:pPr>
    </w:p>
    <w:p>
      <w:pPr>
        <w:ind w:right="40" w:firstLine="456"/>
        <w:spacing w:after="0" w:line="246" w:lineRule="auto"/>
        <w:rPr>
          <w:sz w:val="20"/>
          <w:szCs w:val="20"/>
          <w:color w:val="auto"/>
        </w:rPr>
      </w:pPr>
      <w:r>
        <w:rPr>
          <w:rFonts w:ascii="Arial" w:cs="Arial" w:eastAsia="Arial" w:hAnsi="Arial"/>
          <w:sz w:val="18"/>
          <w:szCs w:val="18"/>
          <w:color w:val="auto"/>
        </w:rPr>
        <w:t>These provisions regarding changes with majority approval also apply to changes affecting any securities issued under a unit agreement, as the governing document.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 Agreements Will Not Be Qualified under Trust Indenture Act</w:t>
      </w:r>
    </w:p>
    <w:p>
      <w:pPr>
        <w:spacing w:after="0" w:line="85" w:lineRule="exact"/>
        <w:rPr>
          <w:sz w:val="20"/>
          <w:szCs w:val="20"/>
          <w:color w:val="auto"/>
        </w:rPr>
      </w:pPr>
    </w:p>
    <w:p>
      <w:pPr>
        <w:ind w:right="80" w:firstLine="456"/>
        <w:spacing w:after="0" w:line="275" w:lineRule="auto"/>
        <w:rPr>
          <w:sz w:val="20"/>
          <w:szCs w:val="20"/>
          <w:color w:val="auto"/>
        </w:rPr>
      </w:pPr>
      <w:r>
        <w:rPr>
          <w:rFonts w:ascii="Arial" w:cs="Arial" w:eastAsia="Arial" w:hAnsi="Arial"/>
          <w:sz w:val="17"/>
          <w:szCs w:val="17"/>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Mergers and Similar Transactions Permitted; No Restrictive Covenants or Events of Default</w:t>
      </w:r>
    </w:p>
    <w:p>
      <w:pPr>
        <w:spacing w:after="0" w:line="99" w:lineRule="exact"/>
        <w:rPr>
          <w:sz w:val="20"/>
          <w:szCs w:val="20"/>
          <w:color w:val="auto"/>
        </w:rPr>
      </w:pPr>
    </w:p>
    <w:p>
      <w:pPr>
        <w:ind w:right="100" w:firstLine="456"/>
        <w:spacing w:after="0" w:line="246" w:lineRule="auto"/>
        <w:rPr>
          <w:sz w:val="20"/>
          <w:szCs w:val="20"/>
          <w:color w:val="auto"/>
        </w:rPr>
      </w:pPr>
      <w:r>
        <w:rPr>
          <w:rFonts w:ascii="Arial" w:cs="Arial" w:eastAsia="Arial" w:hAnsi="Arial"/>
          <w:sz w:val="18"/>
          <w:szCs w:val="18"/>
          <w:color w:val="auto"/>
        </w:rPr>
        <w:t>The unit agreements will not restrict our ability to merge or consolidate with, or sell our assets to, another corporation or other entity or to engage in any other transactions. If at any time we merge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97" w:lineRule="exact"/>
        <w:rPr>
          <w:sz w:val="20"/>
          <w:szCs w:val="20"/>
          <w:color w:val="auto"/>
        </w:rPr>
      </w:pPr>
    </w:p>
    <w:p>
      <w:pPr>
        <w:ind w:right="200" w:firstLine="913"/>
        <w:spacing w:after="0" w:line="246" w:lineRule="auto"/>
        <w:rPr>
          <w:sz w:val="20"/>
          <w:szCs w:val="20"/>
          <w:color w:val="auto"/>
        </w:rPr>
      </w:pPr>
      <w:r>
        <w:rPr>
          <w:rFonts w:ascii="Arial" w:cs="Arial" w:eastAsia="Arial" w:hAnsi="Arial"/>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Governing Law</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unit agreements and the units will be governed by Delaware law.</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Form, Exchange and Transfer</w:t>
      </w:r>
    </w:p>
    <w:p>
      <w:pPr>
        <w:spacing w:after="0" w:line="85"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Unless the accompanying prospectus supplement states otherwise, 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203" w:lineRule="exact"/>
        <w:rPr>
          <w:sz w:val="20"/>
          <w:szCs w:val="20"/>
          <w:color w:val="auto"/>
        </w:rPr>
      </w:pPr>
    </w:p>
    <w:p>
      <w:pPr>
        <w:ind w:right="180" w:firstLine="456"/>
        <w:spacing w:after="0" w:line="246" w:lineRule="auto"/>
        <w:rPr>
          <w:sz w:val="20"/>
          <w:szCs w:val="20"/>
          <w:color w:val="auto"/>
        </w:rPr>
      </w:pPr>
      <w:r>
        <w:rPr>
          <w:rFonts w:ascii="Arial" w:cs="Arial" w:eastAsia="Arial" w:hAnsi="Arial"/>
          <w:sz w:val="18"/>
          <w:szCs w:val="18"/>
          <w:color w:val="auto"/>
        </w:rPr>
        <w:t>Unless the accompanying prospectus supplement states otherwise, each unit and all securities comprising the unit will be issued in the same form.</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issue any units in registered, non-global form, the following will apply to them.</w:t>
      </w:r>
    </w:p>
    <w:p>
      <w:pPr>
        <w:spacing w:after="0" w:line="212" w:lineRule="exact"/>
        <w:rPr>
          <w:sz w:val="20"/>
          <w:szCs w:val="20"/>
          <w:color w:val="auto"/>
        </w:rPr>
      </w:pPr>
    </w:p>
    <w:p>
      <w:pPr>
        <w:ind w:right="60" w:firstLine="456"/>
        <w:spacing w:after="0" w:line="246" w:lineRule="auto"/>
        <w:rPr>
          <w:sz w:val="20"/>
          <w:szCs w:val="20"/>
          <w:color w:val="auto"/>
        </w:rPr>
      </w:pPr>
      <w:r>
        <w:rPr>
          <w:rFonts w:ascii="Arial" w:cs="Arial" w:eastAsia="Arial" w:hAnsi="Arial"/>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224" w:lineRule="exact"/>
        <w:rPr>
          <w:sz w:val="20"/>
          <w:szCs w:val="20"/>
          <w:color w:val="auto"/>
        </w:rPr>
      </w:pPr>
    </w:p>
    <w:p>
      <w:pPr>
        <w:ind w:left="900" w:right="460" w:hanging="446"/>
        <w:spacing w:after="0" w:line="246"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21" w:lineRule="exact"/>
        <w:rPr>
          <w:rFonts w:ascii="Arial" w:cs="Arial" w:eastAsia="Arial" w:hAnsi="Arial"/>
          <w:sz w:val="18"/>
          <w:szCs w:val="18"/>
          <w:color w:val="auto"/>
        </w:rPr>
      </w:pPr>
    </w:p>
    <w:p>
      <w:pPr>
        <w:ind w:left="900" w:right="120" w:hanging="446"/>
        <w:spacing w:after="0" w:line="23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26" w:lineRule="exact"/>
        <w:rPr>
          <w:rFonts w:ascii="Arial" w:cs="Arial" w:eastAsia="Arial" w:hAnsi="Arial"/>
          <w:sz w:val="18"/>
          <w:szCs w:val="18"/>
          <w:color w:val="auto"/>
        </w:rPr>
      </w:pPr>
    </w:p>
    <w:p>
      <w:pPr>
        <w:ind w:left="900" w:hanging="446"/>
        <w:spacing w:after="0" w:line="23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the depositary will be entitled to transfer or exchange a unit in global form, since it will be the sole holder of the unit.</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Payments and Notices</w:t>
      </w:r>
    </w:p>
    <w:p>
      <w:pPr>
        <w:spacing w:after="0" w:line="85" w:lineRule="exact"/>
        <w:rPr>
          <w:sz w:val="20"/>
          <w:szCs w:val="20"/>
          <w:color w:val="auto"/>
        </w:rPr>
      </w:pPr>
    </w:p>
    <w:p>
      <w:pPr>
        <w:ind w:right="100" w:firstLine="456"/>
        <w:spacing w:after="0" w:line="246" w:lineRule="auto"/>
        <w:rPr>
          <w:sz w:val="20"/>
          <w:szCs w:val="20"/>
          <w:color w:val="auto"/>
        </w:rPr>
      </w:pPr>
      <w:r>
        <w:rPr>
          <w:rFonts w:ascii="Arial" w:cs="Arial" w:eastAsia="Arial" w:hAnsi="Arial"/>
          <w:sz w:val="18"/>
          <w:szCs w:val="18"/>
          <w:color w:val="auto"/>
        </w:rPr>
        <w:t>In making payments and giving notices with respect to our units, we will follow the procedures as described in the applicable prospectus supplement.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sell securities:</w:t>
      </w:r>
    </w:p>
    <w:p>
      <w:pPr>
        <w:spacing w:after="0" w:line="239"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underwriters;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directly to purchasers; or</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a combination of any of these methods or any other method permitted by law.</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securityholders.</w:t>
      </w:r>
    </w:p>
    <w:p>
      <w:pPr>
        <w:spacing w:after="0" w:line="212"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239"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12" w:lineRule="exact"/>
        <w:rPr>
          <w:sz w:val="20"/>
          <w:szCs w:val="20"/>
          <w:color w:val="auto"/>
        </w:rPr>
      </w:pPr>
    </w:p>
    <w:p>
      <w:pPr>
        <w:ind w:right="400" w:firstLine="456"/>
        <w:spacing w:after="0" w:line="246"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224"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12" w:lineRule="exact"/>
        <w:rPr>
          <w:sz w:val="20"/>
          <w:szCs w:val="20"/>
          <w:color w:val="auto"/>
        </w:rPr>
      </w:pPr>
    </w:p>
    <w:p>
      <w:pPr>
        <w:ind w:right="300" w:firstLine="456"/>
        <w:spacing w:after="0"/>
        <w:rPr>
          <w:sz w:val="20"/>
          <w:szCs w:val="20"/>
          <w:color w:val="auto"/>
        </w:rPr>
      </w:pPr>
      <w:r>
        <w:rPr>
          <w:rFonts w:ascii="Arial" w:cs="Arial" w:eastAsia="Arial" w:hAnsi="Arial"/>
          <w:sz w:val="18"/>
          <w:szCs w:val="18"/>
          <w:color w:val="auto"/>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spacing w:after="0" w:line="203" w:lineRule="exact"/>
        <w:rPr>
          <w:sz w:val="20"/>
          <w:szCs w:val="20"/>
          <w:color w:val="auto"/>
        </w:rPr>
      </w:pPr>
    </w:p>
    <w:p>
      <w:pPr>
        <w:ind w:right="60" w:firstLine="456"/>
        <w:spacing w:after="0"/>
        <w:rPr>
          <w:sz w:val="20"/>
          <w:szCs w:val="20"/>
          <w:color w:val="auto"/>
        </w:rPr>
      </w:pPr>
      <w:r>
        <w:rPr>
          <w:rFonts w:ascii="Arial" w:cs="Arial" w:eastAsia="Arial" w:hAnsi="Arial"/>
          <w:sz w:val="18"/>
          <w:szCs w:val="18"/>
          <w:color w:val="auto"/>
        </w:rPr>
        <w:t>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firstLine="456"/>
        <w:spacing w:after="0"/>
        <w:rPr>
          <w:sz w:val="20"/>
          <w:szCs w:val="20"/>
          <w:color w:val="auto"/>
        </w:rPr>
      </w:pPr>
      <w:r>
        <w:rPr>
          <w:rFonts w:ascii="Arial" w:cs="Arial" w:eastAsia="Arial" w:hAnsi="Arial"/>
          <w:sz w:val="18"/>
          <w:szCs w:val="18"/>
          <w:color w:val="auto"/>
        </w:rPr>
        <w:t>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203"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202" w:lineRule="exact"/>
        <w:rPr>
          <w:sz w:val="20"/>
          <w:szCs w:val="20"/>
          <w:color w:val="auto"/>
        </w:rPr>
      </w:pPr>
    </w:p>
    <w:p>
      <w:pPr>
        <w:ind w:right="160" w:firstLine="456"/>
        <w:spacing w:after="0"/>
        <w:rPr>
          <w:sz w:val="20"/>
          <w:szCs w:val="20"/>
          <w:color w:val="auto"/>
        </w:rPr>
      </w:pPr>
      <w:r>
        <w:rPr>
          <w:rFonts w:ascii="Arial" w:cs="Arial" w:eastAsia="Arial" w:hAnsi="Arial"/>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203"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230" w:lineRule="exact"/>
        <w:rPr>
          <w:sz w:val="20"/>
          <w:szCs w:val="20"/>
          <w:color w:val="auto"/>
        </w:rPr>
      </w:pPr>
    </w:p>
    <w:p>
      <w:pPr>
        <w:ind w:left="900" w:right="220" w:hanging="325"/>
        <w:spacing w:after="0" w:line="246"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21" w:lineRule="exact"/>
        <w:rPr>
          <w:rFonts w:ascii="Arial" w:cs="Arial" w:eastAsia="Arial" w:hAnsi="Arial"/>
          <w:sz w:val="18"/>
          <w:szCs w:val="18"/>
          <w:color w:val="auto"/>
        </w:rPr>
      </w:pPr>
    </w:p>
    <w:p>
      <w:pPr>
        <w:ind w:left="900" w:right="6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203" w:lineRule="exact"/>
        <w:rPr>
          <w:sz w:val="20"/>
          <w:szCs w:val="20"/>
          <w:color w:val="auto"/>
        </w:rPr>
      </w:pPr>
    </w:p>
    <w:p>
      <w:pPr>
        <w:ind w:right="40" w:firstLine="456"/>
        <w:spacing w:after="0" w:line="238" w:lineRule="auto"/>
        <w:rPr>
          <w:sz w:val="20"/>
          <w:szCs w:val="20"/>
          <w:color w:val="auto"/>
        </w:rPr>
      </w:pPr>
      <w:r>
        <w:rPr>
          <w:rFonts w:ascii="Arial" w:cs="Arial" w:eastAsia="Arial" w:hAnsi="Arial"/>
          <w:sz w:val="18"/>
          <w:szCs w:val="18"/>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203" w:lineRule="exact"/>
        <w:rPr>
          <w:sz w:val="20"/>
          <w:szCs w:val="20"/>
          <w:color w:val="auto"/>
        </w:rPr>
      </w:pPr>
    </w:p>
    <w:p>
      <w:pPr>
        <w:ind w:right="120" w:firstLine="456"/>
        <w:spacing w:after="0"/>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203" w:lineRule="exact"/>
        <w:rPr>
          <w:sz w:val="20"/>
          <w:szCs w:val="20"/>
          <w:color w:val="auto"/>
        </w:rPr>
      </w:pPr>
    </w:p>
    <w:p>
      <w:pPr>
        <w:jc w:val="both"/>
        <w:ind w:right="120" w:firstLine="456"/>
        <w:spacing w:after="0"/>
        <w:rPr>
          <w:sz w:val="20"/>
          <w:szCs w:val="20"/>
          <w:color w:val="auto"/>
        </w:rPr>
      </w:pPr>
      <w:r>
        <w:rPr>
          <w:rFonts w:ascii="Arial" w:cs="Arial" w:eastAsia="Arial" w:hAnsi="Arial"/>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205"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207" w:lineRule="exact"/>
        <w:rPr>
          <w:sz w:val="20"/>
          <w:szCs w:val="20"/>
          <w:color w:val="auto"/>
        </w:rPr>
      </w:pPr>
    </w:p>
    <w:p>
      <w:pPr>
        <w:ind w:right="240" w:firstLine="456"/>
        <w:spacing w:after="0" w:line="237" w:lineRule="auto"/>
        <w:rPr>
          <w:sz w:val="20"/>
          <w:szCs w:val="20"/>
          <w:color w:val="auto"/>
        </w:rPr>
      </w:pPr>
      <w:r>
        <w:rPr>
          <w:rFonts w:ascii="Arial" w:cs="Arial" w:eastAsia="Arial" w:hAnsi="Arial"/>
          <w:sz w:val="18"/>
          <w:szCs w:val="18"/>
          <w:color w:val="auto"/>
        </w:rPr>
        <w:t>Under Rule 15c6-1 of the Exchange Act, trades in the secondary market generally are required to settle in three business days, unless the parties to any such trade expressly agree otherwise. The applicable prospectus supplement may provide that the original issue date for your securities may be more than three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205"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97" w:lineRule="exact"/>
        <w:rPr>
          <w:sz w:val="20"/>
          <w:szCs w:val="20"/>
          <w:color w:val="auto"/>
        </w:rPr>
      </w:pPr>
    </w:p>
    <w:p>
      <w:pPr>
        <w:ind w:right="360" w:firstLine="456"/>
        <w:spacing w:after="0"/>
        <w:rPr>
          <w:sz w:val="20"/>
          <w:szCs w:val="20"/>
          <w:color w:val="auto"/>
        </w:rPr>
      </w:pPr>
      <w:r>
        <w:rPr>
          <w:rFonts w:ascii="Arial" w:cs="Arial" w:eastAsia="Arial" w:hAnsi="Arial"/>
          <w:sz w:val="18"/>
          <w:szCs w:val="18"/>
          <w:color w:val="auto"/>
        </w:rPr>
        <w:t>In compliance with the guidelines of the Financial Industry Regulatory Authority, Inc.,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w:t>
      </w:r>
    </w:p>
    <w:p>
      <w:pPr>
        <w:spacing w:after="0" w:line="212" w:lineRule="exact"/>
        <w:rPr>
          <w:sz w:val="20"/>
          <w:szCs w:val="20"/>
          <w:color w:val="auto"/>
        </w:rPr>
      </w:pPr>
    </w:p>
    <w:p>
      <w:pPr>
        <w:ind w:right="160" w:firstLine="456"/>
        <w:spacing w:after="0" w:line="246"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97" w:lineRule="exact"/>
        <w:rPr>
          <w:sz w:val="20"/>
          <w:szCs w:val="20"/>
          <w:color w:val="auto"/>
        </w:rPr>
      </w:pPr>
    </w:p>
    <w:p>
      <w:pPr>
        <w:jc w:val="center"/>
        <w:ind w:right="120"/>
        <w:spacing w:after="0" w:line="418" w:lineRule="auto"/>
        <w:rPr>
          <w:sz w:val="20"/>
          <w:szCs w:val="20"/>
          <w:color w:val="auto"/>
        </w:rPr>
      </w:pPr>
      <w:r>
        <w:rPr>
          <w:rFonts w:ascii="Arial" w:cs="Arial" w:eastAsia="Arial" w:hAnsi="Arial"/>
          <w:sz w:val="18"/>
          <w:szCs w:val="18"/>
          <w:color w:val="auto"/>
        </w:rPr>
        <w:t>The anticipated date of delivery of offered securities will be set forth in the applicable prospectus supplement relating to each offer. 36</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jc w:val="both"/>
        <w:ind w:right="120" w:firstLine="456"/>
        <w:spacing w:after="0"/>
        <w:rPr>
          <w:sz w:val="20"/>
          <w:szCs w:val="20"/>
          <w:color w:val="auto"/>
        </w:rPr>
      </w:pPr>
      <w:r>
        <w:rPr>
          <w:rFonts w:ascii="Arial" w:cs="Arial" w:eastAsia="Arial" w:hAnsi="Arial"/>
          <w:sz w:val="18"/>
          <w:szCs w:val="18"/>
          <w:color w:val="auto"/>
        </w:rPr>
        <w:t>Certain legal matters in connection with this offering will be passed upon for us by Goodwin Procter LLP, Boston, Massachusetts. Any underwriters will also be advised about the validity of the securities and other legal matters by their own counsel, which will be named in the prospectus supplement.</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 ended December 31, 2016 have been so incorporated in reliance on the report of PricewaterhouseCoopers LLP, an independent registered public accounting firm, given on the authority of said firm as experts in auditing and accounting.</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42"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We are subject to the information requirements of the Exchange Act and, in accordance therewith, file annual, quarterly and special reports, proxy statements and other information with the SEC. You may read and copy any document we file at the SEC’s Public Reference Room at 100 F Street, N.E., Washington, D.C. 20549. You may call the SEC at 1-800-SEC-0330 for further information on the operation of the Public Reference Room. These documents also may be accessed through the SEC’s electronic data gathering, analysis and retrieval system, or EDGAR, via electronic means, including the SEC’s home page on the Internet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03"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stockholder upon request and without charge. Written requests for such copies should be directed to Zafgen, Inc., 175 Portland Street, 4th Floor, Boston, MA 02114, Attention: Secretary, or by telephone request to (617) 622-4003. Our website is located at </w:t>
      </w:r>
      <w:r>
        <w:rPr>
          <w:rFonts w:ascii="Arial" w:cs="Arial" w:eastAsia="Arial" w:hAnsi="Arial"/>
          <w:sz w:val="18"/>
          <w:szCs w:val="18"/>
          <w:i w:val="1"/>
          <w:iCs w:val="1"/>
          <w:color w:val="auto"/>
        </w:rPr>
        <w:t>www.zafgen.com</w:t>
      </w:r>
      <w:r>
        <w:rPr>
          <w:rFonts w:ascii="Arial" w:cs="Arial" w:eastAsia="Arial" w:hAnsi="Arial"/>
          <w:sz w:val="18"/>
          <w:szCs w:val="18"/>
          <w:color w:val="auto"/>
        </w:rPr>
        <w:t>. Information contained on our website is not incorporated by reference into this prospectus and, therefore, is not part of this prospectus or any accompanying prospectus supplement.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342"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The SEC allows us to incorporate by reference the information and reports we file with it,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including all filings made after the date of the filing of this registration statement and prior to the effectiveness of this registration statement, except as to any portion of any future report or document that is not deemed filed under such provisions, until we sell all of the securities:</w:t>
      </w:r>
    </w:p>
    <w:p>
      <w:pPr>
        <w:spacing w:after="0" w:line="230"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2016;</w:t>
      </w:r>
    </w:p>
    <w:p>
      <w:pPr>
        <w:spacing w:after="0" w:line="36" w:lineRule="exact"/>
        <w:rPr>
          <w:rFonts w:ascii="Arial" w:cs="Arial" w:eastAsia="Arial" w:hAnsi="Arial"/>
          <w:sz w:val="18"/>
          <w:szCs w:val="18"/>
          <w:color w:val="auto"/>
        </w:rPr>
      </w:pPr>
    </w:p>
    <w:p>
      <w:pPr>
        <w:ind w:left="900" w:right="8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for the year ended December 31, 2016 from our definitive proxy statement on Schedule 14A (other than information furnished rather than filed), which was filed with the SEC on April 28, 2017;</w:t>
      </w:r>
    </w:p>
    <w:p>
      <w:pPr>
        <w:spacing w:after="0" w:line="27"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Quarterly Reports on Form 10-Q filed with the SEC for the quarters ended March 31, 2017 and June 30, 2017;</w:t>
      </w:r>
    </w:p>
    <w:p>
      <w:pPr>
        <w:spacing w:after="0" w:line="36" w:lineRule="exact"/>
        <w:rPr>
          <w:rFonts w:ascii="Arial" w:cs="Arial" w:eastAsia="Arial" w:hAnsi="Arial"/>
          <w:sz w:val="18"/>
          <w:szCs w:val="18"/>
          <w:color w:val="auto"/>
        </w:rPr>
      </w:pPr>
    </w:p>
    <w:p>
      <w:pPr>
        <w:ind w:left="900" w:right="160" w:hanging="325"/>
        <w:spacing w:after="0" w:line="246"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Current Reports on Form 8-K filed with the SEC on March 9, 2017, May 4, 2017, May 9, 2017, June 23, 2017 and August 8, 2017; and</w:t>
      </w:r>
    </w:p>
    <w:p>
      <w:pPr>
        <w:spacing w:after="0" w:line="21" w:lineRule="exact"/>
        <w:rPr>
          <w:rFonts w:ascii="Arial" w:cs="Arial" w:eastAsia="Arial" w:hAnsi="Arial"/>
          <w:sz w:val="18"/>
          <w:szCs w:val="18"/>
          <w:color w:val="auto"/>
        </w:rPr>
      </w:pPr>
    </w:p>
    <w:p>
      <w:pPr>
        <w:ind w:left="900" w:hanging="325"/>
        <w:spacing w:after="0" w:line="246"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which was filed with the SEC on June 18, 2014, including any amendment or report filed for the purpose of updating such description.</w:t>
      </w:r>
    </w:p>
    <w:p>
      <w:pPr>
        <w:spacing w:after="0" w:line="197" w:lineRule="exact"/>
        <w:rPr>
          <w:sz w:val="20"/>
          <w:szCs w:val="20"/>
          <w:color w:val="auto"/>
        </w:rPr>
      </w:pPr>
    </w:p>
    <w:p>
      <w:pPr>
        <w:ind w:right="320" w:firstLine="456"/>
        <w:spacing w:after="0"/>
        <w:rPr>
          <w:sz w:val="20"/>
          <w:szCs w:val="20"/>
          <w:color w:val="auto"/>
        </w:rPr>
      </w:pPr>
      <w:r>
        <w:rPr>
          <w:rFonts w:ascii="Arial" w:cs="Arial" w:eastAsia="Arial" w:hAnsi="Arial"/>
          <w:sz w:val="18"/>
          <w:szCs w:val="18"/>
          <w:color w:val="auto"/>
        </w:rPr>
        <w:t>Upon request,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exhibits we have specifically incorporated by reference as an exhibit in this prospectus, at no cost by writing or telephoning us at the following address: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Zafgen, Inc., 175 Portland Street, 4th Floor, Boston, MA 02114, Attention: Secretary, or by telephone request to (617) 622-4003.</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is part of a registration statement we filed with the SEC. We have incorporated exhibits into this registration statement.</w:t>
      </w:r>
    </w:p>
    <w:p>
      <w:pPr>
        <w:spacing w:after="0"/>
        <w:rPr>
          <w:sz w:val="20"/>
          <w:szCs w:val="20"/>
          <w:color w:val="auto"/>
        </w:rPr>
      </w:pPr>
      <w:r>
        <w:rPr>
          <w:rFonts w:ascii="Arial" w:cs="Arial" w:eastAsia="Arial" w:hAnsi="Arial"/>
          <w:sz w:val="18"/>
          <w:szCs w:val="18"/>
          <w:color w:val="auto"/>
        </w:rPr>
        <w:t>You should read the exhibits carefully for provisions that may be important to you.</w:t>
      </w:r>
    </w:p>
    <w:p>
      <w:pPr>
        <w:spacing w:after="0" w:line="212"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459" w:right="3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8,000,000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494665</wp:posOffset>
            </wp:positionV>
            <wp:extent cx="1818005" cy="643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1800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1538605</wp:posOffset>
            </wp:positionV>
            <wp:extent cx="15176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520" w:type="dxa"/>
            <w:vAlign w:val="bottom"/>
          </w:tcPr>
          <w:p>
            <w:pPr>
              <w:spacing w:after="0"/>
              <w:rPr>
                <w:sz w:val="23"/>
                <w:szCs w:val="23"/>
                <w:color w:val="auto"/>
              </w:rPr>
            </w:pPr>
          </w:p>
        </w:tc>
        <w:tc>
          <w:tcPr>
            <w:tcW w:w="6900" w:type="dxa"/>
            <w:vAlign w:val="bottom"/>
            <w:gridSpan w:val="2"/>
          </w:tcPr>
          <w:p>
            <w:pPr>
              <w:jc w:val="right"/>
              <w:ind w:right="4665"/>
              <w:spacing w:after="0"/>
              <w:rPr>
                <w:sz w:val="20"/>
                <w:szCs w:val="20"/>
                <w:color w:val="auto"/>
              </w:rPr>
            </w:pPr>
            <w:r>
              <w:rPr>
                <w:rFonts w:ascii="Arial" w:cs="Arial" w:eastAsia="Arial" w:hAnsi="Arial"/>
                <w:sz w:val="22"/>
                <w:szCs w:val="22"/>
                <w:b w:val="1"/>
                <w:bCs w:val="1"/>
                <w:i w:val="1"/>
                <w:iCs w:val="1"/>
                <w:color w:val="auto"/>
                <w:w w:val="98"/>
              </w:rPr>
              <w:t>Joint Book-Runners</w:t>
            </w:r>
          </w:p>
        </w:tc>
      </w:tr>
      <w:tr>
        <w:trPr>
          <w:trHeight w:val="454"/>
        </w:trPr>
        <w:tc>
          <w:tcPr>
            <w:tcW w:w="4520" w:type="dxa"/>
            <w:vAlign w:val="bottom"/>
          </w:tcPr>
          <w:p>
            <w:pPr>
              <w:spacing w:after="0"/>
              <w:rPr>
                <w:sz w:val="20"/>
                <w:szCs w:val="20"/>
                <w:color w:val="auto"/>
              </w:rPr>
            </w:pPr>
            <w:r>
              <w:rPr>
                <w:rFonts w:ascii="Arial" w:cs="Arial" w:eastAsia="Arial" w:hAnsi="Arial"/>
                <w:sz w:val="29"/>
                <w:szCs w:val="29"/>
                <w:b w:val="1"/>
                <w:bCs w:val="1"/>
                <w:color w:val="auto"/>
              </w:rPr>
              <w:t>Cowen</w:t>
            </w:r>
          </w:p>
        </w:tc>
        <w:tc>
          <w:tcPr>
            <w:tcW w:w="2380" w:type="dxa"/>
            <w:vAlign w:val="bottom"/>
          </w:tcPr>
          <w:p>
            <w:pPr>
              <w:spacing w:after="0"/>
              <w:rPr>
                <w:sz w:val="24"/>
                <w:szCs w:val="24"/>
                <w:color w:val="auto"/>
              </w:rPr>
            </w:pPr>
          </w:p>
        </w:tc>
        <w:tc>
          <w:tcPr>
            <w:tcW w:w="4520" w:type="dxa"/>
            <w:vAlign w:val="bottom"/>
          </w:tcPr>
          <w:p>
            <w:pPr>
              <w:jc w:val="right"/>
              <w:spacing w:after="0"/>
              <w:rPr>
                <w:sz w:val="20"/>
                <w:szCs w:val="20"/>
                <w:color w:val="auto"/>
              </w:rPr>
            </w:pPr>
            <w:r>
              <w:rPr>
                <w:rFonts w:ascii="Arial" w:cs="Arial" w:eastAsia="Arial" w:hAnsi="Arial"/>
                <w:sz w:val="29"/>
                <w:szCs w:val="29"/>
                <w:b w:val="1"/>
                <w:bCs w:val="1"/>
                <w:color w:val="auto"/>
              </w:rPr>
              <w:t>Piper Jaffray</w:t>
            </w:r>
          </w:p>
        </w:tc>
      </w:tr>
      <w:tr>
        <w:trPr>
          <w:trHeight w:val="360"/>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463"/>
        </w:trPr>
        <w:tc>
          <w:tcPr>
            <w:tcW w:w="4520" w:type="dxa"/>
            <w:vAlign w:val="bottom"/>
          </w:tcPr>
          <w:p>
            <w:pPr>
              <w:spacing w:after="0"/>
              <w:rPr>
                <w:sz w:val="24"/>
                <w:szCs w:val="24"/>
                <w:color w:val="auto"/>
              </w:rPr>
            </w:pPr>
          </w:p>
        </w:tc>
        <w:tc>
          <w:tcPr>
            <w:tcW w:w="6900" w:type="dxa"/>
            <w:vAlign w:val="bottom"/>
            <w:gridSpan w:val="2"/>
          </w:tcPr>
          <w:p>
            <w:pPr>
              <w:jc w:val="right"/>
              <w:ind w:right="4705"/>
              <w:spacing w:after="0"/>
              <w:rPr>
                <w:sz w:val="20"/>
                <w:szCs w:val="20"/>
                <w:color w:val="auto"/>
              </w:rPr>
            </w:pPr>
            <w:r>
              <w:rPr>
                <w:rFonts w:ascii="Arial" w:cs="Arial" w:eastAsia="Arial" w:hAnsi="Arial"/>
                <w:sz w:val="22"/>
                <w:szCs w:val="22"/>
                <w:b w:val="1"/>
                <w:bCs w:val="1"/>
                <w:i w:val="1"/>
                <w:iCs w:val="1"/>
                <w:color w:val="auto"/>
              </w:rPr>
              <w:t>Co-Lead Managers</w:t>
            </w:r>
          </w:p>
        </w:tc>
      </w:tr>
      <w:tr>
        <w:trPr>
          <w:trHeight w:val="417"/>
        </w:trPr>
        <w:tc>
          <w:tcPr>
            <w:tcW w:w="4520" w:type="dxa"/>
            <w:vAlign w:val="bottom"/>
          </w:tcPr>
          <w:p>
            <w:pPr>
              <w:spacing w:after="0"/>
              <w:rPr>
                <w:sz w:val="20"/>
                <w:szCs w:val="20"/>
                <w:color w:val="auto"/>
              </w:rPr>
            </w:pPr>
            <w:r>
              <w:rPr>
                <w:rFonts w:ascii="Arial" w:cs="Arial" w:eastAsia="Arial" w:hAnsi="Arial"/>
                <w:sz w:val="25"/>
                <w:szCs w:val="25"/>
                <w:b w:val="1"/>
                <w:bCs w:val="1"/>
                <w:color w:val="auto"/>
              </w:rPr>
              <w:t>JMP Securities</w:t>
            </w:r>
          </w:p>
        </w:tc>
        <w:tc>
          <w:tcPr>
            <w:tcW w:w="2380" w:type="dxa"/>
            <w:vAlign w:val="bottom"/>
          </w:tcPr>
          <w:p>
            <w:pPr>
              <w:spacing w:after="0"/>
              <w:rPr>
                <w:sz w:val="24"/>
                <w:szCs w:val="24"/>
                <w:color w:val="auto"/>
              </w:rPr>
            </w:pPr>
          </w:p>
        </w:tc>
        <w:tc>
          <w:tcPr>
            <w:tcW w:w="4520" w:type="dxa"/>
            <w:vAlign w:val="bottom"/>
          </w:tcPr>
          <w:p>
            <w:pPr>
              <w:jc w:val="right"/>
              <w:spacing w:after="0"/>
              <w:rPr>
                <w:sz w:val="20"/>
                <w:szCs w:val="20"/>
                <w:color w:val="auto"/>
              </w:rPr>
            </w:pPr>
            <w:r>
              <w:rPr>
                <w:rFonts w:ascii="Arial" w:cs="Arial" w:eastAsia="Arial" w:hAnsi="Arial"/>
                <w:sz w:val="25"/>
                <w:szCs w:val="25"/>
                <w:b w:val="1"/>
                <w:bCs w:val="1"/>
                <w:color w:val="auto"/>
              </w:rPr>
              <w:t>Wedbush PacGrow</w:t>
            </w:r>
          </w:p>
        </w:tc>
      </w:tr>
      <w:tr>
        <w:trPr>
          <w:trHeight w:val="2287"/>
        </w:trPr>
        <w:tc>
          <w:tcPr>
            <w:tcW w:w="45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r>
        <w:trPr>
          <w:trHeight w:val="82"/>
        </w:trPr>
        <w:tc>
          <w:tcPr>
            <w:tcW w:w="4520" w:type="dxa"/>
            <w:vAlign w:val="bottom"/>
            <w:tcBorders>
              <w:bottom w:val="single" w:sz="8" w:color="auto"/>
            </w:tcBorders>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452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1)"/>
      <w:numFmt w:val="decimal"/>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1)"/>
      <w:numFmt w:val="lowerRoman"/>
      <w:start w:val="3"/>
    </w:lvl>
  </w:abstractNum>
  <w:abstractNum w:abstractNumId="28">
    <w:nsid w:val="70A64E2A"/>
    <w:multiLevelType w:val="hybridMultilevel"/>
    <w:lvl w:ilvl="0">
      <w:lvlJc w:val="left"/>
      <w:lvlText w:val="(%1)"/>
      <w:numFmt w:val="lowerRoman"/>
      <w:start w:val="1"/>
    </w:lvl>
  </w:abstractNum>
  <w:abstractNum w:abstractNumId="29">
    <w:nsid w:val="6A2342EC"/>
    <w:multiLevelType w:val="hybridMultilevel"/>
    <w:lvl w:ilvl="0">
      <w:lvlJc w:val="left"/>
      <w:lvlText w:val="•"/>
      <w:numFmt w:val="bullet"/>
      <w:start w:val="1"/>
    </w:lvl>
    <w:lvl w:ilvl="1">
      <w:lvlJc w:val="left"/>
      <w:lvlText w:val="(%2)"/>
      <w:numFmt w:val="lowerRoman"/>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2019-12-07T05:55:14Z</dcterms:created>
  <dcterms:modified xsi:type="dcterms:W3CDTF">2019-12-07T05:55:14Z</dcterms:modified>
</cp:coreProperties>
</file>