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u w:val="single" w:color="auto"/>
          <w:color w:val="auto"/>
        </w:rPr>
        <w:t>Larimar Therapeutics,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$0.001 par value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517125100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December 31,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5220" w:hanging="207"/>
        <w:spacing w:after="0"/>
        <w:tabs>
          <w:tab w:leader="none" w:pos="52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5220" w:hanging="202"/>
        <w:spacing w:after="0"/>
        <w:tabs>
          <w:tab w:leader="none" w:pos="5220" w:val="left"/>
        </w:tabs>
        <w:numPr>
          <w:ilvl w:val="2"/>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5220" w:hanging="207"/>
        <w:spacing w:after="0"/>
        <w:tabs>
          <w:tab w:leader="none" w:pos="5220" w:val="left"/>
        </w:tabs>
        <w:numPr>
          <w:ilvl w:val="2"/>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9 Pages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Index: Page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SCHEDULE 13G</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7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CUSIP: 517125100</w:t>
            </w:r>
          </w:p>
        </w:tc>
        <w:tc>
          <w:tcPr>
            <w:tcW w:w="8400" w:type="dxa"/>
            <w:vAlign w:val="bottom"/>
            <w:gridSpan w:val="2"/>
          </w:tcPr>
          <w:p>
            <w:pPr>
              <w:ind w:left="6040"/>
              <w:spacing w:after="0"/>
              <w:rPr>
                <w:sz w:val="20"/>
                <w:szCs w:val="20"/>
                <w:color w:val="auto"/>
              </w:rPr>
            </w:pPr>
            <w:r>
              <w:rPr>
                <w:rFonts w:ascii="Times New Roman" w:cs="Times New Roman" w:eastAsia="Times New Roman" w:hAnsi="Times New Roman"/>
                <w:sz w:val="18"/>
                <w:szCs w:val="18"/>
                <w:color w:val="auto"/>
              </w:rPr>
              <w:t>Page 2 of 8 Pages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0" w:type="dxa"/>
            <w:vAlign w:val="bottom"/>
            <w:tcBorders>
              <w:bottom w:val="single" w:sz="8" w:color="auto"/>
            </w:tcBorders>
            <w:gridSpan w:val="5"/>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4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9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Verition Fund Management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960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4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tcBorders>
            <w:vMerge w:val="continue"/>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80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02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400" w:type="dxa"/>
            <w:vAlign w:val="bottom"/>
            <w:tcBorders>
              <w:right w:val="single" w:sz="8" w:color="auto"/>
            </w:tcBorders>
          </w:tcPr>
          <w:p>
            <w:pPr>
              <w:spacing w:after="0"/>
              <w:rPr>
                <w:sz w:val="20"/>
                <w:szCs w:val="20"/>
                <w:color w:val="auto"/>
              </w:rPr>
            </w:pPr>
          </w:p>
        </w:tc>
        <w:tc>
          <w:tcPr>
            <w:tcW w:w="1300" w:type="dxa"/>
            <w:vAlign w:val="bottom"/>
            <w:gridSpan w:val="4"/>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4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2,811,131</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40" w:type="dxa"/>
            <w:vAlign w:val="bottom"/>
            <w:tcBorders>
              <w:left w:val="single" w:sz="8" w:color="auto"/>
              <w:right w:val="single" w:sz="8" w:color="auto"/>
            </w:tcBorders>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02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2,811,131</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4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2,811,131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4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800" w:type="dxa"/>
            <w:vAlign w:val="bottom"/>
            <w:gridSpan w:val="2"/>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020" w:type="dxa"/>
            <w:vAlign w:val="bottom"/>
            <w:tcBorders>
              <w:lef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20" w:type="dxa"/>
            <w:vAlign w:val="bottom"/>
            <w:tcBorders>
              <w:left w:val="single" w:sz="8" w:color="auto"/>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66"/>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4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OO, IA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SCHEDULE 13G</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7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CUSIP: 517125100</w:t>
            </w:r>
          </w:p>
        </w:tc>
        <w:tc>
          <w:tcPr>
            <w:tcW w:w="8400" w:type="dxa"/>
            <w:vAlign w:val="bottom"/>
            <w:gridSpan w:val="2"/>
          </w:tcPr>
          <w:p>
            <w:pPr>
              <w:ind w:left="6040"/>
              <w:spacing w:after="0"/>
              <w:rPr>
                <w:sz w:val="20"/>
                <w:szCs w:val="20"/>
                <w:color w:val="auto"/>
              </w:rPr>
            </w:pPr>
            <w:r>
              <w:rPr>
                <w:rFonts w:ascii="Times New Roman" w:cs="Times New Roman" w:eastAsia="Times New Roman" w:hAnsi="Times New Roman"/>
                <w:sz w:val="18"/>
                <w:szCs w:val="18"/>
                <w:color w:val="auto"/>
              </w:rPr>
              <w:t>Page 3 of 8 Pages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0" w:type="dxa"/>
            <w:vAlign w:val="bottom"/>
            <w:tcBorders>
              <w:bottom w:val="single" w:sz="8" w:color="auto"/>
            </w:tcBorders>
            <w:gridSpan w:val="5"/>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4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97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Nicholas Maounis</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960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4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tcBorders>
            <w:vMerge w:val="continue"/>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80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02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400" w:type="dxa"/>
            <w:vAlign w:val="bottom"/>
            <w:tcBorders>
              <w:right w:val="single" w:sz="8" w:color="auto"/>
            </w:tcBorders>
          </w:tcPr>
          <w:p>
            <w:pPr>
              <w:spacing w:after="0"/>
              <w:rPr>
                <w:sz w:val="20"/>
                <w:szCs w:val="20"/>
                <w:color w:val="auto"/>
              </w:rPr>
            </w:pPr>
          </w:p>
        </w:tc>
        <w:tc>
          <w:tcPr>
            <w:tcW w:w="1300" w:type="dxa"/>
            <w:vAlign w:val="bottom"/>
            <w:gridSpan w:val="4"/>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4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2,811,131</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WITH</w:t>
            </w: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40" w:type="dxa"/>
            <w:vAlign w:val="bottom"/>
            <w:tcBorders>
              <w:left w:val="single" w:sz="8" w:color="auto"/>
              <w:right w:val="single" w:sz="8" w:color="auto"/>
            </w:tcBorders>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02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2,811,131</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4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2,811,131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4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800" w:type="dxa"/>
            <w:vAlign w:val="bottom"/>
            <w:gridSpan w:val="2"/>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020" w:type="dxa"/>
            <w:vAlign w:val="bottom"/>
            <w:tcBorders>
              <w:left w:val="single" w:sz="8" w:color="auto"/>
            </w:tcBorders>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20" w:type="dxa"/>
            <w:vAlign w:val="bottom"/>
            <w:tcBorders>
              <w:left w:val="single" w:sz="8" w:color="auto"/>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66"/>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4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tcBorders>
            <w:vMerge w:val="restart"/>
          </w:tcPr>
          <w:p>
            <w:pPr>
              <w:jc w:val="center"/>
              <w:ind w:left="246"/>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4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20" w:type="dxa"/>
            <w:vAlign w:val="bottom"/>
            <w:tcBorders>
              <w:left w:val="single" w:sz="8" w:color="auto"/>
            </w:tcBorders>
            <w:vMerge w:val="continue"/>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HC</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 w:type="dxa"/>
            <w:vAlign w:val="bottom"/>
            <w:tcBorders>
              <w:left w:val="single" w:sz="8" w:color="auto"/>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color w:val="auto"/>
        </w:rPr>
        <w:t>SCHEDULE 13G</w:t>
      </w:r>
    </w:p>
    <w:p>
      <w:pPr>
        <w:sectPr>
          <w:pgSz w:w="11900" w:h="16838" w:orient="portrait"/>
          <w:cols w:equalWidth="0" w:num="1">
            <w:col w:w="11220"/>
          </w:cols>
          <w:pgMar w:left="320" w:top="121" w:right="359" w:bottom="1440" w:gutter="0" w:footer="0" w:header="0"/>
        </w:sectPr>
      </w:pP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CUSIP: 517125100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4 of 8 Pages</w:t>
      </w:r>
    </w:p>
    <w:p>
      <w:pPr>
        <w:spacing w:after="0" w:line="173" w:lineRule="exact"/>
        <w:rPr>
          <w:sz w:val="20"/>
          <w:szCs w:val="20"/>
          <w:color w:val="auto"/>
        </w:rPr>
      </w:pPr>
    </w:p>
    <w:p>
      <w:pPr>
        <w:sectPr>
          <w:pgSz w:w="11900" w:h="16838" w:orient="portrait"/>
          <w:cols w:equalWidth="0" w:num="2">
            <w:col w:w="8040" w:space="720"/>
            <w:col w:w="2460"/>
          </w:cols>
          <w:pgMar w:left="320" w:top="121"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Name of Issuer</w:t>
      </w:r>
    </w:p>
    <w:p>
      <w:pPr>
        <w:spacing w:after="0" w:line="211" w:lineRule="exact"/>
        <w:rPr>
          <w:sz w:val="20"/>
          <w:szCs w:val="20"/>
          <w:color w:val="auto"/>
        </w:rPr>
      </w:pPr>
    </w:p>
    <w:p>
      <w:pPr>
        <w:sectPr>
          <w:pgSz w:w="11900" w:h="16838" w:orient="portrait"/>
          <w:cols w:equalWidth="0" w:num="2">
            <w:col w:w="720" w:space="420"/>
            <w:col w:w="10080"/>
          </w:cols>
          <w:pgMar w:left="320" w:top="121" w:right="359" w:bottom="1440" w:gutter="0" w:footer="0" w:header="0"/>
          <w:type w:val="continuous"/>
        </w:sectPr>
      </w:pPr>
    </w:p>
    <w:p>
      <w:pPr>
        <w:spacing w:after="0" w:line="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Larimar Therapeutics, Inc. (the “Issuer”)</w:t>
      </w:r>
    </w:p>
    <w:p>
      <w:pPr>
        <w:sectPr>
          <w:pgSz w:w="11900" w:h="16838" w:orient="portrait"/>
          <w:cols w:equalWidth="0" w:num="1">
            <w:col w:w="11220"/>
          </w:cols>
          <w:pgMar w:left="320" w:top="121" w:right="35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Address of the Issuer’s Principal Executive Offices</w:t>
      </w:r>
    </w:p>
    <w:p>
      <w:pPr>
        <w:spacing w:after="0" w:line="211" w:lineRule="exact"/>
        <w:rPr>
          <w:sz w:val="20"/>
          <w:szCs w:val="20"/>
          <w:color w:val="auto"/>
        </w:rPr>
      </w:pPr>
    </w:p>
    <w:p>
      <w:pPr>
        <w:sectPr>
          <w:pgSz w:w="11900" w:h="16838" w:orient="portrait"/>
          <w:cols w:equalWidth="0" w:num="2">
            <w:col w:w="720" w:space="420"/>
            <w:col w:w="10080"/>
          </w:cols>
          <w:pgMar w:left="320" w:top="121" w:right="359" w:bottom="1440" w:gutter="0" w:footer="0" w:header="0"/>
          <w:type w:val="continuous"/>
        </w:sectPr>
      </w:pPr>
    </w:p>
    <w:p>
      <w:pPr>
        <w:spacing w:after="0" w:line="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Three Bala Plaza East, Suite 506</w:t>
      </w:r>
    </w:p>
    <w:p>
      <w:pPr>
        <w:spacing w:after="0" w:line="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 Cynwyd, PA 19004</w:t>
      </w:r>
    </w:p>
    <w:p>
      <w:pPr>
        <w:sectPr>
          <w:pgSz w:w="11900" w:h="16838" w:orient="portrait"/>
          <w:cols w:equalWidth="0" w:num="1">
            <w:col w:w="11220"/>
          </w:cols>
          <w:pgMar w:left="320" w:top="121" w:right="35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Names of Persons Filing</w:t>
      </w:r>
    </w:p>
    <w:p>
      <w:pPr>
        <w:spacing w:after="0" w:line="200" w:lineRule="exact"/>
        <w:rPr>
          <w:sz w:val="20"/>
          <w:szCs w:val="20"/>
          <w:color w:val="auto"/>
        </w:rPr>
      </w:pPr>
    </w:p>
    <w:p>
      <w:pPr>
        <w:sectPr>
          <w:pgSz w:w="11900" w:h="16838" w:orient="portrait"/>
          <w:cols w:equalWidth="0" w:num="2">
            <w:col w:w="720" w:space="420"/>
            <w:col w:w="10080"/>
          </w:cols>
          <w:pgMar w:left="320" w:top="121" w:right="359" w:bottom="1440" w:gutter="0" w:footer="0" w:header="0"/>
          <w:type w:val="continuous"/>
        </w:sectPr>
      </w:pPr>
    </w:p>
    <w:p>
      <w:pPr>
        <w:spacing w:after="0" w:line="29" w:lineRule="exact"/>
        <w:rPr>
          <w:sz w:val="20"/>
          <w:szCs w:val="20"/>
          <w:color w:val="auto"/>
        </w:rPr>
      </w:pPr>
    </w:p>
    <w:p>
      <w:pPr>
        <w:ind w:left="1140"/>
        <w:spacing w:after="0" w:line="258" w:lineRule="auto"/>
        <w:rPr>
          <w:sz w:val="20"/>
          <w:szCs w:val="20"/>
          <w:color w:val="auto"/>
        </w:rPr>
      </w:pPr>
      <w:r>
        <w:rPr>
          <w:rFonts w:ascii="Times New Roman" w:cs="Times New Roman" w:eastAsia="Times New Roman" w:hAnsi="Times New Roman"/>
          <w:sz w:val="18"/>
          <w:szCs w:val="18"/>
          <w:color w:val="auto"/>
        </w:rPr>
        <w:t>This Statement is filed on behalf of each of the following persons: Verition Fund Management LLC and Nicholas Maounis (collectively, the “Reporting Persons”). This Statement relates to Shares (as defined herein) held for the account of Verition Multi-Strategy Master Fund Ltd. Verition Fund Management LLC serves as the investment manager to Verition Multi-Strategy Master Fund Ltd. Mr. Nicholas Maounis is the managing member of Verition Fund Management LLC. In such capacities, each of the Reporting Persons may be deemed to have voting and dispositive power over the Shares held for Verition Multi-Strategy Master Fund Ltd.</w:t>
      </w:r>
    </w:p>
    <w:p>
      <w:pPr>
        <w:sectPr>
          <w:pgSz w:w="11900" w:h="16838" w:orient="portrait"/>
          <w:cols w:equalWidth="0" w:num="1">
            <w:col w:w="11220"/>
          </w:cols>
          <w:pgMar w:left="320" w:top="121" w:right="359"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 of the Principal Business Office, or if none, Residence</w:t>
      </w:r>
    </w:p>
    <w:p>
      <w:pPr>
        <w:spacing w:after="0" w:line="200" w:lineRule="exact"/>
        <w:rPr>
          <w:sz w:val="20"/>
          <w:szCs w:val="20"/>
          <w:color w:val="auto"/>
        </w:rPr>
      </w:pPr>
    </w:p>
    <w:p>
      <w:pPr>
        <w:sectPr>
          <w:pgSz w:w="11900" w:h="16838" w:orient="portrait"/>
          <w:cols w:equalWidth="0" w:num="2">
            <w:col w:w="720" w:space="420"/>
            <w:col w:w="10080"/>
          </w:cols>
          <w:pgMar w:left="320" w:top="121" w:right="359" w:bottom="1440" w:gutter="0" w:footer="0" w:header="0"/>
          <w:type w:val="continuous"/>
        </w:sectPr>
      </w:pPr>
    </w:p>
    <w:p>
      <w:pPr>
        <w:spacing w:after="0" w:line="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The principle business office of each of the Reporting Persons is One American Lane, Greenwich, CT 06831.</w:t>
      </w:r>
    </w:p>
    <w:p>
      <w:pPr>
        <w:sectPr>
          <w:pgSz w:w="11900" w:h="16838" w:orient="portrait"/>
          <w:cols w:equalWidth="0" w:num="1">
            <w:col w:w="11220"/>
          </w:cols>
          <w:pgMar w:left="320" w:top="121" w:right="35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Citizenship</w:t>
      </w:r>
    </w:p>
    <w:p>
      <w:pPr>
        <w:spacing w:after="0" w:line="200" w:lineRule="exact"/>
        <w:rPr>
          <w:sz w:val="20"/>
          <w:szCs w:val="20"/>
          <w:color w:val="auto"/>
        </w:rPr>
      </w:pPr>
    </w:p>
    <w:p>
      <w:pPr>
        <w:sectPr>
          <w:pgSz w:w="11900" w:h="16838" w:orient="portrait"/>
          <w:cols w:equalWidth="0" w:num="2">
            <w:col w:w="700" w:space="440"/>
            <w:col w:w="10080"/>
          </w:cols>
          <w:pgMar w:left="320" w:top="121" w:right="359" w:bottom="1440" w:gutter="0" w:footer="0" w:header="0"/>
          <w:type w:val="continuous"/>
        </w:sectPr>
      </w:pP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Verition Fund Management LLC is a Delaware limited liability company. Nicholas Maounis is a citizen of the United States.</w:t>
      </w:r>
    </w:p>
    <w:p>
      <w:pPr>
        <w:sectPr>
          <w:pgSz w:w="11900" w:h="16838" w:orient="portrait"/>
          <w:cols w:equalWidth="0" w:num="1">
            <w:col w:w="11220"/>
          </w:cols>
          <w:pgMar w:left="320" w:top="121" w:right="35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Title of Class of Securities</w:t>
      </w:r>
    </w:p>
    <w:p>
      <w:pPr>
        <w:spacing w:after="0" w:line="211" w:lineRule="exact"/>
        <w:rPr>
          <w:sz w:val="20"/>
          <w:szCs w:val="20"/>
          <w:color w:val="auto"/>
        </w:rPr>
      </w:pPr>
    </w:p>
    <w:p>
      <w:pPr>
        <w:sectPr>
          <w:pgSz w:w="11900" w:h="16838" w:orient="portrait"/>
          <w:cols w:equalWidth="0" w:num="2">
            <w:col w:w="720" w:space="420"/>
            <w:col w:w="10080"/>
          </w:cols>
          <w:pgMar w:left="320" w:top="121" w:right="359" w:bottom="1440" w:gutter="0" w:footer="0" w:header="0"/>
          <w:type w:val="continuous"/>
        </w:sectPr>
      </w:pPr>
    </w:p>
    <w:p>
      <w:pPr>
        <w:spacing w:after="0" w:line="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Common Stock, $0.001 par value per share (the “Shares”)</w:t>
      </w:r>
    </w:p>
    <w:p>
      <w:pPr>
        <w:sectPr>
          <w:pgSz w:w="11900" w:h="16838" w:orient="portrait"/>
          <w:cols w:equalWidth="0" w:num="1">
            <w:col w:w="11220"/>
          </w:cols>
          <w:pgMar w:left="320" w:top="121" w:right="35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CUSIP Number</w:t>
      </w:r>
    </w:p>
    <w:p>
      <w:pPr>
        <w:spacing w:after="0" w:line="211" w:lineRule="exact"/>
        <w:rPr>
          <w:sz w:val="20"/>
          <w:szCs w:val="20"/>
          <w:color w:val="auto"/>
        </w:rPr>
      </w:pPr>
    </w:p>
    <w:p>
      <w:pPr>
        <w:sectPr>
          <w:pgSz w:w="11900" w:h="16838" w:orient="portrait"/>
          <w:cols w:equalWidth="0" w:num="2">
            <w:col w:w="700" w:space="440"/>
            <w:col w:w="10080"/>
          </w:cols>
          <w:pgMar w:left="320" w:top="121" w:right="359" w:bottom="1440" w:gutter="0" w:footer="0" w:header="0"/>
          <w:type w:val="continuous"/>
        </w:sectPr>
      </w:pPr>
    </w:p>
    <w:p>
      <w:pPr>
        <w:spacing w:after="0" w:line="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517125100</w:t>
      </w:r>
    </w:p>
    <w:p>
      <w:pPr>
        <w:sectPr>
          <w:pgSz w:w="11900" w:h="16838" w:orient="portrait"/>
          <w:cols w:equalWidth="0" w:num="1">
            <w:col w:w="11220"/>
          </w:cols>
          <w:pgMar w:left="320" w:top="121" w:right="35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Rules 13d-1(b), or 13d-2(b) or (c), check whether the person filing is a</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ectPr>
          <w:pgSz w:w="11900" w:h="16838" w:orient="portrait"/>
          <w:cols w:equalWidth="0" w:num="2">
            <w:col w:w="500" w:space="640"/>
            <w:col w:w="10080"/>
          </w:cols>
          <w:pgMar w:left="320" w:top="121" w:right="359" w:bottom="1440" w:gutter="0" w:footer="0" w:header="0"/>
          <w:type w:val="continuous"/>
        </w:sectPr>
      </w:pPr>
    </w:p>
    <w:p>
      <w:pPr>
        <w:ind w:left="1400" w:hanging="393"/>
        <w:spacing w:after="0" w:line="207" w:lineRule="exact"/>
        <w:tabs>
          <w:tab w:leader="none" w:pos="14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69" w:lineRule="exact"/>
        <w:rPr>
          <w:rFonts w:ascii="Times New Roman" w:cs="Times New Roman" w:eastAsia="Times New Roman" w:hAnsi="Times New Roman"/>
          <w:sz w:val="18"/>
          <w:szCs w:val="18"/>
          <w:color w:val="auto"/>
        </w:rPr>
      </w:pPr>
    </w:p>
    <w:p>
      <w:pPr>
        <w:ind w:left="1400" w:hanging="393"/>
        <w:spacing w:after="0" w:line="207" w:lineRule="exact"/>
        <w:tabs>
          <w:tab w:leader="none" w:pos="14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1400" w:hanging="393"/>
        <w:spacing w:after="0" w:line="207" w:lineRule="exact"/>
        <w:tabs>
          <w:tab w:leader="none" w:pos="14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1400" w:hanging="393"/>
        <w:spacing w:after="0" w:line="207" w:lineRule="exact"/>
        <w:tabs>
          <w:tab w:leader="none" w:pos="14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1400" w:hanging="393"/>
        <w:spacing w:after="0" w:line="207" w:lineRule="exact"/>
        <w:tabs>
          <w:tab w:leader="none" w:pos="14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9" w:lineRule="exact"/>
        <w:rPr>
          <w:rFonts w:ascii="Times New Roman" w:cs="Times New Roman" w:eastAsia="Times New Roman" w:hAnsi="Times New Roman"/>
          <w:sz w:val="18"/>
          <w:szCs w:val="18"/>
          <w:color w:val="auto"/>
        </w:rPr>
      </w:pPr>
    </w:p>
    <w:p>
      <w:pPr>
        <w:ind w:left="1400" w:hanging="393"/>
        <w:spacing w:after="0" w:line="207" w:lineRule="exact"/>
        <w:tabs>
          <w:tab w:leader="none" w:pos="14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9" w:lineRule="exact"/>
        <w:rPr>
          <w:rFonts w:ascii="Times New Roman" w:cs="Times New Roman" w:eastAsia="Times New Roman" w:hAnsi="Times New Roman"/>
          <w:sz w:val="18"/>
          <w:szCs w:val="18"/>
          <w:color w:val="auto"/>
        </w:rPr>
      </w:pPr>
    </w:p>
    <w:p>
      <w:pPr>
        <w:ind w:left="1400" w:hanging="393"/>
        <w:spacing w:after="0" w:line="207" w:lineRule="exact"/>
        <w:tabs>
          <w:tab w:leader="none" w:pos="14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9" w:lineRule="exact"/>
        <w:rPr>
          <w:rFonts w:ascii="Times New Roman" w:cs="Times New Roman" w:eastAsia="Times New Roman" w:hAnsi="Times New Roman"/>
          <w:sz w:val="18"/>
          <w:szCs w:val="18"/>
          <w:color w:val="auto"/>
        </w:rPr>
      </w:pPr>
    </w:p>
    <w:p>
      <w:pPr>
        <w:ind w:left="1400" w:hanging="393"/>
        <w:spacing w:after="0" w:line="207" w:lineRule="exact"/>
        <w:tabs>
          <w:tab w:leader="none" w:pos="14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1840" w:right="140" w:hanging="833"/>
        <w:spacing w:after="0" w:line="215" w:lineRule="exact"/>
        <w:tabs>
          <w:tab w:leader="none" w:pos="1394"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ind w:left="1400" w:hanging="393"/>
        <w:spacing w:after="0" w:line="207" w:lineRule="exact"/>
        <w:tabs>
          <w:tab w:leader="none" w:pos="14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0" w:lineRule="exact"/>
        <w:rPr>
          <w:rFonts w:ascii="Times New Roman" w:cs="Times New Roman" w:eastAsia="Times New Roman" w:hAnsi="Times New Roman"/>
          <w:sz w:val="18"/>
          <w:szCs w:val="18"/>
          <w:color w:val="auto"/>
        </w:rPr>
      </w:pPr>
    </w:p>
    <w:p>
      <w:pPr>
        <w:ind w:left="1840" w:hanging="833"/>
        <w:spacing w:after="0" w:line="215" w:lineRule="exact"/>
        <w:tabs>
          <w:tab w:leader="none" w:pos="1394"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542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SCHEDULE 13G</w:t>
            </w:r>
          </w:p>
        </w:tc>
        <w:tc>
          <w:tcPr>
            <w:tcW w:w="494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5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CUSIP: 517125100</w:t>
            </w:r>
          </w:p>
        </w:tc>
        <w:tc>
          <w:tcPr>
            <w:tcW w:w="494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Page 5 of 8 Pages</w:t>
            </w:r>
          </w:p>
        </w:tc>
      </w:tr>
      <w:tr>
        <w:trPr>
          <w:trHeight w:val="39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49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4(a)</w:t>
            </w:r>
          </w:p>
        </w:tc>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Amount Beneficially Owned:</w:t>
            </w:r>
          </w:p>
        </w:tc>
        <w:tc>
          <w:tcPr>
            <w:tcW w:w="4940" w:type="dxa"/>
            <w:vAlign w:val="bottom"/>
          </w:tcPr>
          <w:p>
            <w:pPr>
              <w:spacing w:after="0"/>
              <w:rPr>
                <w:sz w:val="24"/>
                <w:szCs w:val="24"/>
                <w:color w:val="auto"/>
              </w:rPr>
            </w:pPr>
          </w:p>
        </w:tc>
      </w:tr>
      <w:tr>
        <w:trPr>
          <w:trHeight w:val="414"/>
        </w:trPr>
        <w:tc>
          <w:tcPr>
            <w:tcW w:w="880" w:type="dxa"/>
            <w:vAlign w:val="bottom"/>
          </w:tcPr>
          <w:p>
            <w:pPr>
              <w:spacing w:after="0"/>
              <w:rPr>
                <w:sz w:val="24"/>
                <w:szCs w:val="24"/>
                <w:color w:val="auto"/>
              </w:rPr>
            </w:pPr>
          </w:p>
        </w:tc>
        <w:tc>
          <w:tcPr>
            <w:tcW w:w="10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As of December 31, 2023, the number of Shares that the Reporting Persons may be deemed to beneficially own equals 2,811,131 Shares</w:t>
            </w:r>
          </w:p>
        </w:tc>
      </w:tr>
      <w:tr>
        <w:trPr>
          <w:trHeight w:val="234"/>
        </w:trPr>
        <w:tc>
          <w:tcPr>
            <w:tcW w:w="880" w:type="dxa"/>
            <w:vAlign w:val="bottom"/>
          </w:tcPr>
          <w:p>
            <w:pPr>
              <w:spacing w:after="0"/>
              <w:rPr>
                <w:sz w:val="20"/>
                <w:szCs w:val="20"/>
                <w:color w:val="auto"/>
              </w:rPr>
            </w:pPr>
          </w:p>
        </w:tc>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held for the account of Verition Multi-Strategy Master Fund Ltd.</w:t>
            </w:r>
          </w:p>
        </w:tc>
        <w:tc>
          <w:tcPr>
            <w:tcW w:w="4940" w:type="dxa"/>
            <w:vAlign w:val="bottom"/>
          </w:tcPr>
          <w:p>
            <w:pPr>
              <w:spacing w:after="0"/>
              <w:rPr>
                <w:sz w:val="20"/>
                <w:szCs w:val="20"/>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4(b)</w:t>
            </w:r>
          </w:p>
        </w:tc>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Percent of Class:</w:t>
            </w:r>
          </w:p>
        </w:tc>
        <w:tc>
          <w:tcPr>
            <w:tcW w:w="4940" w:type="dxa"/>
            <w:vAlign w:val="bottom"/>
          </w:tcPr>
          <w:p>
            <w:pPr>
              <w:spacing w:after="0"/>
              <w:rPr>
                <w:sz w:val="24"/>
                <w:szCs w:val="24"/>
                <w:color w:val="auto"/>
              </w:rPr>
            </w:pPr>
          </w:p>
        </w:tc>
      </w:tr>
      <w:tr>
        <w:trPr>
          <w:trHeight w:val="414"/>
        </w:trPr>
        <w:tc>
          <w:tcPr>
            <w:tcW w:w="880" w:type="dxa"/>
            <w:vAlign w:val="bottom"/>
          </w:tcPr>
          <w:p>
            <w:pPr>
              <w:spacing w:after="0"/>
              <w:rPr>
                <w:sz w:val="24"/>
                <w:szCs w:val="24"/>
                <w:color w:val="auto"/>
              </w:rPr>
            </w:pPr>
          </w:p>
        </w:tc>
        <w:tc>
          <w:tcPr>
            <w:tcW w:w="10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As of December 31, 2023, the number of Shares the Reporting Persons may be deemed to beneficially own constitutes approximately 6.4%</w:t>
            </w:r>
          </w:p>
        </w:tc>
      </w:tr>
      <w:tr>
        <w:trPr>
          <w:trHeight w:val="216"/>
        </w:trPr>
        <w:tc>
          <w:tcPr>
            <w:tcW w:w="880" w:type="dxa"/>
            <w:vAlign w:val="bottom"/>
          </w:tcPr>
          <w:p>
            <w:pPr>
              <w:spacing w:after="0"/>
              <w:rPr>
                <w:sz w:val="18"/>
                <w:szCs w:val="18"/>
                <w:color w:val="auto"/>
              </w:rPr>
            </w:pPr>
          </w:p>
        </w:tc>
        <w:tc>
          <w:tcPr>
            <w:tcW w:w="10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of the total number of Shares outstanding (based upon information provided in the Issuer’s quarterly report on Form 10-Q filed with the</w:t>
            </w:r>
          </w:p>
        </w:tc>
      </w:tr>
      <w:tr>
        <w:trPr>
          <w:trHeight w:val="234"/>
        </w:trPr>
        <w:tc>
          <w:tcPr>
            <w:tcW w:w="880" w:type="dxa"/>
            <w:vAlign w:val="bottom"/>
          </w:tcPr>
          <w:p>
            <w:pPr>
              <w:spacing w:after="0"/>
              <w:rPr>
                <w:sz w:val="20"/>
                <w:szCs w:val="20"/>
                <w:color w:val="auto"/>
              </w:rPr>
            </w:pPr>
          </w:p>
        </w:tc>
        <w:tc>
          <w:tcPr>
            <w:tcW w:w="10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Securities and Exchange Commission on November 14, 2023, there were 43,905,903 Shares outstanding as of November 12, 2023).</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4(c)</w:t>
            </w:r>
          </w:p>
        </w:tc>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 Shares as to which such person has:</w:t>
            </w:r>
          </w:p>
        </w:tc>
        <w:tc>
          <w:tcPr>
            <w:tcW w:w="4940" w:type="dxa"/>
            <w:vAlign w:val="bottom"/>
          </w:tcPr>
          <w:p>
            <w:pPr>
              <w:spacing w:after="0"/>
              <w:rPr>
                <w:sz w:val="24"/>
                <w:szCs w:val="24"/>
                <w:color w:val="auto"/>
              </w:rPr>
            </w:pPr>
          </w:p>
        </w:tc>
      </w:tr>
      <w:tr>
        <w:trPr>
          <w:trHeight w:val="414"/>
        </w:trPr>
        <w:tc>
          <w:tcPr>
            <w:tcW w:w="880" w:type="dxa"/>
            <w:vAlign w:val="bottom"/>
          </w:tcPr>
          <w:p>
            <w:pPr>
              <w:spacing w:after="0"/>
              <w:rPr>
                <w:sz w:val="24"/>
                <w:szCs w:val="24"/>
                <w:color w:val="auto"/>
              </w:rPr>
            </w:pPr>
          </w:p>
        </w:tc>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 Sole power to vote or direct the vote:</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8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(ii) Shared power to vote or direct the vote:</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2,811,131</w:t>
            </w:r>
          </w:p>
        </w:tc>
      </w:tr>
      <w:tr>
        <w:trPr>
          <w:trHeight w:val="216"/>
        </w:trPr>
        <w:tc>
          <w:tcPr>
            <w:tcW w:w="880" w:type="dxa"/>
            <w:vAlign w:val="bottom"/>
          </w:tcPr>
          <w:p>
            <w:pPr>
              <w:spacing w:after="0"/>
              <w:rPr>
                <w:sz w:val="18"/>
                <w:szCs w:val="18"/>
                <w:color w:val="auto"/>
              </w:rPr>
            </w:pPr>
          </w:p>
        </w:tc>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(iii) Sole power to dispose or direct the disposition of:</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880" w:type="dxa"/>
            <w:vAlign w:val="bottom"/>
          </w:tcPr>
          <w:p>
            <w:pPr>
              <w:spacing w:after="0"/>
              <w:rPr>
                <w:sz w:val="20"/>
                <w:szCs w:val="20"/>
                <w:color w:val="auto"/>
              </w:rPr>
            </w:pPr>
          </w:p>
        </w:tc>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(iv) Shared power to dispose or direct the disposition of:</w:t>
            </w:r>
          </w:p>
        </w:tc>
        <w:tc>
          <w:tcPr>
            <w:tcW w:w="4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2,811,131</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c>
          <w:tcPr>
            <w:tcW w:w="4940" w:type="dxa"/>
            <w:vAlign w:val="bottom"/>
          </w:tcPr>
          <w:p>
            <w:pPr>
              <w:spacing w:after="0"/>
              <w:rPr>
                <w:sz w:val="24"/>
                <w:szCs w:val="24"/>
                <w:color w:val="auto"/>
              </w:rPr>
            </w:pPr>
          </w:p>
        </w:tc>
      </w:tr>
      <w:tr>
        <w:trPr>
          <w:trHeight w:val="378"/>
        </w:trPr>
        <w:tc>
          <w:tcPr>
            <w:tcW w:w="880" w:type="dxa"/>
            <w:vAlign w:val="bottom"/>
          </w:tcPr>
          <w:p>
            <w:pPr>
              <w:spacing w:after="0"/>
              <w:rPr>
                <w:sz w:val="24"/>
                <w:szCs w:val="24"/>
                <w:color w:val="auto"/>
              </w:rPr>
            </w:pPr>
          </w:p>
        </w:tc>
        <w:tc>
          <w:tcPr>
            <w:tcW w:w="10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Persons have ceased to be the beneficial owners of</w:t>
            </w:r>
          </w:p>
        </w:tc>
      </w:tr>
      <w:tr>
        <w:trPr>
          <w:trHeight w:val="303"/>
        </w:trPr>
        <w:tc>
          <w:tcPr>
            <w:tcW w:w="880" w:type="dxa"/>
            <w:vAlign w:val="bottom"/>
          </w:tcPr>
          <w:p>
            <w:pPr>
              <w:spacing w:after="0"/>
              <w:rPr>
                <w:sz w:val="24"/>
                <w:szCs w:val="24"/>
                <w:color w:val="auto"/>
              </w:rPr>
            </w:pPr>
          </w:p>
        </w:tc>
        <w:tc>
          <w:tcPr>
            <w:tcW w:w="10360" w:type="dxa"/>
            <w:vAlign w:val="bottom"/>
            <w:gridSpan w:val="2"/>
          </w:tcPr>
          <w:p>
            <w:pPr>
              <w:ind w:left="260"/>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r>
      <w:tr>
        <w:trPr>
          <w:trHeight w:val="399"/>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Ownership of More than Five Percent on Behalf of Another Person</w:t>
            </w:r>
          </w:p>
        </w:tc>
        <w:tc>
          <w:tcPr>
            <w:tcW w:w="4940" w:type="dxa"/>
            <w:vAlign w:val="bottom"/>
          </w:tcPr>
          <w:p>
            <w:pPr>
              <w:spacing w:after="0"/>
              <w:rPr>
                <w:sz w:val="24"/>
                <w:szCs w:val="24"/>
                <w:color w:val="auto"/>
              </w:rPr>
            </w:pPr>
          </w:p>
        </w:tc>
      </w:tr>
      <w:tr>
        <w:trPr>
          <w:trHeight w:val="414"/>
        </w:trPr>
        <w:tc>
          <w:tcPr>
            <w:tcW w:w="880" w:type="dxa"/>
            <w:vAlign w:val="bottom"/>
          </w:tcPr>
          <w:p>
            <w:pPr>
              <w:spacing w:after="0"/>
              <w:rPr>
                <w:sz w:val="24"/>
                <w:szCs w:val="24"/>
                <w:color w:val="auto"/>
              </w:rPr>
            </w:pPr>
          </w:p>
        </w:tc>
        <w:tc>
          <w:tcPr>
            <w:tcW w:w="10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Verition Multi-Strategy Master Fund Ltd. is known to have the right to receive dividends from, and proceeds from the sale of, the Shares</w:t>
            </w:r>
          </w:p>
        </w:tc>
      </w:tr>
      <w:tr>
        <w:trPr>
          <w:trHeight w:val="234"/>
        </w:trPr>
        <w:tc>
          <w:tcPr>
            <w:tcW w:w="880" w:type="dxa"/>
            <w:vAlign w:val="bottom"/>
          </w:tcPr>
          <w:p>
            <w:pPr>
              <w:spacing w:after="0"/>
              <w:rPr>
                <w:sz w:val="20"/>
                <w:szCs w:val="20"/>
                <w:color w:val="auto"/>
              </w:rPr>
            </w:pPr>
          </w:p>
        </w:tc>
        <w:tc>
          <w:tcPr>
            <w:tcW w:w="10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covered by this statement that may be deemed to be beneficially owned by the Reporting Persons.</w:t>
            </w:r>
          </w:p>
        </w:tc>
      </w:tr>
      <w:tr>
        <w:trPr>
          <w:trHeight w:val="41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880" w:type="dxa"/>
            <w:vAlign w:val="bottom"/>
          </w:tcPr>
          <w:p>
            <w:pPr>
              <w:spacing w:after="0"/>
              <w:rPr>
                <w:sz w:val="20"/>
                <w:szCs w:val="20"/>
                <w:color w:val="auto"/>
              </w:rPr>
            </w:pPr>
          </w:p>
        </w:tc>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Company or Control Person</w:t>
            </w:r>
          </w:p>
        </w:tc>
        <w:tc>
          <w:tcPr>
            <w:tcW w:w="4940" w:type="dxa"/>
            <w:vAlign w:val="bottom"/>
          </w:tcPr>
          <w:p>
            <w:pPr>
              <w:spacing w:after="0"/>
              <w:rPr>
                <w:sz w:val="20"/>
                <w:szCs w:val="20"/>
                <w:color w:val="auto"/>
              </w:rPr>
            </w:pPr>
          </w:p>
        </w:tc>
      </w:tr>
      <w:tr>
        <w:trPr>
          <w:trHeight w:val="432"/>
        </w:trPr>
        <w:tc>
          <w:tcPr>
            <w:tcW w:w="880" w:type="dxa"/>
            <w:vAlign w:val="bottom"/>
          </w:tcPr>
          <w:p>
            <w:pPr>
              <w:spacing w:after="0"/>
              <w:rPr>
                <w:sz w:val="24"/>
                <w:szCs w:val="24"/>
                <w:color w:val="auto"/>
              </w:rPr>
            </w:pPr>
          </w:p>
        </w:tc>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See disclosure in Item 2 hereof.</w:t>
            </w:r>
          </w:p>
        </w:tc>
        <w:tc>
          <w:tcPr>
            <w:tcW w:w="49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c>
          <w:tcPr>
            <w:tcW w:w="494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 Applicable.</w:t>
            </w:r>
          </w:p>
        </w:tc>
        <w:tc>
          <w:tcPr>
            <w:tcW w:w="49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c>
          <w:tcPr>
            <w:tcW w:w="494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 Applicable.</w:t>
            </w:r>
          </w:p>
        </w:tc>
        <w:tc>
          <w:tcPr>
            <w:tcW w:w="49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Certification</w:t>
            </w:r>
          </w:p>
        </w:tc>
        <w:tc>
          <w:tcPr>
            <w:tcW w:w="4940" w:type="dxa"/>
            <w:vAlign w:val="bottom"/>
          </w:tcPr>
          <w:p>
            <w:pPr>
              <w:spacing w:after="0"/>
              <w:rPr>
                <w:sz w:val="24"/>
                <w:szCs w:val="24"/>
                <w:color w:val="auto"/>
              </w:rPr>
            </w:pPr>
          </w:p>
        </w:tc>
      </w:tr>
      <w:tr>
        <w:trPr>
          <w:trHeight w:val="414"/>
        </w:trPr>
        <w:tc>
          <w:tcPr>
            <w:tcW w:w="880" w:type="dxa"/>
            <w:vAlign w:val="bottom"/>
          </w:tcPr>
          <w:p>
            <w:pPr>
              <w:spacing w:after="0"/>
              <w:rPr>
                <w:sz w:val="24"/>
                <w:szCs w:val="24"/>
                <w:color w:val="auto"/>
              </w:rPr>
            </w:pPr>
          </w:p>
        </w:tc>
        <w:tc>
          <w:tcPr>
            <w:tcW w:w="10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w:t>
            </w:r>
          </w:p>
        </w:tc>
      </w:tr>
      <w:tr>
        <w:trPr>
          <w:trHeight w:val="216"/>
        </w:trPr>
        <w:tc>
          <w:tcPr>
            <w:tcW w:w="880" w:type="dxa"/>
            <w:vAlign w:val="bottom"/>
          </w:tcPr>
          <w:p>
            <w:pPr>
              <w:spacing w:after="0"/>
              <w:rPr>
                <w:sz w:val="18"/>
                <w:szCs w:val="18"/>
                <w:color w:val="auto"/>
              </w:rPr>
            </w:pPr>
          </w:p>
        </w:tc>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ordinary course of business and were not acquired and not held for the</w:t>
            </w:r>
          </w:p>
        </w:tc>
        <w:tc>
          <w:tcPr>
            <w:tcW w:w="4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purpose of or with the effect of changing or influencing the control</w:t>
            </w:r>
          </w:p>
        </w:tc>
      </w:tr>
      <w:tr>
        <w:trPr>
          <w:trHeight w:val="216"/>
        </w:trPr>
        <w:tc>
          <w:tcPr>
            <w:tcW w:w="880" w:type="dxa"/>
            <w:vAlign w:val="bottom"/>
          </w:tcPr>
          <w:p>
            <w:pPr>
              <w:spacing w:after="0"/>
              <w:rPr>
                <w:sz w:val="18"/>
                <w:szCs w:val="18"/>
                <w:color w:val="auto"/>
              </w:rPr>
            </w:pPr>
          </w:p>
        </w:tc>
        <w:tc>
          <w:tcPr>
            <w:tcW w:w="10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of the issuer of the securities and were not acquired and are not held in connection with or as a participant in any transaction having that</w:t>
            </w:r>
          </w:p>
        </w:tc>
      </w:tr>
      <w:tr>
        <w:trPr>
          <w:trHeight w:val="234"/>
        </w:trPr>
        <w:tc>
          <w:tcPr>
            <w:tcW w:w="880" w:type="dxa"/>
            <w:vAlign w:val="bottom"/>
          </w:tcPr>
          <w:p>
            <w:pPr>
              <w:spacing w:after="0"/>
              <w:rPr>
                <w:sz w:val="20"/>
                <w:szCs w:val="20"/>
                <w:color w:val="auto"/>
              </w:rPr>
            </w:pPr>
          </w:p>
        </w:tc>
        <w:tc>
          <w:tcPr>
            <w:tcW w:w="10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purpose or effect, other than activities solely in connection with a nomination under §240.14a-11.</w:t>
            </w:r>
          </w:p>
        </w:tc>
      </w:tr>
      <w:tr>
        <w:trPr>
          <w:trHeight w:val="412"/>
        </w:trPr>
        <w:tc>
          <w:tcPr>
            <w:tcW w:w="88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0"/>
          <w:szCs w:val="20"/>
          <w:color w:val="auto"/>
        </w:rPr>
      </w:pPr>
    </w:p>
    <w:p>
      <w:pPr>
        <w:ind w:left="1160"/>
        <w:spacing w:after="0"/>
        <w:tabs>
          <w:tab w:leader="none" w:pos="8740" w:val="left"/>
        </w:tabs>
        <w:rPr>
          <w:sz w:val="20"/>
          <w:szCs w:val="20"/>
          <w:color w:val="auto"/>
        </w:rPr>
      </w:pPr>
      <w:r>
        <w:rPr>
          <w:rFonts w:ascii="Times New Roman" w:cs="Times New Roman" w:eastAsia="Times New Roman" w:hAnsi="Times New Roman"/>
          <w:sz w:val="18"/>
          <w:szCs w:val="18"/>
          <w:color w:val="auto"/>
        </w:rPr>
        <w:t>CUSIP: 517125100</w:t>
      </w:r>
      <w:r>
        <w:rPr>
          <w:sz w:val="20"/>
          <w:szCs w:val="20"/>
          <w:color w:val="auto"/>
        </w:rPr>
        <w:tab/>
      </w:r>
      <w:r>
        <w:rPr>
          <w:rFonts w:ascii="Times New Roman" w:cs="Times New Roman" w:eastAsia="Times New Roman" w:hAnsi="Times New Roman"/>
          <w:sz w:val="17"/>
          <w:szCs w:val="17"/>
          <w:color w:val="auto"/>
        </w:rPr>
        <w:t>Page 6 of 8 Pages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VERITION FUND MANAGEMENT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William Anderson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William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-125095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CFO</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NICHOLAS MAOUNIS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Nicholas Maounis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21342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42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320" w:type="dxa"/>
            <w:vAlign w:val="bottom"/>
            <w:gridSpan w:val="2"/>
          </w:tcPr>
          <w:p>
            <w:pPr>
              <w:jc w:val="right"/>
              <w:ind w:right="4870"/>
              <w:spacing w:after="0"/>
              <w:rPr>
                <w:sz w:val="20"/>
                <w:szCs w:val="20"/>
                <w:color w:val="auto"/>
              </w:rPr>
            </w:pPr>
            <w:r>
              <w:rPr>
                <w:rFonts w:ascii="Times New Roman" w:cs="Times New Roman" w:eastAsia="Times New Roman" w:hAnsi="Times New Roman"/>
                <w:sz w:val="18"/>
                <w:szCs w:val="18"/>
                <w:color w:val="auto"/>
              </w:rPr>
              <w:t>SCHEDULE 13G</w:t>
            </w:r>
          </w:p>
        </w:tc>
      </w:tr>
      <w:tr>
        <w:trPr>
          <w:trHeight w:val="234"/>
        </w:trPr>
        <w:tc>
          <w:tcPr>
            <w:tcW w:w="700" w:type="dxa"/>
            <w:vAlign w:val="bottom"/>
          </w:tcPr>
          <w:p>
            <w:pPr>
              <w:spacing w:after="0"/>
              <w:rPr>
                <w:sz w:val="20"/>
                <w:szCs w:val="20"/>
                <w:color w:val="auto"/>
              </w:rPr>
            </w:pPr>
          </w:p>
        </w:tc>
        <w:tc>
          <w:tcPr>
            <w:tcW w:w="3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CUSIP: 517125100</w:t>
            </w:r>
          </w:p>
        </w:tc>
        <w:tc>
          <w:tcPr>
            <w:tcW w:w="10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9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Page 7 of 8 Pages</w:t>
            </w:r>
          </w:p>
        </w:tc>
      </w:tr>
      <w:tr>
        <w:trPr>
          <w:trHeight w:val="351"/>
        </w:trPr>
        <w:tc>
          <w:tcPr>
            <w:tcW w:w="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7380" w:type="dxa"/>
            <w:vAlign w:val="bottom"/>
            <w:gridSpan w:val="3"/>
          </w:tcPr>
          <w:p>
            <w:pPr>
              <w:jc w:val="right"/>
              <w:ind w:right="483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Ex.</w:t>
            </w:r>
          </w:p>
        </w:tc>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4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No.</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3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Joint Filing Agreement</w:t>
            </w:r>
          </w:p>
        </w:tc>
        <w:tc>
          <w:tcPr>
            <w:tcW w:w="7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2"/>
        </w:trPr>
        <w:tc>
          <w:tcPr>
            <w:tcW w:w="7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0"/>
          <w:szCs w:val="20"/>
          <w:color w:val="auto"/>
        </w:rPr>
      </w:pPr>
    </w:p>
    <w:p>
      <w:pPr>
        <w:ind w:left="1160"/>
        <w:spacing w:after="0"/>
        <w:tabs>
          <w:tab w:leader="none" w:pos="8740" w:val="left"/>
        </w:tabs>
        <w:rPr>
          <w:sz w:val="20"/>
          <w:szCs w:val="20"/>
          <w:color w:val="auto"/>
        </w:rPr>
      </w:pPr>
      <w:r>
        <w:rPr>
          <w:rFonts w:ascii="Times New Roman" w:cs="Times New Roman" w:eastAsia="Times New Roman" w:hAnsi="Times New Roman"/>
          <w:sz w:val="18"/>
          <w:szCs w:val="18"/>
          <w:color w:val="auto"/>
        </w:rPr>
        <w:t>CUSIP: 517125100</w:t>
      </w:r>
      <w:r>
        <w:rPr>
          <w:sz w:val="20"/>
          <w:szCs w:val="20"/>
          <w:color w:val="auto"/>
        </w:rPr>
        <w:tab/>
      </w:r>
      <w:r>
        <w:rPr>
          <w:rFonts w:ascii="Times New Roman" w:cs="Times New Roman" w:eastAsia="Times New Roman" w:hAnsi="Times New Roman"/>
          <w:sz w:val="17"/>
          <w:szCs w:val="17"/>
          <w:color w:val="auto"/>
        </w:rPr>
        <w:t>Page 8 of 8 Pages</w:t>
      </w:r>
    </w:p>
    <w:p>
      <w:pPr>
        <w:spacing w:after="0" w:line="1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with respect to the Common Stock of Larimar Therapeutics, Inc., dated as of February 14, 2024,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VERITION FUND MANAGEMENT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William Anderson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William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-125095</wp:posOffset>
            </wp:positionV>
            <wp:extent cx="32061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CFO</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NICHOLAS MAOUNIS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Nicholas Maounis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21342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342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2024-02-14T07:57:45Z</dcterms:created>
  <dcterms:modified xsi:type="dcterms:W3CDTF">2024-02-14T07:57:45Z</dcterms:modified>
</cp:coreProperties>
</file>